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0AB86" w14:textId="77777777" w:rsidR="00625348" w:rsidRPr="000A1F84" w:rsidRDefault="00625348" w:rsidP="00625348">
      <w:pPr>
        <w:spacing w:beforeLines="50" w:before="156" w:afterLines="50" w:after="156" w:line="400" w:lineRule="exact"/>
        <w:rPr>
          <w:rFonts w:ascii="Arial" w:eastAsia="宋体" w:hAnsi="Arial" w:cs="Arial"/>
          <w:bCs/>
          <w:iCs/>
          <w:color w:val="000000"/>
        </w:rPr>
      </w:pPr>
      <w:r w:rsidRPr="000A1F84">
        <w:rPr>
          <w:rFonts w:ascii="Arial" w:eastAsia="宋体" w:hAnsi="Arial" w:cs="Arial"/>
          <w:bCs/>
          <w:iCs/>
          <w:color w:val="000000"/>
        </w:rPr>
        <w:t>证券代码：</w:t>
      </w:r>
      <w:r w:rsidRPr="000A1F84">
        <w:rPr>
          <w:rFonts w:ascii="Arial" w:eastAsia="宋体" w:hAnsi="Arial" w:cs="Arial"/>
          <w:bCs/>
          <w:iCs/>
          <w:color w:val="000000"/>
        </w:rPr>
        <w:t xml:space="preserve">300682           </w:t>
      </w:r>
      <w:r>
        <w:rPr>
          <w:rFonts w:ascii="Arial" w:eastAsia="宋体" w:hAnsi="Arial" w:cs="Arial" w:hint="eastAsia"/>
          <w:bCs/>
          <w:iCs/>
          <w:color w:val="000000"/>
        </w:rPr>
        <w:t xml:space="preserve">                    </w:t>
      </w:r>
      <w:r w:rsidRPr="000A1F84">
        <w:rPr>
          <w:rFonts w:ascii="Arial" w:eastAsia="宋体" w:hAnsi="Arial" w:cs="Arial"/>
          <w:bCs/>
          <w:iCs/>
          <w:color w:val="000000"/>
        </w:rPr>
        <w:t xml:space="preserve">   </w:t>
      </w:r>
      <w:r w:rsidRPr="000A1F84">
        <w:rPr>
          <w:rFonts w:ascii="Arial" w:eastAsia="宋体" w:hAnsi="Arial" w:cs="Arial"/>
          <w:bCs/>
          <w:iCs/>
          <w:color w:val="000000"/>
        </w:rPr>
        <w:t>证券简称：朗新科技</w:t>
      </w:r>
    </w:p>
    <w:p w14:paraId="6091403E" w14:textId="77777777" w:rsidR="00625348" w:rsidRPr="000A1F84" w:rsidRDefault="00625348" w:rsidP="00625348">
      <w:pPr>
        <w:spacing w:beforeLines="50" w:before="156" w:afterLines="50" w:after="156" w:line="400" w:lineRule="exact"/>
        <w:rPr>
          <w:rFonts w:ascii="Arial" w:eastAsia="宋体" w:hAnsi="Arial" w:cs="Arial"/>
          <w:bCs/>
          <w:iCs/>
          <w:color w:val="000000"/>
        </w:rPr>
      </w:pPr>
    </w:p>
    <w:p w14:paraId="3F5A816F" w14:textId="08E4C0D8" w:rsidR="00625348" w:rsidRPr="000A1F84" w:rsidRDefault="00625348" w:rsidP="00625348">
      <w:pPr>
        <w:spacing w:beforeLines="50" w:before="156" w:afterLines="50" w:after="156" w:line="400" w:lineRule="exact"/>
        <w:jc w:val="center"/>
        <w:rPr>
          <w:rFonts w:ascii="Arial" w:eastAsia="宋体" w:hAnsi="Arial" w:cs="Arial"/>
          <w:b/>
          <w:bCs/>
          <w:iCs/>
          <w:color w:val="000000"/>
          <w:sz w:val="32"/>
          <w:szCs w:val="32"/>
        </w:rPr>
      </w:pPr>
      <w:r w:rsidRPr="000A1F84">
        <w:rPr>
          <w:rFonts w:ascii="Arial" w:eastAsia="宋体" w:hAnsi="Arial" w:cs="Arial"/>
          <w:b/>
          <w:bCs/>
          <w:iCs/>
          <w:color w:val="000000"/>
          <w:sz w:val="32"/>
          <w:szCs w:val="32"/>
        </w:rPr>
        <w:t>朗新科技</w:t>
      </w:r>
      <w:r w:rsidR="00EF0CDE">
        <w:rPr>
          <w:rFonts w:ascii="Arial" w:eastAsia="宋体" w:hAnsi="Arial" w:cs="Arial"/>
          <w:b/>
          <w:bCs/>
          <w:iCs/>
          <w:color w:val="000000"/>
          <w:sz w:val="32"/>
          <w:szCs w:val="32"/>
        </w:rPr>
        <w:t>集团</w:t>
      </w:r>
      <w:r w:rsidRPr="000A1F84">
        <w:rPr>
          <w:rFonts w:ascii="Arial" w:eastAsia="宋体" w:hAnsi="Arial" w:cs="Arial"/>
          <w:b/>
          <w:bCs/>
          <w:iCs/>
          <w:color w:val="000000"/>
          <w:sz w:val="32"/>
          <w:szCs w:val="32"/>
        </w:rPr>
        <w:t>股份有限公司</w:t>
      </w:r>
    </w:p>
    <w:p w14:paraId="0E246348" w14:textId="77777777" w:rsidR="00625348" w:rsidRPr="000A1F84" w:rsidRDefault="00625348" w:rsidP="00625348">
      <w:pPr>
        <w:spacing w:beforeLines="50" w:before="156" w:afterLines="50" w:after="156" w:line="400" w:lineRule="exact"/>
        <w:jc w:val="center"/>
        <w:rPr>
          <w:rFonts w:ascii="Arial" w:eastAsia="宋体" w:hAnsi="Arial" w:cs="Arial"/>
          <w:b/>
          <w:bCs/>
          <w:iCs/>
          <w:color w:val="000000"/>
          <w:sz w:val="32"/>
          <w:szCs w:val="32"/>
        </w:rPr>
      </w:pPr>
      <w:r w:rsidRPr="000A1F84">
        <w:rPr>
          <w:rFonts w:ascii="Arial" w:eastAsia="宋体" w:hAnsi="Arial" w:cs="Arial"/>
          <w:b/>
          <w:bCs/>
          <w:iCs/>
          <w:color w:val="000000"/>
          <w:sz w:val="32"/>
          <w:szCs w:val="32"/>
        </w:rPr>
        <w:t>投资者关系活动记录表</w:t>
      </w:r>
    </w:p>
    <w:p w14:paraId="25018079" w14:textId="3A5A615E" w:rsidR="00625348" w:rsidRPr="000A1F84" w:rsidRDefault="00625348" w:rsidP="00625348">
      <w:pPr>
        <w:spacing w:line="400" w:lineRule="exact"/>
        <w:jc w:val="center"/>
        <w:rPr>
          <w:rFonts w:ascii="Arial" w:eastAsia="宋体" w:hAnsi="Arial" w:cs="Arial"/>
          <w:bCs/>
          <w:iCs/>
          <w:color w:val="000000"/>
        </w:rPr>
      </w:pPr>
      <w:r w:rsidRPr="000A1F84">
        <w:rPr>
          <w:rFonts w:ascii="Arial" w:eastAsia="宋体" w:hAnsi="Arial" w:cs="Arial"/>
          <w:bCs/>
          <w:iCs/>
          <w:color w:val="000000"/>
        </w:rPr>
        <w:t>编号：</w:t>
      </w:r>
      <w:r>
        <w:rPr>
          <w:rFonts w:ascii="Arial" w:eastAsia="宋体" w:hAnsi="Arial" w:cs="Arial" w:hint="eastAsia"/>
          <w:bCs/>
          <w:iCs/>
          <w:color w:val="000000"/>
        </w:rPr>
        <w:t>2020-</w:t>
      </w:r>
      <w:r w:rsidRPr="00BD67C3">
        <w:rPr>
          <w:rFonts w:ascii="Arial" w:eastAsia="宋体" w:hAnsi="Arial" w:cs="Arial" w:hint="eastAsia"/>
          <w:bCs/>
          <w:iCs/>
        </w:rPr>
        <w:t>0</w:t>
      </w:r>
      <w:r w:rsidR="00BD67C3" w:rsidRPr="00BD67C3">
        <w:rPr>
          <w:rFonts w:ascii="Arial" w:eastAsia="宋体" w:hAnsi="Arial" w:cs="Arial" w:hint="eastAsia"/>
          <w:bCs/>
          <w:i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053"/>
      </w:tblGrid>
      <w:tr w:rsidR="00625348" w:rsidRPr="000A1F84" w14:paraId="74F292CC"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45AA6817"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投资者关系活动类别</w:t>
            </w:r>
          </w:p>
        </w:tc>
        <w:tc>
          <w:tcPr>
            <w:tcW w:w="4138" w:type="pct"/>
            <w:tcBorders>
              <w:top w:val="single" w:sz="4" w:space="0" w:color="auto"/>
              <w:left w:val="single" w:sz="4" w:space="0" w:color="auto"/>
              <w:bottom w:val="single" w:sz="4" w:space="0" w:color="auto"/>
              <w:right w:val="single" w:sz="4" w:space="0" w:color="auto"/>
            </w:tcBorders>
            <w:vAlign w:val="center"/>
          </w:tcPr>
          <w:p w14:paraId="356814CB" w14:textId="77777777" w:rsidR="00625348" w:rsidRPr="000A1F84" w:rsidRDefault="00625348" w:rsidP="00084E94">
            <w:pPr>
              <w:tabs>
                <w:tab w:val="center" w:pos="3199"/>
              </w:tabs>
              <w:spacing w:line="480" w:lineRule="atLeast"/>
              <w:jc w:val="both"/>
              <w:rPr>
                <w:rFonts w:ascii="Arial" w:eastAsia="宋体" w:hAnsi="Arial" w:cs="Arial"/>
                <w:bCs/>
                <w:iCs/>
                <w:color w:val="000000"/>
                <w:u w:val="single"/>
              </w:rPr>
            </w:pPr>
            <w:r>
              <w:rPr>
                <w:rFonts w:ascii="Arial" w:eastAsia="宋体" w:hAnsi="Arial" w:cs="Arial" w:hint="eastAsia"/>
                <w:bCs/>
                <w:iCs/>
                <w:color w:val="000000"/>
              </w:rPr>
              <w:t>电话</w:t>
            </w:r>
            <w:r>
              <w:rPr>
                <w:rFonts w:ascii="Arial" w:eastAsia="宋体" w:hAnsi="Arial" w:cs="Arial"/>
                <w:bCs/>
                <w:iCs/>
                <w:color w:val="000000"/>
              </w:rPr>
              <w:t>会议</w:t>
            </w:r>
          </w:p>
        </w:tc>
      </w:tr>
      <w:tr w:rsidR="00625348" w:rsidRPr="000A1F84" w14:paraId="1EB68458"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18F6A142"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参与单位名称及人员姓名</w:t>
            </w:r>
          </w:p>
        </w:tc>
        <w:tc>
          <w:tcPr>
            <w:tcW w:w="4138" w:type="pct"/>
            <w:tcBorders>
              <w:top w:val="single" w:sz="4" w:space="0" w:color="auto"/>
              <w:left w:val="single" w:sz="4" w:space="0" w:color="auto"/>
              <w:bottom w:val="single" w:sz="4" w:space="0" w:color="auto"/>
              <w:right w:val="single" w:sz="4" w:space="0" w:color="auto"/>
            </w:tcBorders>
          </w:tcPr>
          <w:p w14:paraId="48953246" w14:textId="1950160B" w:rsidR="00625348" w:rsidRPr="00DC213C" w:rsidRDefault="00625348" w:rsidP="00084E94">
            <w:pPr>
              <w:spacing w:line="480" w:lineRule="atLeast"/>
              <w:rPr>
                <w:rFonts w:ascii="Arial" w:eastAsia="宋体" w:hAnsi="Arial" w:cs="Arial"/>
                <w:bCs/>
                <w:iCs/>
                <w:color w:val="000000"/>
              </w:rPr>
            </w:pPr>
            <w:r w:rsidRPr="00D57D07">
              <w:rPr>
                <w:rFonts w:ascii="Arial" w:eastAsia="宋体" w:hAnsi="Arial" w:cs="Arial" w:hint="eastAsia"/>
                <w:bCs/>
                <w:iCs/>
                <w:color w:val="000000"/>
                <w:sz w:val="21"/>
                <w:szCs w:val="21"/>
              </w:rPr>
              <w:t>天风证券、海通证券、</w:t>
            </w:r>
            <w:r w:rsidR="00B13BC7" w:rsidRPr="00D57D07">
              <w:rPr>
                <w:rFonts w:ascii="Arial" w:eastAsia="宋体" w:hAnsi="Arial" w:cs="Arial" w:hint="eastAsia"/>
                <w:bCs/>
                <w:iCs/>
                <w:color w:val="000000"/>
                <w:sz w:val="21"/>
                <w:szCs w:val="21"/>
              </w:rPr>
              <w:t>中信证券、安信证券、</w:t>
            </w:r>
            <w:r w:rsidRPr="00D57D07">
              <w:rPr>
                <w:rFonts w:ascii="Arial" w:eastAsia="宋体" w:hAnsi="Arial" w:cs="Arial" w:hint="eastAsia"/>
                <w:bCs/>
                <w:iCs/>
                <w:color w:val="000000"/>
                <w:sz w:val="21"/>
                <w:szCs w:val="21"/>
              </w:rPr>
              <w:t>长信基金、</w:t>
            </w:r>
            <w:proofErr w:type="gramStart"/>
            <w:r w:rsidRPr="00D57D07">
              <w:rPr>
                <w:rFonts w:ascii="Arial" w:eastAsia="宋体" w:hAnsi="Arial" w:cs="Arial" w:hint="eastAsia"/>
                <w:bCs/>
                <w:iCs/>
                <w:color w:val="000000"/>
                <w:sz w:val="21"/>
                <w:szCs w:val="21"/>
              </w:rPr>
              <w:t>汇添富</w:t>
            </w:r>
            <w:proofErr w:type="gramEnd"/>
            <w:r w:rsidRPr="00D57D07">
              <w:rPr>
                <w:rFonts w:ascii="Arial" w:eastAsia="宋体" w:hAnsi="Arial" w:cs="Arial" w:hint="eastAsia"/>
                <w:bCs/>
                <w:iCs/>
                <w:color w:val="000000"/>
                <w:sz w:val="21"/>
                <w:szCs w:val="21"/>
              </w:rPr>
              <w:t>基金、建信基金、兴全基金、</w:t>
            </w:r>
            <w:r w:rsidR="00373D58" w:rsidRPr="00D57D07">
              <w:rPr>
                <w:rFonts w:ascii="Arial" w:eastAsia="宋体" w:hAnsi="Arial" w:cs="Arial" w:hint="eastAsia"/>
                <w:bCs/>
                <w:iCs/>
                <w:color w:val="000000"/>
                <w:sz w:val="21"/>
                <w:szCs w:val="21"/>
              </w:rPr>
              <w:t>鹏华基金、</w:t>
            </w:r>
            <w:r w:rsidRPr="00D57D07">
              <w:rPr>
                <w:rFonts w:ascii="Arial" w:eastAsia="宋体" w:hAnsi="Arial" w:cs="Arial" w:hint="eastAsia"/>
                <w:bCs/>
                <w:iCs/>
                <w:color w:val="000000"/>
                <w:sz w:val="21"/>
                <w:szCs w:val="21"/>
              </w:rPr>
              <w:t>中金基金、招商基金、华安基金、</w:t>
            </w:r>
            <w:r w:rsidR="00B13BC7" w:rsidRPr="00D57D07">
              <w:rPr>
                <w:rFonts w:ascii="Arial" w:eastAsia="宋体" w:hAnsi="Arial" w:cs="Arial" w:hint="eastAsia"/>
                <w:bCs/>
                <w:iCs/>
                <w:color w:val="000000"/>
                <w:sz w:val="21"/>
                <w:szCs w:val="21"/>
              </w:rPr>
              <w:t>财通基金、</w:t>
            </w:r>
            <w:r w:rsidRPr="00D57D07">
              <w:rPr>
                <w:rFonts w:ascii="Arial" w:eastAsia="宋体" w:hAnsi="Arial" w:cs="Arial" w:hint="eastAsia"/>
                <w:bCs/>
                <w:iCs/>
                <w:color w:val="000000"/>
                <w:sz w:val="21"/>
                <w:szCs w:val="21"/>
              </w:rPr>
              <w:t>金鹰基金、</w:t>
            </w:r>
            <w:r w:rsidR="00B13BC7" w:rsidRPr="00D57D07">
              <w:rPr>
                <w:rFonts w:ascii="Arial" w:eastAsia="宋体" w:hAnsi="Arial" w:cs="Arial" w:hint="eastAsia"/>
                <w:bCs/>
                <w:iCs/>
                <w:color w:val="000000"/>
                <w:sz w:val="21"/>
                <w:szCs w:val="21"/>
              </w:rPr>
              <w:t>东吴基金、华商基金、</w:t>
            </w:r>
            <w:r w:rsidR="00373D58" w:rsidRPr="00D57D07">
              <w:rPr>
                <w:rFonts w:ascii="Arial" w:eastAsia="宋体" w:hAnsi="Arial" w:cs="Arial" w:hint="eastAsia"/>
                <w:bCs/>
                <w:iCs/>
                <w:color w:val="000000"/>
                <w:sz w:val="21"/>
                <w:szCs w:val="21"/>
              </w:rPr>
              <w:t>东海基金、湘财基金、合</w:t>
            </w:r>
            <w:proofErr w:type="gramStart"/>
            <w:r w:rsidR="00373D58" w:rsidRPr="00D57D07">
              <w:rPr>
                <w:rFonts w:ascii="Arial" w:eastAsia="宋体" w:hAnsi="Arial" w:cs="Arial" w:hint="eastAsia"/>
                <w:bCs/>
                <w:iCs/>
                <w:color w:val="000000"/>
                <w:sz w:val="21"/>
                <w:szCs w:val="21"/>
              </w:rPr>
              <w:t>煦</w:t>
            </w:r>
            <w:proofErr w:type="gramEnd"/>
            <w:r w:rsidR="00373D58" w:rsidRPr="00D57D07">
              <w:rPr>
                <w:rFonts w:ascii="Arial" w:eastAsia="宋体" w:hAnsi="Arial" w:cs="Arial" w:hint="eastAsia"/>
                <w:bCs/>
                <w:iCs/>
                <w:color w:val="000000"/>
                <w:sz w:val="21"/>
                <w:szCs w:val="21"/>
              </w:rPr>
              <w:t>智远基金、华泰资产、</w:t>
            </w:r>
            <w:r w:rsidR="00B13BC7" w:rsidRPr="00D57D07">
              <w:rPr>
                <w:rFonts w:ascii="Arial" w:eastAsia="宋体" w:hAnsi="Arial" w:cs="Arial" w:hint="eastAsia"/>
                <w:bCs/>
                <w:iCs/>
                <w:color w:val="000000"/>
                <w:sz w:val="21"/>
                <w:szCs w:val="21"/>
              </w:rPr>
              <w:t>中国人寿资产、</w:t>
            </w:r>
            <w:r w:rsidR="00373D58" w:rsidRPr="00D57D07">
              <w:rPr>
                <w:rFonts w:ascii="Arial" w:eastAsia="宋体" w:hAnsi="Arial" w:cs="Arial" w:hint="eastAsia"/>
                <w:bCs/>
                <w:iCs/>
                <w:color w:val="000000"/>
                <w:sz w:val="21"/>
                <w:szCs w:val="21"/>
              </w:rPr>
              <w:t>泰康资产、</w:t>
            </w:r>
            <w:proofErr w:type="gramStart"/>
            <w:r w:rsidR="00373D58" w:rsidRPr="00D57D07">
              <w:rPr>
                <w:rFonts w:ascii="Arial" w:eastAsia="宋体" w:hAnsi="Arial" w:cs="Arial" w:hint="eastAsia"/>
                <w:bCs/>
                <w:iCs/>
                <w:color w:val="000000"/>
                <w:sz w:val="21"/>
                <w:szCs w:val="21"/>
              </w:rPr>
              <w:t>上海名禹资产</w:t>
            </w:r>
            <w:proofErr w:type="gramEnd"/>
            <w:r w:rsidR="00373D58" w:rsidRPr="00D57D07">
              <w:rPr>
                <w:rFonts w:ascii="Arial" w:eastAsia="宋体" w:hAnsi="Arial" w:cs="Arial" w:hint="eastAsia"/>
                <w:bCs/>
                <w:iCs/>
                <w:color w:val="000000"/>
                <w:sz w:val="21"/>
                <w:szCs w:val="21"/>
              </w:rPr>
              <w:t>、</w:t>
            </w:r>
            <w:r w:rsidRPr="00D57D07">
              <w:rPr>
                <w:rFonts w:ascii="Arial" w:eastAsia="宋体" w:hAnsi="Arial" w:cs="Arial" w:hint="eastAsia"/>
                <w:bCs/>
                <w:iCs/>
                <w:color w:val="000000"/>
                <w:sz w:val="21"/>
                <w:szCs w:val="21"/>
              </w:rPr>
              <w:t>华夏未来资本、中金资本、中国人寿养老保险</w:t>
            </w:r>
            <w:r w:rsidR="00B13BC7" w:rsidRPr="00D57D07">
              <w:rPr>
                <w:rFonts w:ascii="Arial" w:eastAsia="宋体" w:hAnsi="Arial" w:cs="Arial" w:hint="eastAsia"/>
                <w:bCs/>
                <w:iCs/>
                <w:color w:val="000000"/>
                <w:sz w:val="21"/>
                <w:szCs w:val="21"/>
              </w:rPr>
              <w:t>、</w:t>
            </w:r>
            <w:r w:rsidRPr="00D57D07">
              <w:rPr>
                <w:rFonts w:ascii="Arial" w:eastAsia="宋体" w:hAnsi="Arial" w:cs="Arial" w:hint="eastAsia"/>
                <w:bCs/>
                <w:iCs/>
                <w:color w:val="000000"/>
                <w:sz w:val="21"/>
                <w:szCs w:val="21"/>
              </w:rPr>
              <w:t>平安养老保险、前海人寿保险、</w:t>
            </w:r>
            <w:r w:rsidR="00B13BC7" w:rsidRPr="00D57D07">
              <w:rPr>
                <w:rFonts w:ascii="Arial" w:eastAsia="宋体" w:hAnsi="Arial" w:cs="Arial" w:hint="eastAsia"/>
                <w:bCs/>
                <w:iCs/>
                <w:color w:val="000000"/>
                <w:sz w:val="21"/>
                <w:szCs w:val="21"/>
              </w:rPr>
              <w:t>中华联合保险、</w:t>
            </w:r>
            <w:r w:rsidRPr="00D57D07">
              <w:rPr>
                <w:rFonts w:ascii="Arial" w:eastAsia="宋体" w:hAnsi="Arial" w:cs="Arial" w:hint="eastAsia"/>
                <w:bCs/>
                <w:iCs/>
                <w:color w:val="000000"/>
                <w:sz w:val="21"/>
                <w:szCs w:val="21"/>
              </w:rPr>
              <w:t>平安资产、</w:t>
            </w:r>
            <w:r w:rsidR="00373D58" w:rsidRPr="00D57D07">
              <w:rPr>
                <w:rFonts w:ascii="Arial" w:eastAsia="宋体" w:hAnsi="Arial" w:cs="Arial" w:hint="eastAsia"/>
                <w:bCs/>
                <w:iCs/>
                <w:color w:val="000000"/>
                <w:sz w:val="21"/>
                <w:szCs w:val="21"/>
              </w:rPr>
              <w:t>中国人保资产、中泰证券</w:t>
            </w:r>
            <w:r w:rsidR="00373D58" w:rsidRPr="00D57D07">
              <w:rPr>
                <w:rFonts w:ascii="Arial" w:eastAsia="宋体" w:hAnsi="Arial" w:cs="Arial"/>
                <w:bCs/>
                <w:iCs/>
                <w:color w:val="000000"/>
                <w:sz w:val="21"/>
                <w:szCs w:val="21"/>
              </w:rPr>
              <w:t>(</w:t>
            </w:r>
            <w:r w:rsidR="00373D58" w:rsidRPr="00D57D07">
              <w:rPr>
                <w:rFonts w:ascii="Arial" w:eastAsia="宋体" w:hAnsi="Arial" w:cs="Arial" w:hint="eastAsia"/>
                <w:bCs/>
                <w:iCs/>
                <w:color w:val="000000"/>
                <w:sz w:val="21"/>
                <w:szCs w:val="21"/>
              </w:rPr>
              <w:t>上海</w:t>
            </w:r>
            <w:r w:rsidR="00373D58" w:rsidRPr="00D57D07">
              <w:rPr>
                <w:rFonts w:ascii="Arial" w:eastAsia="宋体" w:hAnsi="Arial" w:cs="Arial"/>
                <w:bCs/>
                <w:iCs/>
                <w:color w:val="000000"/>
                <w:sz w:val="21"/>
                <w:szCs w:val="21"/>
              </w:rPr>
              <w:t>)</w:t>
            </w:r>
            <w:r w:rsidR="00373D58" w:rsidRPr="00D57D07">
              <w:rPr>
                <w:rFonts w:ascii="Arial" w:eastAsia="宋体" w:hAnsi="Arial" w:cs="Arial" w:hint="eastAsia"/>
                <w:bCs/>
                <w:iCs/>
                <w:color w:val="000000"/>
                <w:sz w:val="21"/>
                <w:szCs w:val="21"/>
              </w:rPr>
              <w:t>资产、</w:t>
            </w:r>
            <w:r w:rsidR="00B13BC7" w:rsidRPr="00D57D07">
              <w:rPr>
                <w:rFonts w:ascii="Arial" w:eastAsia="宋体" w:hAnsi="Arial" w:cs="Arial" w:hint="eastAsia"/>
                <w:bCs/>
                <w:iCs/>
                <w:color w:val="000000"/>
                <w:sz w:val="21"/>
                <w:szCs w:val="21"/>
              </w:rPr>
              <w:t>财通资产、金</w:t>
            </w:r>
            <w:proofErr w:type="gramStart"/>
            <w:r w:rsidR="00B13BC7" w:rsidRPr="00D57D07">
              <w:rPr>
                <w:rFonts w:ascii="Arial" w:eastAsia="宋体" w:hAnsi="Arial" w:cs="Arial" w:hint="eastAsia"/>
                <w:bCs/>
                <w:iCs/>
                <w:color w:val="000000"/>
                <w:sz w:val="21"/>
                <w:szCs w:val="21"/>
              </w:rPr>
              <w:t>舆</w:t>
            </w:r>
            <w:proofErr w:type="gramEnd"/>
            <w:r w:rsidR="00B13BC7" w:rsidRPr="00D57D07">
              <w:rPr>
                <w:rFonts w:ascii="Arial" w:eastAsia="宋体" w:hAnsi="Arial" w:cs="Arial" w:hint="eastAsia"/>
                <w:bCs/>
                <w:iCs/>
                <w:color w:val="000000"/>
                <w:sz w:val="21"/>
                <w:szCs w:val="21"/>
              </w:rPr>
              <w:t>资产、</w:t>
            </w:r>
            <w:r w:rsidRPr="00D57D07">
              <w:rPr>
                <w:rFonts w:ascii="Arial" w:eastAsia="宋体" w:hAnsi="Arial" w:cs="Arial"/>
                <w:bCs/>
                <w:iCs/>
                <w:color w:val="000000"/>
                <w:sz w:val="21"/>
                <w:szCs w:val="21"/>
              </w:rPr>
              <w:t>Daiwa SB Investments (HK) Limited</w:t>
            </w:r>
            <w:r w:rsidRPr="00D57D07">
              <w:rPr>
                <w:rFonts w:ascii="Arial" w:eastAsia="宋体" w:hAnsi="Arial" w:cs="Arial" w:hint="eastAsia"/>
                <w:bCs/>
                <w:iCs/>
                <w:color w:val="000000"/>
                <w:sz w:val="21"/>
                <w:szCs w:val="21"/>
              </w:rPr>
              <w:t>、</w:t>
            </w:r>
            <w:proofErr w:type="spellStart"/>
            <w:r w:rsidRPr="00D57D07">
              <w:rPr>
                <w:rFonts w:ascii="Arial" w:eastAsia="宋体" w:hAnsi="Arial" w:cs="Arial"/>
                <w:bCs/>
                <w:iCs/>
                <w:color w:val="000000"/>
                <w:sz w:val="21"/>
                <w:szCs w:val="21"/>
              </w:rPr>
              <w:t>Parantoux</w:t>
            </w:r>
            <w:proofErr w:type="spellEnd"/>
            <w:r w:rsidRPr="00D57D07">
              <w:rPr>
                <w:rFonts w:ascii="Arial" w:eastAsia="宋体" w:hAnsi="Arial" w:cs="Arial"/>
                <w:bCs/>
                <w:iCs/>
                <w:color w:val="000000"/>
                <w:sz w:val="21"/>
                <w:szCs w:val="21"/>
              </w:rPr>
              <w:t xml:space="preserve"> Capital</w:t>
            </w:r>
            <w:r w:rsidRPr="00D57D07">
              <w:rPr>
                <w:rFonts w:ascii="Arial" w:eastAsia="宋体" w:hAnsi="Arial" w:cs="Arial" w:hint="eastAsia"/>
                <w:bCs/>
                <w:iCs/>
                <w:color w:val="000000"/>
                <w:sz w:val="21"/>
                <w:szCs w:val="21"/>
              </w:rPr>
              <w:t>、</w:t>
            </w:r>
            <w:r w:rsidR="00B13BC7" w:rsidRPr="00D57D07">
              <w:rPr>
                <w:rFonts w:ascii="Arial" w:eastAsia="宋体" w:hAnsi="Arial" w:cs="Arial"/>
                <w:bCs/>
                <w:iCs/>
                <w:color w:val="000000"/>
                <w:sz w:val="21"/>
                <w:szCs w:val="21"/>
              </w:rPr>
              <w:t>Marco Polo Pure Asset Management</w:t>
            </w:r>
            <w:r w:rsidR="00B13BC7" w:rsidRPr="00D57D07">
              <w:rPr>
                <w:rFonts w:ascii="Arial" w:eastAsia="宋体" w:hAnsi="Arial" w:cs="Arial" w:hint="eastAsia"/>
                <w:bCs/>
                <w:iCs/>
                <w:color w:val="000000"/>
                <w:sz w:val="21"/>
                <w:szCs w:val="21"/>
              </w:rPr>
              <w:t>、</w:t>
            </w:r>
            <w:r w:rsidR="00B13BC7" w:rsidRPr="00D57D07">
              <w:rPr>
                <w:rFonts w:ascii="Arial" w:eastAsia="宋体" w:hAnsi="Arial" w:cs="Arial"/>
                <w:bCs/>
                <w:iCs/>
                <w:color w:val="000000"/>
                <w:sz w:val="21"/>
                <w:szCs w:val="21"/>
              </w:rPr>
              <w:t>Value Partners Limited</w:t>
            </w:r>
            <w:r w:rsidR="00B13BC7" w:rsidRPr="00D57D07">
              <w:rPr>
                <w:rFonts w:ascii="Arial" w:eastAsia="宋体" w:hAnsi="Arial" w:cs="Arial" w:hint="eastAsia"/>
                <w:bCs/>
                <w:iCs/>
                <w:color w:val="000000"/>
                <w:sz w:val="21"/>
                <w:szCs w:val="21"/>
              </w:rPr>
              <w:t>、</w:t>
            </w:r>
            <w:r w:rsidR="00B13BC7" w:rsidRPr="00D57D07">
              <w:rPr>
                <w:rFonts w:ascii="Arial" w:eastAsia="宋体" w:hAnsi="Arial" w:cs="Arial"/>
                <w:bCs/>
                <w:iCs/>
                <w:color w:val="000000"/>
                <w:sz w:val="21"/>
                <w:szCs w:val="21"/>
              </w:rPr>
              <w:t>IBG</w:t>
            </w:r>
            <w:r w:rsidR="00B13BC7" w:rsidRPr="00D57D07">
              <w:rPr>
                <w:rFonts w:ascii="Arial" w:eastAsia="宋体" w:hAnsi="Arial" w:cs="Arial" w:hint="eastAsia"/>
                <w:bCs/>
                <w:iCs/>
                <w:color w:val="000000"/>
                <w:sz w:val="21"/>
                <w:szCs w:val="21"/>
              </w:rPr>
              <w:t>、</w:t>
            </w:r>
            <w:proofErr w:type="gramStart"/>
            <w:r w:rsidRPr="00D57D07">
              <w:rPr>
                <w:rFonts w:ascii="Arial" w:eastAsia="宋体" w:hAnsi="Arial" w:cs="Arial" w:hint="eastAsia"/>
                <w:bCs/>
                <w:iCs/>
                <w:color w:val="000000"/>
                <w:sz w:val="21"/>
                <w:szCs w:val="21"/>
              </w:rPr>
              <w:t>瀚</w:t>
            </w:r>
            <w:proofErr w:type="gramEnd"/>
            <w:r w:rsidRPr="00D57D07">
              <w:rPr>
                <w:rFonts w:ascii="Arial" w:eastAsia="宋体" w:hAnsi="Arial" w:cs="Arial" w:hint="eastAsia"/>
                <w:bCs/>
                <w:iCs/>
                <w:color w:val="000000"/>
                <w:sz w:val="21"/>
                <w:szCs w:val="21"/>
              </w:rPr>
              <w:t>川投资、葆金峰投资、</w:t>
            </w:r>
            <w:proofErr w:type="gramStart"/>
            <w:r w:rsidR="00373D58" w:rsidRPr="00D57D07">
              <w:rPr>
                <w:rFonts w:ascii="Arial" w:eastAsia="宋体" w:hAnsi="Arial" w:cs="Arial" w:hint="eastAsia"/>
                <w:bCs/>
                <w:iCs/>
                <w:color w:val="000000"/>
                <w:sz w:val="21"/>
                <w:szCs w:val="21"/>
              </w:rPr>
              <w:t>荷宝投资</w:t>
            </w:r>
            <w:proofErr w:type="gramEnd"/>
            <w:r w:rsidR="00373D58" w:rsidRPr="00D57D07">
              <w:rPr>
                <w:rFonts w:ascii="Arial" w:eastAsia="宋体" w:hAnsi="Arial" w:cs="Arial" w:hint="eastAsia"/>
                <w:bCs/>
                <w:iCs/>
                <w:color w:val="000000"/>
                <w:sz w:val="21"/>
                <w:szCs w:val="21"/>
              </w:rPr>
              <w:t>、</w:t>
            </w:r>
            <w:r w:rsidRPr="00D57D07">
              <w:rPr>
                <w:rFonts w:ascii="Arial" w:eastAsia="宋体" w:hAnsi="Arial" w:cs="Arial" w:hint="eastAsia"/>
                <w:bCs/>
                <w:iCs/>
                <w:color w:val="000000"/>
                <w:sz w:val="21"/>
                <w:szCs w:val="21"/>
              </w:rPr>
              <w:t>北京鼎</w:t>
            </w:r>
            <w:proofErr w:type="gramStart"/>
            <w:r w:rsidRPr="00D57D07">
              <w:rPr>
                <w:rFonts w:ascii="Arial" w:eastAsia="宋体" w:hAnsi="Arial" w:cs="Arial" w:hint="eastAsia"/>
                <w:bCs/>
                <w:iCs/>
                <w:color w:val="000000"/>
                <w:sz w:val="21"/>
                <w:szCs w:val="21"/>
              </w:rPr>
              <w:t>萨</w:t>
            </w:r>
            <w:proofErr w:type="gramEnd"/>
            <w:r w:rsidRPr="00D57D07">
              <w:rPr>
                <w:rFonts w:ascii="Arial" w:eastAsia="宋体" w:hAnsi="Arial" w:cs="Arial" w:hint="eastAsia"/>
                <w:bCs/>
                <w:iCs/>
                <w:color w:val="000000"/>
                <w:sz w:val="21"/>
                <w:szCs w:val="21"/>
              </w:rPr>
              <w:t>投资、北京</w:t>
            </w:r>
            <w:proofErr w:type="gramStart"/>
            <w:r w:rsidRPr="00D57D07">
              <w:rPr>
                <w:rFonts w:ascii="Arial" w:eastAsia="宋体" w:hAnsi="Arial" w:cs="Arial" w:hint="eastAsia"/>
                <w:bCs/>
                <w:iCs/>
                <w:color w:val="000000"/>
                <w:sz w:val="21"/>
                <w:szCs w:val="21"/>
              </w:rPr>
              <w:t>沣</w:t>
            </w:r>
            <w:proofErr w:type="gramEnd"/>
            <w:r w:rsidRPr="00D57D07">
              <w:rPr>
                <w:rFonts w:ascii="Arial" w:eastAsia="宋体" w:hAnsi="Arial" w:cs="Arial" w:hint="eastAsia"/>
                <w:bCs/>
                <w:iCs/>
                <w:color w:val="000000"/>
                <w:sz w:val="21"/>
                <w:szCs w:val="21"/>
              </w:rPr>
              <w:t>沛投资、</w:t>
            </w:r>
            <w:proofErr w:type="gramStart"/>
            <w:r w:rsidRPr="00D57D07">
              <w:rPr>
                <w:rFonts w:ascii="Arial" w:eastAsia="宋体" w:hAnsi="Arial" w:cs="Arial" w:hint="eastAsia"/>
                <w:bCs/>
                <w:iCs/>
                <w:color w:val="000000"/>
                <w:sz w:val="21"/>
                <w:szCs w:val="21"/>
              </w:rPr>
              <w:t>北京衍航投资</w:t>
            </w:r>
            <w:proofErr w:type="gramEnd"/>
            <w:r w:rsidRPr="00D57D07">
              <w:rPr>
                <w:rFonts w:ascii="Arial" w:eastAsia="宋体" w:hAnsi="Arial" w:cs="Arial" w:hint="eastAsia"/>
                <w:bCs/>
                <w:iCs/>
                <w:color w:val="000000"/>
                <w:sz w:val="21"/>
                <w:szCs w:val="21"/>
              </w:rPr>
              <w:t>、上海大正投资、上海水相投资、</w:t>
            </w:r>
            <w:proofErr w:type="gramStart"/>
            <w:r w:rsidRPr="00D57D07">
              <w:rPr>
                <w:rFonts w:ascii="Arial" w:eastAsia="宋体" w:hAnsi="Arial" w:cs="Arial" w:hint="eastAsia"/>
                <w:bCs/>
                <w:iCs/>
                <w:color w:val="000000"/>
                <w:sz w:val="21"/>
                <w:szCs w:val="21"/>
              </w:rPr>
              <w:t>上海途灵资产</w:t>
            </w:r>
            <w:proofErr w:type="gramEnd"/>
            <w:r w:rsidRPr="00D57D07">
              <w:rPr>
                <w:rFonts w:ascii="Arial" w:eastAsia="宋体" w:hAnsi="Arial" w:cs="Arial" w:hint="eastAsia"/>
                <w:bCs/>
                <w:iCs/>
                <w:color w:val="000000"/>
                <w:sz w:val="21"/>
                <w:szCs w:val="21"/>
              </w:rPr>
              <w:t>、</w:t>
            </w:r>
            <w:r w:rsidR="00B13BC7" w:rsidRPr="00D57D07">
              <w:rPr>
                <w:rFonts w:ascii="Arial" w:eastAsia="宋体" w:hAnsi="Arial" w:cs="Arial" w:hint="eastAsia"/>
                <w:bCs/>
                <w:iCs/>
                <w:color w:val="000000"/>
                <w:sz w:val="21"/>
                <w:szCs w:val="21"/>
              </w:rPr>
              <w:t>上海</w:t>
            </w:r>
            <w:proofErr w:type="gramStart"/>
            <w:r w:rsidR="00B13BC7" w:rsidRPr="00D57D07">
              <w:rPr>
                <w:rFonts w:ascii="Arial" w:eastAsia="宋体" w:hAnsi="Arial" w:cs="Arial" w:hint="eastAsia"/>
                <w:bCs/>
                <w:iCs/>
                <w:color w:val="000000"/>
                <w:sz w:val="21"/>
                <w:szCs w:val="21"/>
              </w:rPr>
              <w:t>磐</w:t>
            </w:r>
            <w:proofErr w:type="gramEnd"/>
            <w:r w:rsidR="00B13BC7" w:rsidRPr="00D57D07">
              <w:rPr>
                <w:rFonts w:ascii="Arial" w:eastAsia="宋体" w:hAnsi="Arial" w:cs="Arial" w:hint="eastAsia"/>
                <w:bCs/>
                <w:iCs/>
                <w:color w:val="000000"/>
                <w:sz w:val="21"/>
                <w:szCs w:val="21"/>
              </w:rPr>
              <w:t>信投资、</w:t>
            </w:r>
            <w:proofErr w:type="gramStart"/>
            <w:r w:rsidRPr="00D57D07">
              <w:rPr>
                <w:rFonts w:ascii="Arial" w:eastAsia="宋体" w:hAnsi="Arial" w:cs="Arial" w:hint="eastAsia"/>
                <w:bCs/>
                <w:iCs/>
                <w:color w:val="000000"/>
                <w:sz w:val="21"/>
                <w:szCs w:val="21"/>
              </w:rPr>
              <w:t>上海玖鹏资产</w:t>
            </w:r>
            <w:proofErr w:type="gramEnd"/>
            <w:r w:rsidRPr="00D57D07">
              <w:rPr>
                <w:rFonts w:ascii="Arial" w:eastAsia="宋体" w:hAnsi="Arial" w:cs="Arial" w:hint="eastAsia"/>
                <w:bCs/>
                <w:iCs/>
                <w:color w:val="000000"/>
                <w:sz w:val="21"/>
                <w:szCs w:val="21"/>
              </w:rPr>
              <w:t>、</w:t>
            </w:r>
            <w:r w:rsidR="00373D58" w:rsidRPr="00D57D07">
              <w:rPr>
                <w:rFonts w:ascii="Arial" w:eastAsia="宋体" w:hAnsi="Arial" w:cs="Arial" w:hint="eastAsia"/>
                <w:bCs/>
                <w:iCs/>
                <w:color w:val="000000"/>
                <w:sz w:val="21"/>
                <w:szCs w:val="21"/>
              </w:rPr>
              <w:t>上海益</w:t>
            </w:r>
            <w:proofErr w:type="gramStart"/>
            <w:r w:rsidR="00373D58" w:rsidRPr="00D57D07">
              <w:rPr>
                <w:rFonts w:ascii="Arial" w:eastAsia="宋体" w:hAnsi="Arial" w:cs="Arial" w:hint="eastAsia"/>
                <w:bCs/>
                <w:iCs/>
                <w:color w:val="000000"/>
                <w:sz w:val="21"/>
                <w:szCs w:val="21"/>
              </w:rPr>
              <w:t>昶</w:t>
            </w:r>
            <w:proofErr w:type="gramEnd"/>
            <w:r w:rsidR="00373D58" w:rsidRPr="00D57D07">
              <w:rPr>
                <w:rFonts w:ascii="Arial" w:eastAsia="宋体" w:hAnsi="Arial" w:cs="Arial" w:hint="eastAsia"/>
                <w:bCs/>
                <w:iCs/>
                <w:color w:val="000000"/>
                <w:sz w:val="21"/>
                <w:szCs w:val="21"/>
              </w:rPr>
              <w:t>资产、</w:t>
            </w:r>
            <w:proofErr w:type="gramStart"/>
            <w:r w:rsidRPr="00D57D07">
              <w:rPr>
                <w:rFonts w:ascii="Arial" w:eastAsia="宋体" w:hAnsi="Arial" w:cs="Arial" w:hint="eastAsia"/>
                <w:bCs/>
                <w:iCs/>
                <w:color w:val="000000"/>
                <w:sz w:val="21"/>
                <w:szCs w:val="21"/>
              </w:rPr>
              <w:t>湖南源乘投资</w:t>
            </w:r>
            <w:proofErr w:type="gramEnd"/>
            <w:r w:rsidR="001F2A5D" w:rsidRPr="00D57D07">
              <w:rPr>
                <w:rFonts w:ascii="Arial" w:eastAsia="宋体" w:hAnsi="Arial" w:cs="Arial" w:hint="eastAsia"/>
                <w:bCs/>
                <w:iCs/>
                <w:color w:val="000000"/>
                <w:sz w:val="21"/>
                <w:szCs w:val="21"/>
              </w:rPr>
              <w:t>、</w:t>
            </w:r>
            <w:r w:rsidR="00B13BC7" w:rsidRPr="00D57D07">
              <w:rPr>
                <w:rFonts w:ascii="Arial" w:eastAsia="宋体" w:hAnsi="Arial" w:cs="Arial" w:hint="eastAsia"/>
                <w:bCs/>
                <w:iCs/>
                <w:color w:val="000000"/>
                <w:sz w:val="21"/>
                <w:szCs w:val="21"/>
              </w:rPr>
              <w:t>长见投资、</w:t>
            </w:r>
            <w:proofErr w:type="gramStart"/>
            <w:r w:rsidR="00B13BC7" w:rsidRPr="00D57D07">
              <w:rPr>
                <w:rFonts w:ascii="Arial" w:eastAsia="宋体" w:hAnsi="Arial" w:cs="Arial" w:hint="eastAsia"/>
                <w:bCs/>
                <w:iCs/>
                <w:color w:val="000000"/>
                <w:sz w:val="21"/>
                <w:szCs w:val="21"/>
              </w:rPr>
              <w:t>永瑞投资</w:t>
            </w:r>
            <w:proofErr w:type="gramEnd"/>
            <w:r w:rsidR="00B13BC7" w:rsidRPr="00D57D07">
              <w:rPr>
                <w:rFonts w:ascii="Arial" w:eastAsia="宋体" w:hAnsi="Arial" w:cs="Arial" w:hint="eastAsia"/>
                <w:bCs/>
                <w:iCs/>
                <w:color w:val="000000"/>
                <w:sz w:val="21"/>
                <w:szCs w:val="21"/>
              </w:rPr>
              <w:t>、燕园投资、盛宇投资、景元投资、景林投资、</w:t>
            </w:r>
            <w:r w:rsidR="001F2A5D" w:rsidRPr="00D57D07">
              <w:rPr>
                <w:rFonts w:ascii="Arial" w:eastAsia="宋体" w:hAnsi="Arial" w:cs="Arial" w:hint="eastAsia"/>
                <w:bCs/>
                <w:iCs/>
                <w:color w:val="000000"/>
                <w:sz w:val="21"/>
                <w:szCs w:val="21"/>
              </w:rPr>
              <w:t>中</w:t>
            </w:r>
            <w:proofErr w:type="gramStart"/>
            <w:r w:rsidR="001F2A5D" w:rsidRPr="00D57D07">
              <w:rPr>
                <w:rFonts w:ascii="Arial" w:eastAsia="宋体" w:hAnsi="Arial" w:cs="Arial" w:hint="eastAsia"/>
                <w:bCs/>
                <w:iCs/>
                <w:color w:val="000000"/>
                <w:sz w:val="21"/>
                <w:szCs w:val="21"/>
              </w:rPr>
              <w:t>信建投证券</w:t>
            </w:r>
            <w:proofErr w:type="gramEnd"/>
            <w:r w:rsidR="001F2A5D" w:rsidRPr="00D57D07">
              <w:rPr>
                <w:rFonts w:ascii="Arial" w:eastAsia="宋体" w:hAnsi="Arial" w:cs="Arial" w:hint="eastAsia"/>
                <w:bCs/>
                <w:iCs/>
                <w:color w:val="000000"/>
                <w:sz w:val="21"/>
                <w:szCs w:val="21"/>
              </w:rPr>
              <w:t>、国都证券、华融证券、国金证券、上海东方证券、</w:t>
            </w:r>
            <w:proofErr w:type="gramStart"/>
            <w:r w:rsidR="001F2A5D" w:rsidRPr="00D57D07">
              <w:rPr>
                <w:rFonts w:ascii="Arial" w:eastAsia="宋体" w:hAnsi="Arial" w:cs="Arial" w:hint="eastAsia"/>
                <w:bCs/>
                <w:iCs/>
                <w:color w:val="000000"/>
                <w:sz w:val="21"/>
                <w:szCs w:val="21"/>
              </w:rPr>
              <w:t>银河金</w:t>
            </w:r>
            <w:proofErr w:type="gramEnd"/>
            <w:r w:rsidR="001F2A5D" w:rsidRPr="00D57D07">
              <w:rPr>
                <w:rFonts w:ascii="Arial" w:eastAsia="宋体" w:hAnsi="Arial" w:cs="Arial" w:hint="eastAsia"/>
                <w:bCs/>
                <w:iCs/>
                <w:color w:val="000000"/>
                <w:sz w:val="21"/>
                <w:szCs w:val="21"/>
              </w:rPr>
              <w:t>汇证券、中天证券、</w:t>
            </w:r>
            <w:r w:rsidRPr="00D57D07">
              <w:rPr>
                <w:rFonts w:ascii="Arial" w:eastAsia="宋体" w:hAnsi="Arial" w:cs="Arial" w:hint="eastAsia"/>
                <w:bCs/>
                <w:iCs/>
                <w:color w:val="000000"/>
                <w:sz w:val="21"/>
                <w:szCs w:val="21"/>
              </w:rPr>
              <w:t>（排名不分先后）</w:t>
            </w:r>
          </w:p>
        </w:tc>
      </w:tr>
      <w:tr w:rsidR="00625348" w:rsidRPr="000A1F84" w14:paraId="53D38243"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5AFFE06F"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时间</w:t>
            </w:r>
          </w:p>
        </w:tc>
        <w:tc>
          <w:tcPr>
            <w:tcW w:w="4138" w:type="pct"/>
            <w:tcBorders>
              <w:top w:val="single" w:sz="4" w:space="0" w:color="auto"/>
              <w:left w:val="single" w:sz="4" w:space="0" w:color="auto"/>
              <w:bottom w:val="single" w:sz="4" w:space="0" w:color="auto"/>
              <w:right w:val="single" w:sz="4" w:space="0" w:color="auto"/>
            </w:tcBorders>
          </w:tcPr>
          <w:p w14:paraId="2551F292" w14:textId="0EE5A6F0" w:rsidR="00625348" w:rsidRPr="000A1F84" w:rsidRDefault="00625348" w:rsidP="00084E94">
            <w:pPr>
              <w:spacing w:line="480" w:lineRule="atLeast"/>
              <w:rPr>
                <w:rFonts w:ascii="Arial" w:eastAsia="宋体" w:hAnsi="Arial" w:cs="Arial"/>
                <w:bCs/>
                <w:iCs/>
                <w:color w:val="000000"/>
              </w:rPr>
            </w:pPr>
            <w:r w:rsidRPr="000A1F84">
              <w:rPr>
                <w:rFonts w:ascii="Arial" w:eastAsia="宋体" w:hAnsi="Arial" w:cs="Arial"/>
                <w:bCs/>
                <w:iCs/>
                <w:color w:val="000000"/>
              </w:rPr>
              <w:t>20</w:t>
            </w:r>
            <w:r>
              <w:rPr>
                <w:rFonts w:ascii="Arial" w:eastAsia="宋体" w:hAnsi="Arial" w:cs="Arial" w:hint="eastAsia"/>
                <w:bCs/>
                <w:iCs/>
                <w:color w:val="000000"/>
              </w:rPr>
              <w:t>20</w:t>
            </w:r>
            <w:r w:rsidRPr="000A1F84">
              <w:rPr>
                <w:rFonts w:ascii="Arial" w:eastAsia="宋体" w:hAnsi="Arial" w:cs="Arial"/>
                <w:bCs/>
                <w:iCs/>
                <w:color w:val="000000"/>
              </w:rPr>
              <w:t>年</w:t>
            </w:r>
            <w:r>
              <w:rPr>
                <w:rFonts w:ascii="Arial" w:eastAsia="宋体" w:hAnsi="Arial" w:cs="Arial" w:hint="eastAsia"/>
                <w:bCs/>
                <w:iCs/>
                <w:color w:val="000000"/>
              </w:rPr>
              <w:t>4</w:t>
            </w:r>
            <w:r w:rsidRPr="000A1F84">
              <w:rPr>
                <w:rFonts w:ascii="Arial" w:eastAsia="宋体" w:hAnsi="Arial" w:cs="Arial"/>
                <w:bCs/>
                <w:iCs/>
                <w:color w:val="000000"/>
              </w:rPr>
              <w:t>月</w:t>
            </w:r>
            <w:r>
              <w:rPr>
                <w:rFonts w:ascii="Arial" w:eastAsia="宋体" w:hAnsi="Arial" w:cs="Arial" w:hint="eastAsia"/>
                <w:bCs/>
                <w:iCs/>
                <w:color w:val="000000"/>
              </w:rPr>
              <w:t>0</w:t>
            </w:r>
            <w:r>
              <w:rPr>
                <w:rFonts w:ascii="Arial" w:eastAsia="宋体" w:hAnsi="Arial" w:cs="Arial"/>
                <w:bCs/>
                <w:iCs/>
                <w:color w:val="000000"/>
              </w:rPr>
              <w:t>2</w:t>
            </w:r>
            <w:r w:rsidRPr="000A1F84">
              <w:rPr>
                <w:rFonts w:ascii="Arial" w:eastAsia="宋体" w:hAnsi="Arial" w:cs="Arial"/>
                <w:bCs/>
                <w:iCs/>
                <w:color w:val="000000"/>
              </w:rPr>
              <w:t>日</w:t>
            </w:r>
            <w:r w:rsidR="00B96F2C">
              <w:rPr>
                <w:rFonts w:ascii="Arial" w:eastAsia="宋体" w:hAnsi="Arial" w:cs="Arial" w:hint="eastAsia"/>
                <w:bCs/>
                <w:iCs/>
                <w:color w:val="000000"/>
              </w:rPr>
              <w:t>~</w:t>
            </w:r>
            <w:r w:rsidR="00B96F2C">
              <w:rPr>
                <w:rFonts w:ascii="Arial" w:eastAsia="宋体" w:hAnsi="Arial" w:cs="Arial"/>
                <w:bCs/>
                <w:iCs/>
                <w:color w:val="000000"/>
              </w:rPr>
              <w:t>4</w:t>
            </w:r>
            <w:r w:rsidR="00B96F2C">
              <w:rPr>
                <w:rFonts w:ascii="Arial" w:eastAsia="宋体" w:hAnsi="Arial" w:cs="Arial" w:hint="eastAsia"/>
                <w:bCs/>
                <w:iCs/>
                <w:color w:val="000000"/>
              </w:rPr>
              <w:t>月</w:t>
            </w:r>
            <w:r w:rsidR="00B96F2C">
              <w:rPr>
                <w:rFonts w:ascii="Arial" w:eastAsia="宋体" w:hAnsi="Arial" w:cs="Arial" w:hint="eastAsia"/>
                <w:bCs/>
                <w:iCs/>
                <w:color w:val="000000"/>
              </w:rPr>
              <w:t>03</w:t>
            </w:r>
            <w:r w:rsidR="00B96F2C">
              <w:rPr>
                <w:rFonts w:ascii="Arial" w:eastAsia="宋体" w:hAnsi="Arial" w:cs="Arial" w:hint="eastAsia"/>
                <w:bCs/>
                <w:iCs/>
                <w:color w:val="000000"/>
              </w:rPr>
              <w:t>日</w:t>
            </w:r>
          </w:p>
        </w:tc>
      </w:tr>
      <w:tr w:rsidR="00625348" w:rsidRPr="000A1F84" w14:paraId="4FD97E64"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74391928"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地点</w:t>
            </w:r>
          </w:p>
        </w:tc>
        <w:tc>
          <w:tcPr>
            <w:tcW w:w="4138" w:type="pct"/>
            <w:tcBorders>
              <w:top w:val="single" w:sz="4" w:space="0" w:color="auto"/>
              <w:left w:val="single" w:sz="4" w:space="0" w:color="auto"/>
              <w:bottom w:val="single" w:sz="4" w:space="0" w:color="auto"/>
              <w:right w:val="single" w:sz="4" w:space="0" w:color="auto"/>
            </w:tcBorders>
          </w:tcPr>
          <w:p w14:paraId="4D87050C" w14:textId="77777777" w:rsidR="00625348" w:rsidRPr="000A1F84" w:rsidRDefault="00625348" w:rsidP="00084E94">
            <w:pPr>
              <w:spacing w:line="480" w:lineRule="atLeast"/>
              <w:rPr>
                <w:rFonts w:ascii="Arial" w:eastAsia="宋体" w:hAnsi="Arial" w:cs="Arial"/>
                <w:bCs/>
                <w:iCs/>
                <w:color w:val="000000"/>
              </w:rPr>
            </w:pPr>
            <w:r>
              <w:rPr>
                <w:rFonts w:ascii="Arial" w:eastAsia="宋体" w:hAnsi="Arial" w:cs="Arial" w:hint="eastAsia"/>
                <w:bCs/>
                <w:iCs/>
                <w:color w:val="000000"/>
              </w:rPr>
              <w:t>电话会议</w:t>
            </w:r>
          </w:p>
        </w:tc>
      </w:tr>
      <w:tr w:rsidR="00625348" w:rsidRPr="000A1F84" w14:paraId="2A337B10"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65D2A4C8"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上市公司接待人员姓名</w:t>
            </w:r>
          </w:p>
        </w:tc>
        <w:tc>
          <w:tcPr>
            <w:tcW w:w="4138" w:type="pct"/>
            <w:tcBorders>
              <w:top w:val="single" w:sz="4" w:space="0" w:color="auto"/>
              <w:left w:val="single" w:sz="4" w:space="0" w:color="auto"/>
              <w:bottom w:val="single" w:sz="4" w:space="0" w:color="auto"/>
              <w:right w:val="single" w:sz="4" w:space="0" w:color="auto"/>
            </w:tcBorders>
            <w:vAlign w:val="center"/>
          </w:tcPr>
          <w:p w14:paraId="5D08806B" w14:textId="77777777" w:rsidR="00625348" w:rsidRPr="00456DBE" w:rsidRDefault="00625348" w:rsidP="00084E94">
            <w:pPr>
              <w:spacing w:line="480" w:lineRule="atLeast"/>
              <w:jc w:val="both"/>
              <w:rPr>
                <w:rFonts w:ascii="Arial" w:eastAsia="宋体" w:hAnsi="Arial" w:cs="Arial"/>
                <w:bCs/>
                <w:iCs/>
                <w:color w:val="000000"/>
              </w:rPr>
            </w:pPr>
            <w:r>
              <w:rPr>
                <w:rFonts w:ascii="Arial" w:eastAsia="宋体" w:hAnsi="Arial" w:cs="Arial"/>
                <w:bCs/>
                <w:iCs/>
                <w:color w:val="000000"/>
              </w:rPr>
              <w:t>公司</w:t>
            </w:r>
            <w:r w:rsidRPr="000A1F84">
              <w:rPr>
                <w:rFonts w:ascii="Arial" w:eastAsia="宋体" w:hAnsi="Arial" w:cs="Arial"/>
                <w:bCs/>
                <w:iCs/>
                <w:color w:val="000000"/>
              </w:rPr>
              <w:t>董事会秘书</w:t>
            </w:r>
            <w:r>
              <w:rPr>
                <w:rFonts w:ascii="Arial" w:eastAsia="宋体" w:hAnsi="Arial" w:cs="Arial" w:hint="eastAsia"/>
                <w:bCs/>
                <w:iCs/>
                <w:color w:val="000000"/>
              </w:rPr>
              <w:t>、副总经理</w:t>
            </w:r>
            <w:r w:rsidRPr="000A1F84">
              <w:rPr>
                <w:rFonts w:ascii="Arial" w:eastAsia="宋体" w:hAnsi="Arial" w:cs="Arial"/>
                <w:bCs/>
                <w:iCs/>
                <w:color w:val="000000"/>
              </w:rPr>
              <w:t xml:space="preserve"> </w:t>
            </w:r>
            <w:r w:rsidRPr="000A1F84">
              <w:rPr>
                <w:rFonts w:ascii="Arial" w:eastAsia="宋体" w:hAnsi="Arial" w:cs="Arial"/>
                <w:bCs/>
                <w:iCs/>
                <w:color w:val="000000"/>
              </w:rPr>
              <w:t>王慎勇</w:t>
            </w:r>
          </w:p>
        </w:tc>
      </w:tr>
      <w:tr w:rsidR="00625348" w:rsidRPr="000A1F84" w14:paraId="62F2F017"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1404E7C3"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投资者关系活动主要内容介绍</w:t>
            </w:r>
          </w:p>
        </w:tc>
        <w:tc>
          <w:tcPr>
            <w:tcW w:w="4138" w:type="pct"/>
            <w:tcBorders>
              <w:top w:val="single" w:sz="4" w:space="0" w:color="auto"/>
              <w:left w:val="single" w:sz="4" w:space="0" w:color="auto"/>
              <w:bottom w:val="single" w:sz="4" w:space="0" w:color="auto"/>
              <w:right w:val="single" w:sz="4" w:space="0" w:color="auto"/>
            </w:tcBorders>
          </w:tcPr>
          <w:p w14:paraId="1B3BDA3E" w14:textId="77777777" w:rsidR="00625348" w:rsidRPr="000A1F84" w:rsidRDefault="00625348" w:rsidP="00084E94">
            <w:pPr>
              <w:spacing w:line="480" w:lineRule="atLeast"/>
              <w:rPr>
                <w:rFonts w:ascii="Arial" w:eastAsia="宋体" w:hAnsi="Arial" w:cs="Arial"/>
                <w:bCs/>
                <w:iCs/>
                <w:color w:val="000000"/>
              </w:rPr>
            </w:pPr>
          </w:p>
          <w:p w14:paraId="62302B0D" w14:textId="77777777" w:rsidR="00625348" w:rsidRPr="000A1F84" w:rsidRDefault="00625348" w:rsidP="00084E94">
            <w:pPr>
              <w:spacing w:line="480" w:lineRule="atLeast"/>
              <w:rPr>
                <w:rFonts w:ascii="Arial" w:eastAsia="宋体" w:hAnsi="Arial" w:cs="Arial"/>
                <w:bCs/>
                <w:iCs/>
                <w:color w:val="000000"/>
              </w:rPr>
            </w:pPr>
            <w:r w:rsidRPr="000A1F84">
              <w:rPr>
                <w:rFonts w:ascii="Arial" w:eastAsia="宋体" w:hAnsi="Arial" w:cs="Arial"/>
                <w:bCs/>
                <w:iCs/>
                <w:color w:val="000000"/>
              </w:rPr>
              <w:t>详见会议纪要</w:t>
            </w:r>
          </w:p>
          <w:p w14:paraId="6CF08A34" w14:textId="77777777" w:rsidR="00625348" w:rsidRPr="000A1F84" w:rsidRDefault="00625348" w:rsidP="00084E94">
            <w:pPr>
              <w:spacing w:line="480" w:lineRule="atLeast"/>
              <w:rPr>
                <w:rFonts w:ascii="Arial" w:eastAsia="宋体" w:hAnsi="Arial" w:cs="Arial"/>
                <w:bCs/>
                <w:iCs/>
                <w:color w:val="000000"/>
              </w:rPr>
            </w:pPr>
          </w:p>
        </w:tc>
      </w:tr>
      <w:tr w:rsidR="00625348" w:rsidRPr="000A1F84" w14:paraId="0B218F13"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1CF17E4C"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t>附件清单</w:t>
            </w:r>
            <w:r w:rsidRPr="000A1F84">
              <w:rPr>
                <w:rFonts w:ascii="Arial" w:eastAsia="宋体" w:hAnsi="Arial" w:cs="Arial"/>
                <w:bCs/>
                <w:iCs/>
                <w:color w:val="000000"/>
              </w:rPr>
              <w:lastRenderedPageBreak/>
              <w:t>（如有）</w:t>
            </w:r>
          </w:p>
        </w:tc>
        <w:tc>
          <w:tcPr>
            <w:tcW w:w="4138" w:type="pct"/>
            <w:tcBorders>
              <w:top w:val="single" w:sz="4" w:space="0" w:color="auto"/>
              <w:left w:val="single" w:sz="4" w:space="0" w:color="auto"/>
              <w:bottom w:val="single" w:sz="4" w:space="0" w:color="auto"/>
              <w:right w:val="single" w:sz="4" w:space="0" w:color="auto"/>
            </w:tcBorders>
          </w:tcPr>
          <w:p w14:paraId="7786D836" w14:textId="77777777" w:rsidR="00625348" w:rsidRPr="000A1F84" w:rsidRDefault="00625348" w:rsidP="00084E94">
            <w:pPr>
              <w:spacing w:line="480" w:lineRule="atLeast"/>
              <w:rPr>
                <w:rFonts w:ascii="Arial" w:eastAsia="宋体" w:hAnsi="Arial" w:cs="Arial"/>
                <w:bCs/>
                <w:iCs/>
                <w:color w:val="000000"/>
              </w:rPr>
            </w:pPr>
            <w:r w:rsidRPr="000A1F84">
              <w:rPr>
                <w:rFonts w:ascii="Arial" w:eastAsia="宋体" w:hAnsi="Arial" w:cs="Arial"/>
                <w:bCs/>
                <w:iCs/>
                <w:color w:val="000000"/>
              </w:rPr>
              <w:lastRenderedPageBreak/>
              <w:t>无</w:t>
            </w:r>
          </w:p>
        </w:tc>
      </w:tr>
      <w:tr w:rsidR="00625348" w:rsidRPr="000A1F84" w14:paraId="75926290" w14:textId="77777777" w:rsidTr="00084E94">
        <w:tc>
          <w:tcPr>
            <w:tcW w:w="862" w:type="pct"/>
            <w:tcBorders>
              <w:top w:val="single" w:sz="4" w:space="0" w:color="auto"/>
              <w:left w:val="single" w:sz="4" w:space="0" w:color="auto"/>
              <w:bottom w:val="single" w:sz="4" w:space="0" w:color="auto"/>
              <w:right w:val="single" w:sz="4" w:space="0" w:color="auto"/>
            </w:tcBorders>
            <w:vAlign w:val="center"/>
          </w:tcPr>
          <w:p w14:paraId="217A7E55" w14:textId="77777777" w:rsidR="00625348" w:rsidRPr="000A1F84" w:rsidRDefault="00625348" w:rsidP="00084E94">
            <w:pPr>
              <w:spacing w:line="480" w:lineRule="atLeast"/>
              <w:jc w:val="center"/>
              <w:rPr>
                <w:rFonts w:ascii="Arial" w:eastAsia="宋体" w:hAnsi="Arial" w:cs="Arial"/>
                <w:bCs/>
                <w:iCs/>
                <w:color w:val="000000"/>
              </w:rPr>
            </w:pPr>
            <w:r w:rsidRPr="000A1F84">
              <w:rPr>
                <w:rFonts w:ascii="Arial" w:eastAsia="宋体" w:hAnsi="Arial" w:cs="Arial"/>
                <w:bCs/>
                <w:iCs/>
                <w:color w:val="000000"/>
              </w:rPr>
              <w:lastRenderedPageBreak/>
              <w:t>日期</w:t>
            </w:r>
          </w:p>
        </w:tc>
        <w:tc>
          <w:tcPr>
            <w:tcW w:w="4138" w:type="pct"/>
            <w:tcBorders>
              <w:top w:val="single" w:sz="4" w:space="0" w:color="auto"/>
              <w:left w:val="single" w:sz="4" w:space="0" w:color="auto"/>
              <w:bottom w:val="single" w:sz="4" w:space="0" w:color="auto"/>
              <w:right w:val="single" w:sz="4" w:space="0" w:color="auto"/>
            </w:tcBorders>
          </w:tcPr>
          <w:p w14:paraId="734D3FB8" w14:textId="3A1C9F8E" w:rsidR="00625348" w:rsidRPr="000A1F84" w:rsidRDefault="00B96F2C" w:rsidP="00084E94">
            <w:pPr>
              <w:spacing w:line="480" w:lineRule="atLeast"/>
              <w:rPr>
                <w:rFonts w:ascii="Arial" w:eastAsia="宋体" w:hAnsi="Arial" w:cs="Arial"/>
                <w:bCs/>
                <w:iCs/>
                <w:color w:val="000000"/>
              </w:rPr>
            </w:pPr>
            <w:r w:rsidRPr="000A1F84">
              <w:rPr>
                <w:rFonts w:ascii="Arial" w:eastAsia="宋体" w:hAnsi="Arial" w:cs="Arial"/>
                <w:bCs/>
                <w:iCs/>
                <w:color w:val="000000"/>
              </w:rPr>
              <w:t>20</w:t>
            </w:r>
            <w:r>
              <w:rPr>
                <w:rFonts w:ascii="Arial" w:eastAsia="宋体" w:hAnsi="Arial" w:cs="Arial" w:hint="eastAsia"/>
                <w:bCs/>
                <w:iCs/>
                <w:color w:val="000000"/>
              </w:rPr>
              <w:t>20</w:t>
            </w:r>
            <w:r w:rsidRPr="000A1F84">
              <w:rPr>
                <w:rFonts w:ascii="Arial" w:eastAsia="宋体" w:hAnsi="Arial" w:cs="Arial"/>
                <w:bCs/>
                <w:iCs/>
                <w:color w:val="000000"/>
              </w:rPr>
              <w:t>年</w:t>
            </w:r>
            <w:r>
              <w:rPr>
                <w:rFonts w:ascii="Arial" w:eastAsia="宋体" w:hAnsi="Arial" w:cs="Arial" w:hint="eastAsia"/>
                <w:bCs/>
                <w:iCs/>
                <w:color w:val="000000"/>
              </w:rPr>
              <w:t>4</w:t>
            </w:r>
            <w:r w:rsidRPr="000A1F84">
              <w:rPr>
                <w:rFonts w:ascii="Arial" w:eastAsia="宋体" w:hAnsi="Arial" w:cs="Arial"/>
                <w:bCs/>
                <w:iCs/>
                <w:color w:val="000000"/>
              </w:rPr>
              <w:t>月</w:t>
            </w:r>
            <w:r>
              <w:rPr>
                <w:rFonts w:ascii="Arial" w:eastAsia="宋体" w:hAnsi="Arial" w:cs="Arial" w:hint="eastAsia"/>
                <w:bCs/>
                <w:iCs/>
                <w:color w:val="000000"/>
              </w:rPr>
              <w:t>0</w:t>
            </w:r>
            <w:r>
              <w:rPr>
                <w:rFonts w:ascii="Arial" w:eastAsia="宋体" w:hAnsi="Arial" w:cs="Arial"/>
                <w:bCs/>
                <w:iCs/>
                <w:color w:val="000000"/>
              </w:rPr>
              <w:t>2</w:t>
            </w:r>
            <w:r w:rsidRPr="000A1F84">
              <w:rPr>
                <w:rFonts w:ascii="Arial" w:eastAsia="宋体" w:hAnsi="Arial" w:cs="Arial"/>
                <w:bCs/>
                <w:iCs/>
                <w:color w:val="000000"/>
              </w:rPr>
              <w:t>日</w:t>
            </w:r>
            <w:r>
              <w:rPr>
                <w:rFonts w:ascii="Arial" w:eastAsia="宋体" w:hAnsi="Arial" w:cs="Arial" w:hint="eastAsia"/>
                <w:bCs/>
                <w:iCs/>
                <w:color w:val="000000"/>
              </w:rPr>
              <w:t>~</w:t>
            </w:r>
            <w:r>
              <w:rPr>
                <w:rFonts w:ascii="Arial" w:eastAsia="宋体" w:hAnsi="Arial" w:cs="Arial"/>
                <w:bCs/>
                <w:iCs/>
                <w:color w:val="000000"/>
              </w:rPr>
              <w:t>4</w:t>
            </w:r>
            <w:r>
              <w:rPr>
                <w:rFonts w:ascii="Arial" w:eastAsia="宋体" w:hAnsi="Arial" w:cs="Arial" w:hint="eastAsia"/>
                <w:bCs/>
                <w:iCs/>
                <w:color w:val="000000"/>
              </w:rPr>
              <w:t>月</w:t>
            </w:r>
            <w:r>
              <w:rPr>
                <w:rFonts w:ascii="Arial" w:eastAsia="宋体" w:hAnsi="Arial" w:cs="Arial" w:hint="eastAsia"/>
                <w:bCs/>
                <w:iCs/>
                <w:color w:val="000000"/>
              </w:rPr>
              <w:t>03</w:t>
            </w:r>
            <w:r>
              <w:rPr>
                <w:rFonts w:ascii="Arial" w:eastAsia="宋体" w:hAnsi="Arial" w:cs="Arial" w:hint="eastAsia"/>
                <w:bCs/>
                <w:iCs/>
                <w:color w:val="000000"/>
              </w:rPr>
              <w:t>日</w:t>
            </w:r>
          </w:p>
        </w:tc>
      </w:tr>
    </w:tbl>
    <w:p w14:paraId="54CE7E6C" w14:textId="77777777" w:rsidR="00B13BC7" w:rsidRDefault="00B13BC7" w:rsidP="009179B6">
      <w:pPr>
        <w:spacing w:beforeLines="50" w:before="156" w:afterLines="50" w:after="156"/>
        <w:ind w:firstLineChars="200" w:firstLine="643"/>
        <w:jc w:val="center"/>
        <w:rPr>
          <w:rFonts w:ascii="Arial" w:eastAsia="宋体" w:hAnsi="Arial" w:cs="Arial"/>
          <w:b/>
          <w:sz w:val="32"/>
        </w:rPr>
        <w:sectPr w:rsidR="00B13BC7">
          <w:pgSz w:w="11906" w:h="16838"/>
          <w:pgMar w:top="1440" w:right="1800" w:bottom="1440" w:left="1800" w:header="851" w:footer="992" w:gutter="0"/>
          <w:cols w:space="425"/>
          <w:docGrid w:type="lines" w:linePitch="312"/>
        </w:sectPr>
      </w:pPr>
    </w:p>
    <w:p w14:paraId="2795D391" w14:textId="7A9C2F46" w:rsidR="009B088C" w:rsidRDefault="009B088C" w:rsidP="009179B6">
      <w:pPr>
        <w:spacing w:beforeLines="50" w:before="156" w:afterLines="50" w:after="156"/>
        <w:ind w:firstLineChars="200" w:firstLine="643"/>
        <w:jc w:val="center"/>
        <w:rPr>
          <w:rFonts w:ascii="Arial" w:eastAsia="宋体" w:hAnsi="Arial" w:cs="Arial"/>
          <w:b/>
        </w:rPr>
      </w:pPr>
      <w:r>
        <w:rPr>
          <w:rFonts w:ascii="Arial" w:eastAsia="宋体" w:hAnsi="Arial" w:cs="Arial" w:hint="eastAsia"/>
          <w:b/>
          <w:sz w:val="32"/>
        </w:rPr>
        <w:lastRenderedPageBreak/>
        <w:t>会议纪要</w:t>
      </w:r>
      <w:r>
        <w:rPr>
          <w:rFonts w:ascii="Arial" w:eastAsia="宋体" w:hAnsi="Arial" w:cs="Arial" w:hint="eastAsia"/>
          <w:b/>
          <w:sz w:val="32"/>
        </w:rPr>
        <w:cr/>
      </w:r>
    </w:p>
    <w:p w14:paraId="39E22B2E" w14:textId="697F7628" w:rsidR="009B088C" w:rsidRPr="00C0518E" w:rsidRDefault="00B13BC7" w:rsidP="00F24A6C">
      <w:pPr>
        <w:snapToGrid w:val="0"/>
        <w:spacing w:before="240" w:after="240"/>
        <w:rPr>
          <w:rFonts w:ascii="微软雅黑" w:eastAsia="微软雅黑" w:hAnsi="微软雅黑" w:cs="宋体"/>
        </w:rPr>
      </w:pPr>
      <w:r>
        <w:rPr>
          <w:rFonts w:ascii="微软雅黑" w:eastAsia="微软雅黑" w:hAnsi="微软雅黑" w:cs="宋体" w:hint="eastAsia"/>
        </w:rPr>
        <w:t>日期</w:t>
      </w:r>
      <w:r w:rsidR="009B088C" w:rsidRPr="00C0518E">
        <w:rPr>
          <w:rFonts w:ascii="微软雅黑" w:eastAsia="微软雅黑" w:hAnsi="微软雅黑" w:cs="宋体" w:hint="eastAsia"/>
        </w:rPr>
        <w:t>：2</w:t>
      </w:r>
      <w:r w:rsidR="009B088C" w:rsidRPr="00C0518E">
        <w:rPr>
          <w:rFonts w:ascii="微软雅黑" w:eastAsia="微软雅黑" w:hAnsi="微软雅黑" w:cs="宋体"/>
        </w:rPr>
        <w:t>020</w:t>
      </w:r>
      <w:r w:rsidR="009B088C" w:rsidRPr="00C0518E">
        <w:rPr>
          <w:rFonts w:ascii="微软雅黑" w:eastAsia="微软雅黑" w:hAnsi="微软雅黑" w:cs="宋体" w:hint="eastAsia"/>
        </w:rPr>
        <w:t>年0</w:t>
      </w:r>
      <w:r w:rsidR="009B088C" w:rsidRPr="00C0518E">
        <w:rPr>
          <w:rFonts w:ascii="微软雅黑" w:eastAsia="微软雅黑" w:hAnsi="微软雅黑" w:cs="宋体"/>
        </w:rPr>
        <w:t>4</w:t>
      </w:r>
      <w:r w:rsidR="009B088C" w:rsidRPr="00C0518E">
        <w:rPr>
          <w:rFonts w:ascii="微软雅黑" w:eastAsia="微软雅黑" w:hAnsi="微软雅黑" w:cs="宋体" w:hint="eastAsia"/>
        </w:rPr>
        <w:t>月</w:t>
      </w:r>
      <w:r w:rsidR="009B088C" w:rsidRPr="00C0518E">
        <w:rPr>
          <w:rFonts w:ascii="微软雅黑" w:eastAsia="微软雅黑" w:hAnsi="微软雅黑" w:cs="宋体"/>
        </w:rPr>
        <w:t>02</w:t>
      </w:r>
      <w:r w:rsidR="009B088C" w:rsidRPr="00C0518E">
        <w:rPr>
          <w:rFonts w:ascii="微软雅黑" w:eastAsia="微软雅黑" w:hAnsi="微软雅黑" w:cs="宋体" w:hint="eastAsia"/>
        </w:rPr>
        <w:t>日</w:t>
      </w:r>
      <w:r>
        <w:rPr>
          <w:rFonts w:ascii="微软雅黑" w:eastAsia="微软雅黑" w:hAnsi="微软雅黑" w:cs="宋体" w:hint="eastAsia"/>
        </w:rPr>
        <w:t>~</w:t>
      </w:r>
      <w:r w:rsidRPr="00C0518E">
        <w:rPr>
          <w:rFonts w:ascii="微软雅黑" w:eastAsia="微软雅黑" w:hAnsi="微软雅黑" w:cs="宋体" w:hint="eastAsia"/>
        </w:rPr>
        <w:t>0</w:t>
      </w:r>
      <w:r w:rsidRPr="00C0518E">
        <w:rPr>
          <w:rFonts w:ascii="微软雅黑" w:eastAsia="微软雅黑" w:hAnsi="微软雅黑" w:cs="宋体"/>
        </w:rPr>
        <w:t>4</w:t>
      </w:r>
      <w:r w:rsidRPr="00C0518E">
        <w:rPr>
          <w:rFonts w:ascii="微软雅黑" w:eastAsia="微软雅黑" w:hAnsi="微软雅黑" w:cs="宋体" w:hint="eastAsia"/>
        </w:rPr>
        <w:t>月</w:t>
      </w:r>
      <w:r w:rsidRPr="00C0518E">
        <w:rPr>
          <w:rFonts w:ascii="微软雅黑" w:eastAsia="微软雅黑" w:hAnsi="微软雅黑" w:cs="宋体"/>
        </w:rPr>
        <w:t>0</w:t>
      </w:r>
      <w:r>
        <w:rPr>
          <w:rFonts w:ascii="微软雅黑" w:eastAsia="微软雅黑" w:hAnsi="微软雅黑" w:cs="宋体"/>
        </w:rPr>
        <w:t>3</w:t>
      </w:r>
      <w:r w:rsidRPr="00C0518E">
        <w:rPr>
          <w:rFonts w:ascii="微软雅黑" w:eastAsia="微软雅黑" w:hAnsi="微软雅黑" w:cs="宋体" w:hint="eastAsia"/>
        </w:rPr>
        <w:t>日</w:t>
      </w:r>
    </w:p>
    <w:p w14:paraId="349F64D2" w14:textId="77777777" w:rsidR="009B088C" w:rsidRPr="00C0518E" w:rsidRDefault="009B088C" w:rsidP="00F24A6C">
      <w:pPr>
        <w:snapToGrid w:val="0"/>
        <w:spacing w:before="240" w:after="240"/>
        <w:rPr>
          <w:rFonts w:ascii="微软雅黑" w:eastAsia="微软雅黑" w:hAnsi="微软雅黑" w:cs="宋体"/>
        </w:rPr>
      </w:pPr>
      <w:r w:rsidRPr="00C0518E">
        <w:rPr>
          <w:rFonts w:ascii="微软雅黑" w:eastAsia="微软雅黑" w:hAnsi="微软雅黑" w:cs="宋体" w:hint="eastAsia"/>
        </w:rPr>
        <w:t>方式：电话会议</w:t>
      </w:r>
    </w:p>
    <w:p w14:paraId="61EB8F59" w14:textId="4ED34208" w:rsidR="009B088C" w:rsidRPr="00C0518E" w:rsidRDefault="009B088C" w:rsidP="00F24A6C">
      <w:pPr>
        <w:pStyle w:val="a5"/>
        <w:numPr>
          <w:ilvl w:val="0"/>
          <w:numId w:val="1"/>
        </w:numPr>
        <w:snapToGrid w:val="0"/>
        <w:spacing w:before="240" w:after="240"/>
        <w:ind w:firstLineChars="0"/>
        <w:rPr>
          <w:rFonts w:ascii="微软雅黑" w:eastAsia="微软雅黑" w:hAnsi="微软雅黑"/>
          <w:b/>
          <w:bCs/>
        </w:rPr>
      </w:pPr>
      <w:r w:rsidRPr="00C0518E">
        <w:rPr>
          <w:rFonts w:ascii="微软雅黑" w:eastAsia="微软雅黑" w:hAnsi="微软雅黑" w:hint="eastAsia"/>
          <w:b/>
          <w:bCs/>
        </w:rPr>
        <w:t>2</w:t>
      </w:r>
      <w:r w:rsidRPr="00C0518E">
        <w:rPr>
          <w:rFonts w:ascii="微软雅黑" w:eastAsia="微软雅黑" w:hAnsi="微软雅黑"/>
          <w:b/>
          <w:bCs/>
        </w:rPr>
        <w:t>019</w:t>
      </w:r>
      <w:r w:rsidRPr="00C0518E">
        <w:rPr>
          <w:rFonts w:ascii="微软雅黑" w:eastAsia="微软雅黑" w:hAnsi="微软雅黑" w:hint="eastAsia"/>
          <w:b/>
          <w:bCs/>
        </w:rPr>
        <w:t>年年度报告简介</w:t>
      </w:r>
    </w:p>
    <w:p w14:paraId="24E738FA" w14:textId="49AE3326" w:rsidR="009B088C" w:rsidRPr="00C0518E" w:rsidRDefault="009B088C" w:rsidP="00F24A6C">
      <w:pPr>
        <w:snapToGrid w:val="0"/>
        <w:spacing w:before="240" w:after="240"/>
        <w:ind w:firstLine="480"/>
        <w:rPr>
          <w:rFonts w:ascii="微软雅黑" w:eastAsia="微软雅黑" w:hAnsi="微软雅黑" w:cs="宋体"/>
          <w:b/>
          <w:bCs/>
        </w:rPr>
      </w:pPr>
      <w:bookmarkStart w:id="0" w:name="_GoBack"/>
      <w:r w:rsidRPr="00C0518E">
        <w:rPr>
          <w:rFonts w:ascii="微软雅黑" w:eastAsia="微软雅黑" w:hAnsi="微软雅黑" w:cs="宋体" w:hint="eastAsia"/>
          <w:b/>
          <w:bCs/>
        </w:rPr>
        <w:t>朗新科技</w:t>
      </w:r>
      <w:bookmarkEnd w:id="0"/>
      <w:r w:rsidRPr="00C0518E">
        <w:rPr>
          <w:rFonts w:ascii="微软雅黑" w:eastAsia="微软雅黑" w:hAnsi="微软雅黑" w:cs="宋体" w:hint="eastAsia"/>
          <w:b/>
          <w:bCs/>
        </w:rPr>
        <w:t>集团股份有限公司（以下简称</w:t>
      </w:r>
      <w:proofErr w:type="gramStart"/>
      <w:r w:rsidRPr="00C0518E">
        <w:rPr>
          <w:rFonts w:ascii="微软雅黑" w:eastAsia="微软雅黑" w:hAnsi="微软雅黑" w:cs="宋体" w:hint="eastAsia"/>
          <w:b/>
          <w:bCs/>
        </w:rPr>
        <w:t>“</w:t>
      </w:r>
      <w:proofErr w:type="gramEnd"/>
      <w:r w:rsidRPr="00C0518E">
        <w:rPr>
          <w:rFonts w:ascii="微软雅黑" w:eastAsia="微软雅黑" w:hAnsi="微软雅黑" w:cs="宋体" w:hint="eastAsia"/>
          <w:b/>
          <w:bCs/>
        </w:rPr>
        <w:t>朗新科技“、”公司</w:t>
      </w:r>
      <w:proofErr w:type="gramStart"/>
      <w:r w:rsidRPr="00C0518E">
        <w:rPr>
          <w:rFonts w:ascii="微软雅黑" w:eastAsia="微软雅黑" w:hAnsi="微软雅黑" w:cs="宋体" w:hint="eastAsia"/>
          <w:b/>
          <w:bCs/>
        </w:rPr>
        <w:t>”</w:t>
      </w:r>
      <w:proofErr w:type="gramEnd"/>
      <w:r w:rsidRPr="00C0518E">
        <w:rPr>
          <w:rFonts w:ascii="微软雅黑" w:eastAsia="微软雅黑" w:hAnsi="微软雅黑" w:cs="宋体" w:hint="eastAsia"/>
          <w:b/>
          <w:bCs/>
        </w:rPr>
        <w:t>或“集团”）副总经理、董事会秘书王慎勇先生首先向与会者简单介绍了2</w:t>
      </w:r>
      <w:r w:rsidRPr="00C0518E">
        <w:rPr>
          <w:rFonts w:ascii="微软雅黑" w:eastAsia="微软雅黑" w:hAnsi="微软雅黑" w:cs="宋体"/>
          <w:b/>
          <w:bCs/>
        </w:rPr>
        <w:t>019</w:t>
      </w:r>
      <w:r w:rsidRPr="00C0518E">
        <w:rPr>
          <w:rFonts w:ascii="微软雅黑" w:eastAsia="微软雅黑" w:hAnsi="微软雅黑" w:cs="宋体" w:hint="eastAsia"/>
          <w:b/>
          <w:bCs/>
        </w:rPr>
        <w:t>年年度报告的主要财务数据及</w:t>
      </w:r>
      <w:r w:rsidR="00BA2D89" w:rsidRPr="00C0518E">
        <w:rPr>
          <w:rFonts w:ascii="微软雅黑" w:eastAsia="微软雅黑" w:hAnsi="微软雅黑" w:cs="宋体" w:hint="eastAsia"/>
          <w:b/>
          <w:bCs/>
        </w:rPr>
        <w:t>经营情况</w:t>
      </w:r>
      <w:r w:rsidRPr="00C0518E">
        <w:rPr>
          <w:rFonts w:ascii="微软雅黑" w:eastAsia="微软雅黑" w:hAnsi="微软雅黑" w:cs="宋体" w:hint="eastAsia"/>
          <w:b/>
          <w:bCs/>
        </w:rPr>
        <w:t>。</w:t>
      </w:r>
    </w:p>
    <w:p w14:paraId="55819B05" w14:textId="4B17000C" w:rsidR="009B088C" w:rsidRPr="00C0518E" w:rsidRDefault="006F6582"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2</w:t>
      </w:r>
      <w:r w:rsidRPr="00C0518E">
        <w:rPr>
          <w:rFonts w:ascii="微软雅黑" w:eastAsia="微软雅黑" w:hAnsi="微软雅黑" w:cs="宋体"/>
        </w:rPr>
        <w:t>019</w:t>
      </w:r>
      <w:r w:rsidRPr="00C0518E">
        <w:rPr>
          <w:rFonts w:ascii="微软雅黑" w:eastAsia="微软雅黑" w:hAnsi="微软雅黑" w:cs="宋体" w:hint="eastAsia"/>
        </w:rPr>
        <w:t>年度公司实现营业收入2</w:t>
      </w:r>
      <w:r w:rsidRPr="00C0518E">
        <w:rPr>
          <w:rFonts w:ascii="微软雅黑" w:eastAsia="微软雅黑" w:hAnsi="微软雅黑" w:cs="宋体"/>
        </w:rPr>
        <w:t>9.68</w:t>
      </w:r>
      <w:r w:rsidRPr="00C0518E">
        <w:rPr>
          <w:rFonts w:ascii="微软雅黑" w:eastAsia="微软雅黑" w:hAnsi="微软雅黑" w:cs="宋体" w:hint="eastAsia"/>
        </w:rPr>
        <w:t>亿元，同比增长1</w:t>
      </w:r>
      <w:r w:rsidRPr="00C0518E">
        <w:rPr>
          <w:rFonts w:ascii="微软雅黑" w:eastAsia="微软雅黑" w:hAnsi="微软雅黑" w:cs="宋体"/>
        </w:rPr>
        <w:t>1.1</w:t>
      </w:r>
      <w:r w:rsidRPr="00C0518E">
        <w:rPr>
          <w:rFonts w:ascii="微软雅黑" w:eastAsia="微软雅黑" w:hAnsi="微软雅黑" w:cs="宋体" w:hint="eastAsia"/>
        </w:rPr>
        <w:t>%</w:t>
      </w:r>
      <w:r w:rsidR="009B088C" w:rsidRPr="00C0518E">
        <w:rPr>
          <w:rFonts w:ascii="微软雅黑" w:eastAsia="微软雅黑" w:hAnsi="微软雅黑" w:cs="宋体" w:hint="eastAsia"/>
        </w:rPr>
        <w:t>。</w:t>
      </w:r>
      <w:r w:rsidRPr="00C0518E">
        <w:rPr>
          <w:rFonts w:ascii="微软雅黑" w:eastAsia="微软雅黑" w:hAnsi="微软雅黑" w:cs="宋体" w:hint="eastAsia"/>
        </w:rPr>
        <w:t>实现归属于上市公司股东的净利润1</w:t>
      </w:r>
      <w:r w:rsidRPr="00C0518E">
        <w:rPr>
          <w:rFonts w:ascii="微软雅黑" w:eastAsia="微软雅黑" w:hAnsi="微软雅黑" w:cs="宋体"/>
        </w:rPr>
        <w:t>0.2</w:t>
      </w:r>
      <w:r w:rsidRPr="00C0518E">
        <w:rPr>
          <w:rFonts w:ascii="微软雅黑" w:eastAsia="微软雅黑" w:hAnsi="微软雅黑" w:cs="宋体" w:hint="eastAsia"/>
        </w:rPr>
        <w:t>亿元，同比增长</w:t>
      </w:r>
      <w:r w:rsidRPr="00C0518E">
        <w:rPr>
          <w:rFonts w:ascii="微软雅黑" w:eastAsia="微软雅黑" w:hAnsi="微软雅黑" w:cs="宋体"/>
        </w:rPr>
        <w:t>444.4</w:t>
      </w:r>
      <w:r w:rsidRPr="00C0518E">
        <w:rPr>
          <w:rFonts w:ascii="微软雅黑" w:eastAsia="微软雅黑" w:hAnsi="微软雅黑" w:cs="宋体" w:hint="eastAsia"/>
        </w:rPr>
        <w:t>%。归属于上市公司股东的扣除非经常性损益的净利润为4</w:t>
      </w:r>
      <w:r w:rsidRPr="00C0518E">
        <w:rPr>
          <w:rFonts w:ascii="微软雅黑" w:eastAsia="微软雅黑" w:hAnsi="微软雅黑" w:cs="宋体"/>
        </w:rPr>
        <w:t>.06</w:t>
      </w:r>
      <w:r w:rsidRPr="00C0518E">
        <w:rPr>
          <w:rFonts w:ascii="微软雅黑" w:eastAsia="微软雅黑" w:hAnsi="微软雅黑" w:cs="宋体" w:hint="eastAsia"/>
        </w:rPr>
        <w:t>亿元，</w:t>
      </w:r>
      <w:r w:rsidR="00C07B79" w:rsidRPr="00C0518E">
        <w:rPr>
          <w:rFonts w:ascii="微软雅黑" w:eastAsia="微软雅黑" w:hAnsi="微软雅黑" w:cs="宋体" w:hint="eastAsia"/>
        </w:rPr>
        <w:t>扣除的非经常性损益主要包括</w:t>
      </w:r>
      <w:r w:rsidR="00917202">
        <w:rPr>
          <w:rFonts w:ascii="微软雅黑" w:eastAsia="微软雅黑" w:hAnsi="微软雅黑" w:cs="宋体" w:hint="eastAsia"/>
        </w:rPr>
        <w:t>：</w:t>
      </w:r>
      <w:r w:rsidR="00C07B79" w:rsidRPr="00C0518E">
        <w:rPr>
          <w:rFonts w:ascii="微软雅黑" w:eastAsia="微软雅黑" w:hAnsi="微软雅黑" w:cs="宋体" w:hint="eastAsia"/>
        </w:rPr>
        <w:t>1）重新计量邦道科技持股40%股权产生的投资收益4.99亿元，2）同</w:t>
      </w:r>
      <w:proofErr w:type="gramStart"/>
      <w:r w:rsidR="00C07B79" w:rsidRPr="00C0518E">
        <w:rPr>
          <w:rFonts w:ascii="微软雅黑" w:eastAsia="微软雅黑" w:hAnsi="微软雅黑" w:cs="宋体" w:hint="eastAsia"/>
        </w:rPr>
        <w:t>一控制</w:t>
      </w:r>
      <w:proofErr w:type="gramEnd"/>
      <w:r w:rsidR="00C07B79" w:rsidRPr="00C0518E">
        <w:rPr>
          <w:rFonts w:ascii="微软雅黑" w:eastAsia="微软雅黑" w:hAnsi="微软雅黑" w:cs="宋体" w:hint="eastAsia"/>
        </w:rPr>
        <w:t>企业合并易</w:t>
      </w:r>
      <w:proofErr w:type="gramStart"/>
      <w:r w:rsidR="00C07B79" w:rsidRPr="00C0518E">
        <w:rPr>
          <w:rFonts w:ascii="微软雅黑" w:eastAsia="微软雅黑" w:hAnsi="微软雅黑" w:cs="宋体" w:hint="eastAsia"/>
        </w:rPr>
        <w:t>视腾科技</w:t>
      </w:r>
      <w:proofErr w:type="gramEnd"/>
      <w:r w:rsidR="00C07B79" w:rsidRPr="00C0518E">
        <w:rPr>
          <w:rFonts w:ascii="微软雅黑" w:eastAsia="微软雅黑" w:hAnsi="微软雅黑" w:cs="宋体" w:hint="eastAsia"/>
        </w:rPr>
        <w:t>被合并前纳入本集团的净利润1.1亿元</w:t>
      </w:r>
      <w:r w:rsidRPr="00C0518E">
        <w:rPr>
          <w:rFonts w:ascii="微软雅黑" w:eastAsia="微软雅黑" w:hAnsi="微软雅黑" w:cs="宋体" w:hint="eastAsia"/>
        </w:rPr>
        <w:t>。</w:t>
      </w:r>
      <w:r w:rsidR="00C07B79" w:rsidRPr="00C0518E">
        <w:rPr>
          <w:rFonts w:ascii="微软雅黑" w:eastAsia="微软雅黑" w:hAnsi="微软雅黑" w:cs="宋体" w:hint="eastAsia"/>
        </w:rPr>
        <w:t>2</w:t>
      </w:r>
      <w:r w:rsidR="00C07B79" w:rsidRPr="00C0518E">
        <w:rPr>
          <w:rFonts w:ascii="微软雅黑" w:eastAsia="微软雅黑" w:hAnsi="微软雅黑" w:cs="宋体"/>
        </w:rPr>
        <w:t>019</w:t>
      </w:r>
      <w:r w:rsidR="00C07B79" w:rsidRPr="00C0518E">
        <w:rPr>
          <w:rFonts w:ascii="微软雅黑" w:eastAsia="微软雅黑" w:hAnsi="微软雅黑" w:cs="宋体" w:hint="eastAsia"/>
        </w:rPr>
        <w:t>年度，公司</w:t>
      </w:r>
      <w:r w:rsidRPr="00C0518E">
        <w:rPr>
          <w:rFonts w:ascii="微软雅黑" w:eastAsia="微软雅黑" w:hAnsi="微软雅黑" w:cs="宋体" w:hint="eastAsia"/>
        </w:rPr>
        <w:t>实现</w:t>
      </w:r>
      <w:r w:rsidR="00917202">
        <w:rPr>
          <w:rFonts w:ascii="微软雅黑" w:eastAsia="微软雅黑" w:hAnsi="微软雅黑" w:cs="宋体" w:hint="eastAsia"/>
        </w:rPr>
        <w:t>经营性净现金流5</w:t>
      </w:r>
      <w:r w:rsidR="00917202">
        <w:rPr>
          <w:rFonts w:ascii="微软雅黑" w:eastAsia="微软雅黑" w:hAnsi="微软雅黑" w:cs="宋体"/>
        </w:rPr>
        <w:t>.6</w:t>
      </w:r>
      <w:r w:rsidR="00917202">
        <w:rPr>
          <w:rFonts w:ascii="微软雅黑" w:eastAsia="微软雅黑" w:hAnsi="微软雅黑" w:cs="宋体" w:hint="eastAsia"/>
        </w:rPr>
        <w:t>亿元，</w:t>
      </w:r>
      <w:r w:rsidRPr="00C0518E">
        <w:rPr>
          <w:rFonts w:ascii="微软雅黑" w:eastAsia="微软雅黑" w:hAnsi="微软雅黑" w:cs="宋体" w:hint="eastAsia"/>
        </w:rPr>
        <w:t>基本每股收益1</w:t>
      </w:r>
      <w:r w:rsidRPr="00C0518E">
        <w:rPr>
          <w:rFonts w:ascii="微软雅黑" w:eastAsia="微软雅黑" w:hAnsi="微软雅黑" w:cs="宋体"/>
        </w:rPr>
        <w:t>.78</w:t>
      </w:r>
      <w:r w:rsidRPr="00C0518E">
        <w:rPr>
          <w:rFonts w:ascii="微软雅黑" w:eastAsia="微软雅黑" w:hAnsi="微软雅黑" w:cs="宋体" w:hint="eastAsia"/>
        </w:rPr>
        <w:t>元。</w:t>
      </w:r>
    </w:p>
    <w:p w14:paraId="710471F0" w14:textId="3312757B" w:rsidR="000B5483" w:rsidRPr="00C0518E" w:rsidRDefault="006F6582"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2</w:t>
      </w:r>
      <w:r w:rsidRPr="00C0518E">
        <w:rPr>
          <w:rFonts w:ascii="微软雅黑" w:eastAsia="微软雅黑" w:hAnsi="微软雅黑" w:cs="宋体"/>
        </w:rPr>
        <w:t>019</w:t>
      </w:r>
      <w:r w:rsidRPr="00C0518E">
        <w:rPr>
          <w:rFonts w:ascii="微软雅黑" w:eastAsia="微软雅黑" w:hAnsi="微软雅黑" w:cs="宋体" w:hint="eastAsia"/>
        </w:rPr>
        <w:t>年度，公司围绕产业互联网发展战略，</w:t>
      </w:r>
      <w:r w:rsidR="000B5483" w:rsidRPr="00C0518E">
        <w:rPr>
          <w:rFonts w:ascii="微软雅黑" w:eastAsia="微软雅黑" w:hAnsi="微软雅黑" w:cs="宋体" w:hint="eastAsia"/>
        </w:rPr>
        <w:t>在各项业务领域均取得可喜的进展：</w:t>
      </w:r>
    </w:p>
    <w:p w14:paraId="10DE6015" w14:textId="6CFB0FE9" w:rsidR="000B5483" w:rsidRPr="00C0518E" w:rsidRDefault="000B5483"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在智慧能源领域，牢牢把握电力物联网和能源互联网发展机遇，在</w:t>
      </w:r>
      <w:proofErr w:type="gramStart"/>
      <w:r w:rsidRPr="00C0518E">
        <w:rPr>
          <w:rFonts w:ascii="微软雅黑" w:eastAsia="微软雅黑" w:hAnsi="微软雅黑" w:cs="宋体" w:hint="eastAsia"/>
        </w:rPr>
        <w:t>网上国网</w:t>
      </w:r>
      <w:proofErr w:type="gramEnd"/>
      <w:r w:rsidRPr="00C0518E">
        <w:rPr>
          <w:rFonts w:ascii="微软雅黑" w:eastAsia="微软雅黑" w:hAnsi="微软雅黑" w:cs="宋体" w:hint="eastAsia"/>
        </w:rPr>
        <w:t>、智慧能源服务、能源大数据等重大项目或课题上为客户提供创新解决方案，成为客户更紧密的合作伙伴。2</w:t>
      </w:r>
      <w:r w:rsidRPr="00C0518E">
        <w:rPr>
          <w:rFonts w:ascii="微软雅黑" w:eastAsia="微软雅黑" w:hAnsi="微软雅黑" w:cs="宋体"/>
        </w:rPr>
        <w:t>019</w:t>
      </w:r>
      <w:r w:rsidRPr="00C0518E">
        <w:rPr>
          <w:rFonts w:ascii="微软雅黑" w:eastAsia="微软雅黑" w:hAnsi="微软雅黑" w:cs="宋体" w:hint="eastAsia"/>
        </w:rPr>
        <w:t>年度，公司在智慧能源领域实现营业收入1</w:t>
      </w:r>
      <w:r w:rsidRPr="00C0518E">
        <w:rPr>
          <w:rFonts w:ascii="微软雅黑" w:eastAsia="微软雅黑" w:hAnsi="微软雅黑" w:cs="宋体"/>
        </w:rPr>
        <w:t>1.6</w:t>
      </w:r>
      <w:r w:rsidRPr="00C0518E">
        <w:rPr>
          <w:rFonts w:ascii="微软雅黑" w:eastAsia="微软雅黑" w:hAnsi="微软雅黑" w:cs="宋体" w:hint="eastAsia"/>
        </w:rPr>
        <w:t>亿元，同比增长约4</w:t>
      </w:r>
      <w:r w:rsidRPr="00C0518E">
        <w:rPr>
          <w:rFonts w:ascii="微软雅黑" w:eastAsia="微软雅黑" w:hAnsi="微软雅黑" w:cs="宋体"/>
        </w:rPr>
        <w:t>0</w:t>
      </w:r>
      <w:r w:rsidRPr="00C0518E">
        <w:rPr>
          <w:rFonts w:ascii="微软雅黑" w:eastAsia="微软雅黑" w:hAnsi="微软雅黑" w:cs="宋体" w:hint="eastAsia"/>
        </w:rPr>
        <w:t>%。</w:t>
      </w:r>
    </w:p>
    <w:p w14:paraId="4EB488C9" w14:textId="58545539" w:rsidR="006F6582" w:rsidRPr="00C0518E" w:rsidRDefault="000B5483"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在智慧家庭领域，子公司易</w:t>
      </w:r>
      <w:proofErr w:type="gramStart"/>
      <w:r w:rsidRPr="00C0518E">
        <w:rPr>
          <w:rFonts w:ascii="微软雅黑" w:eastAsia="微软雅黑" w:hAnsi="微软雅黑" w:cs="宋体" w:hint="eastAsia"/>
        </w:rPr>
        <w:t>视腾科技</w:t>
      </w:r>
      <w:proofErr w:type="gramEnd"/>
      <w:r w:rsidRPr="00C0518E">
        <w:rPr>
          <w:rFonts w:ascii="微软雅黑" w:eastAsia="微软雅黑" w:hAnsi="微软雅黑" w:cs="宋体" w:hint="eastAsia"/>
        </w:rPr>
        <w:t>服务的互联网电视在线用户数超过4,500万家庭用户，</w:t>
      </w:r>
      <w:proofErr w:type="gramStart"/>
      <w:r w:rsidRPr="00C0518E">
        <w:rPr>
          <w:rFonts w:ascii="微软雅黑" w:eastAsia="微软雅黑" w:hAnsi="微软雅黑" w:cs="宋体" w:hint="eastAsia"/>
        </w:rPr>
        <w:t>日活用户</w:t>
      </w:r>
      <w:proofErr w:type="gramEnd"/>
      <w:r w:rsidRPr="00C0518E">
        <w:rPr>
          <w:rFonts w:ascii="微软雅黑" w:eastAsia="微软雅黑" w:hAnsi="微软雅黑" w:cs="宋体" w:hint="eastAsia"/>
        </w:rPr>
        <w:t>数超过2,000万户，在中国移动运营商市场份额占比约38%，保持着市场领先优势。2</w:t>
      </w:r>
      <w:r w:rsidRPr="00C0518E">
        <w:rPr>
          <w:rFonts w:ascii="微软雅黑" w:eastAsia="微软雅黑" w:hAnsi="微软雅黑" w:cs="宋体"/>
        </w:rPr>
        <w:t>019</w:t>
      </w:r>
      <w:r w:rsidRPr="00C0518E">
        <w:rPr>
          <w:rFonts w:ascii="微软雅黑" w:eastAsia="微软雅黑" w:hAnsi="微软雅黑" w:cs="宋体" w:hint="eastAsia"/>
        </w:rPr>
        <w:t>年度</w:t>
      </w:r>
      <w:r w:rsidR="00AE2531">
        <w:rPr>
          <w:rFonts w:ascii="微软雅黑" w:eastAsia="微软雅黑" w:hAnsi="微软雅黑" w:cs="宋体" w:hint="eastAsia"/>
        </w:rPr>
        <w:t>，</w:t>
      </w:r>
      <w:r w:rsidRPr="00C0518E">
        <w:rPr>
          <w:rFonts w:ascii="微软雅黑" w:eastAsia="微软雅黑" w:hAnsi="微软雅黑" w:cs="宋体" w:hint="eastAsia"/>
        </w:rPr>
        <w:t>易</w:t>
      </w:r>
      <w:proofErr w:type="gramStart"/>
      <w:r w:rsidRPr="00C0518E">
        <w:rPr>
          <w:rFonts w:ascii="微软雅黑" w:eastAsia="微软雅黑" w:hAnsi="微软雅黑" w:cs="宋体" w:hint="eastAsia"/>
        </w:rPr>
        <w:t>视腾科技</w:t>
      </w:r>
      <w:proofErr w:type="gramEnd"/>
      <w:r w:rsidRPr="00C0518E">
        <w:rPr>
          <w:rFonts w:ascii="微软雅黑" w:eastAsia="微软雅黑" w:hAnsi="微软雅黑" w:cs="宋体" w:hint="eastAsia"/>
        </w:rPr>
        <w:t>实现净利润2.4亿元，同比增长约29%。</w:t>
      </w:r>
    </w:p>
    <w:p w14:paraId="374FF38F" w14:textId="3F11CEE2" w:rsidR="006F6582" w:rsidRPr="00C0518E" w:rsidRDefault="000B5483"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在公共服务领域，子公司邦道科技与支付宝深度协同的公共事业缴费云平台累计用户数超过2.7亿户，</w:t>
      </w:r>
      <w:proofErr w:type="gramStart"/>
      <w:r w:rsidRPr="00C0518E">
        <w:rPr>
          <w:rFonts w:ascii="微软雅黑" w:eastAsia="微软雅黑" w:hAnsi="微软雅黑" w:cs="宋体" w:hint="eastAsia"/>
        </w:rPr>
        <w:t>日活跃</w:t>
      </w:r>
      <w:proofErr w:type="gramEnd"/>
      <w:r w:rsidRPr="00C0518E">
        <w:rPr>
          <w:rFonts w:ascii="微软雅黑" w:eastAsia="微软雅黑" w:hAnsi="微软雅黑" w:cs="宋体" w:hint="eastAsia"/>
        </w:rPr>
        <w:t>用户数超过1,000万户，保持市场领先地位。在互联网运营方面，邦道科技2019年实现收入超过1亿元，成为公共服务行业</w:t>
      </w:r>
      <w:r w:rsidRPr="00C0518E">
        <w:rPr>
          <w:rFonts w:ascii="微软雅黑" w:eastAsia="微软雅黑" w:hAnsi="微软雅黑" w:cs="宋体" w:hint="eastAsia"/>
        </w:rPr>
        <w:lastRenderedPageBreak/>
        <w:t>互联网运营的创新者与领跑者。2019年度，邦道科技实现净利润2.2亿元，同比增长约70%。</w:t>
      </w:r>
    </w:p>
    <w:p w14:paraId="79BE6797" w14:textId="77777777" w:rsidR="009B088C" w:rsidRPr="00C0518E" w:rsidRDefault="009B088C" w:rsidP="00F24A6C">
      <w:pPr>
        <w:pStyle w:val="a5"/>
        <w:numPr>
          <w:ilvl w:val="0"/>
          <w:numId w:val="1"/>
        </w:numPr>
        <w:snapToGrid w:val="0"/>
        <w:spacing w:before="240" w:after="240"/>
        <w:ind w:firstLineChars="0"/>
        <w:rPr>
          <w:rFonts w:ascii="微软雅黑" w:eastAsia="微软雅黑" w:hAnsi="微软雅黑"/>
          <w:b/>
          <w:bCs/>
        </w:rPr>
      </w:pPr>
      <w:r w:rsidRPr="00C0518E">
        <w:rPr>
          <w:rFonts w:ascii="微软雅黑" w:eastAsia="微软雅黑" w:hAnsi="微软雅黑" w:cs="宋体" w:hint="eastAsia"/>
          <w:b/>
          <w:bCs/>
        </w:rPr>
        <w:t>问答环节</w:t>
      </w:r>
    </w:p>
    <w:p w14:paraId="42EB1C0B" w14:textId="4FE24283" w:rsidR="00244E6C" w:rsidRPr="00C0518E" w:rsidRDefault="00244E6C"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1、问：公司三种业务模式</w:t>
      </w:r>
      <w:r w:rsidR="006561E4">
        <w:rPr>
          <w:rFonts w:ascii="微软雅黑" w:eastAsia="微软雅黑" w:hAnsi="微软雅黑" w:cs="宋体" w:hint="eastAsia"/>
          <w:b/>
          <w:bCs/>
        </w:rPr>
        <w:t>毛利率、</w:t>
      </w:r>
      <w:r w:rsidRPr="00C0518E">
        <w:rPr>
          <w:rFonts w:ascii="微软雅黑" w:eastAsia="微软雅黑" w:hAnsi="微软雅黑" w:cs="宋体" w:hint="eastAsia"/>
          <w:b/>
          <w:bCs/>
        </w:rPr>
        <w:t>利润贡献占比如何？</w:t>
      </w:r>
    </w:p>
    <w:p w14:paraId="31D31479" w14:textId="77777777" w:rsidR="009658DF" w:rsidRPr="00C0518E" w:rsidRDefault="009658DF"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627CB63F" w14:textId="77777777" w:rsidR="000A497B" w:rsidRDefault="000A497B" w:rsidP="00F24A6C">
      <w:pPr>
        <w:snapToGrid w:val="0"/>
        <w:spacing w:before="240" w:after="240"/>
        <w:ind w:firstLine="420"/>
        <w:rPr>
          <w:rFonts w:ascii="微软雅黑" w:eastAsia="微软雅黑" w:hAnsi="微软雅黑" w:cs="宋体"/>
        </w:rPr>
      </w:pPr>
      <w:r>
        <w:rPr>
          <w:rFonts w:ascii="微软雅黑" w:eastAsia="微软雅黑" w:hAnsi="微软雅黑" w:cs="宋体" w:hint="eastAsia"/>
        </w:rPr>
        <w:t>公司主要的业务收入来源于运营服务、软件服务、智能终端研发及销售，其中：</w:t>
      </w:r>
    </w:p>
    <w:p w14:paraId="65688499" w14:textId="3852F7F1" w:rsidR="000A497B" w:rsidRDefault="000A497B" w:rsidP="00F24A6C">
      <w:pPr>
        <w:snapToGrid w:val="0"/>
        <w:spacing w:before="240" w:after="240"/>
        <w:ind w:firstLine="420"/>
        <w:rPr>
          <w:rFonts w:ascii="微软雅黑" w:eastAsia="微软雅黑" w:hAnsi="微软雅黑" w:cs="宋体"/>
        </w:rPr>
      </w:pPr>
      <w:r>
        <w:rPr>
          <w:rFonts w:ascii="微软雅黑" w:eastAsia="微软雅黑" w:hAnsi="微软雅黑" w:cs="宋体" w:hint="eastAsia"/>
        </w:rPr>
        <w:t>运营服务2</w:t>
      </w:r>
      <w:r>
        <w:rPr>
          <w:rFonts w:ascii="微软雅黑" w:eastAsia="微软雅黑" w:hAnsi="微软雅黑" w:cs="宋体"/>
        </w:rPr>
        <w:t>019</w:t>
      </w:r>
      <w:r>
        <w:rPr>
          <w:rFonts w:ascii="微软雅黑" w:eastAsia="微软雅黑" w:hAnsi="微软雅黑" w:cs="宋体" w:hint="eastAsia"/>
        </w:rPr>
        <w:t>年度实现收入5</w:t>
      </w:r>
      <w:r>
        <w:rPr>
          <w:rFonts w:ascii="微软雅黑" w:eastAsia="微软雅黑" w:hAnsi="微软雅黑" w:cs="宋体"/>
        </w:rPr>
        <w:t>.76</w:t>
      </w:r>
      <w:r>
        <w:rPr>
          <w:rFonts w:ascii="微软雅黑" w:eastAsia="微软雅黑" w:hAnsi="微软雅黑" w:cs="宋体" w:hint="eastAsia"/>
        </w:rPr>
        <w:t>亿元，毛利率约6</w:t>
      </w:r>
      <w:r>
        <w:rPr>
          <w:rFonts w:ascii="微软雅黑" w:eastAsia="微软雅黑" w:hAnsi="微软雅黑" w:cs="宋体"/>
        </w:rPr>
        <w:t>5</w:t>
      </w:r>
      <w:r>
        <w:rPr>
          <w:rFonts w:ascii="微软雅黑" w:eastAsia="微软雅黑" w:hAnsi="微软雅黑" w:cs="宋体" w:hint="eastAsia"/>
        </w:rPr>
        <w:t>%，</w:t>
      </w:r>
      <w:r w:rsidR="00917202">
        <w:rPr>
          <w:rFonts w:ascii="微软雅黑" w:eastAsia="微软雅黑" w:hAnsi="微软雅黑" w:cs="宋体" w:hint="eastAsia"/>
        </w:rPr>
        <w:t>较上年同期增加1</w:t>
      </w:r>
      <w:r w:rsidR="00917202">
        <w:rPr>
          <w:rFonts w:ascii="微软雅黑" w:eastAsia="微软雅黑" w:hAnsi="微软雅黑" w:cs="宋体"/>
        </w:rPr>
        <w:t>1</w:t>
      </w:r>
      <w:r w:rsidR="00917202">
        <w:rPr>
          <w:rFonts w:ascii="微软雅黑" w:eastAsia="微软雅黑" w:hAnsi="微软雅黑" w:cs="宋体" w:hint="eastAsia"/>
        </w:rPr>
        <w:t>个百分点，</w:t>
      </w:r>
      <w:r>
        <w:rPr>
          <w:rFonts w:ascii="微软雅黑" w:eastAsia="微软雅黑" w:hAnsi="微软雅黑" w:cs="宋体" w:hint="eastAsia"/>
        </w:rPr>
        <w:t>实现毛利润3</w:t>
      </w:r>
      <w:r>
        <w:rPr>
          <w:rFonts w:ascii="微软雅黑" w:eastAsia="微软雅黑" w:hAnsi="微软雅黑" w:cs="宋体"/>
        </w:rPr>
        <w:t>.72</w:t>
      </w:r>
      <w:r>
        <w:rPr>
          <w:rFonts w:ascii="微软雅黑" w:eastAsia="微软雅黑" w:hAnsi="微软雅黑" w:cs="宋体" w:hint="eastAsia"/>
        </w:rPr>
        <w:t>亿元</w:t>
      </w:r>
      <w:r w:rsidR="00917202">
        <w:rPr>
          <w:rFonts w:ascii="微软雅黑" w:eastAsia="微软雅黑" w:hAnsi="微软雅黑" w:cs="宋体" w:hint="eastAsia"/>
        </w:rPr>
        <w:t>，</w:t>
      </w:r>
      <w:r w:rsidR="004C6558">
        <w:rPr>
          <w:rFonts w:ascii="微软雅黑" w:eastAsia="微软雅黑" w:hAnsi="微软雅黑" w:cs="宋体" w:hint="eastAsia"/>
        </w:rPr>
        <w:t>同比增长1</w:t>
      </w:r>
      <w:r w:rsidR="004C6558">
        <w:rPr>
          <w:rFonts w:ascii="微软雅黑" w:eastAsia="微软雅黑" w:hAnsi="微软雅黑" w:cs="宋体"/>
        </w:rPr>
        <w:t>09</w:t>
      </w:r>
      <w:r w:rsidR="004C6558">
        <w:rPr>
          <w:rFonts w:ascii="微软雅黑" w:eastAsia="微软雅黑" w:hAnsi="微软雅黑" w:cs="宋体" w:hint="eastAsia"/>
        </w:rPr>
        <w:t>%，</w:t>
      </w:r>
      <w:r>
        <w:rPr>
          <w:rFonts w:ascii="微软雅黑" w:eastAsia="微软雅黑" w:hAnsi="微软雅黑" w:cs="宋体" w:hint="eastAsia"/>
        </w:rPr>
        <w:t>占</w:t>
      </w:r>
      <w:r w:rsidR="00917202">
        <w:rPr>
          <w:rFonts w:ascii="微软雅黑" w:eastAsia="微软雅黑" w:hAnsi="微软雅黑" w:cs="宋体" w:hint="eastAsia"/>
        </w:rPr>
        <w:t>公司</w:t>
      </w:r>
      <w:r>
        <w:rPr>
          <w:rFonts w:ascii="微软雅黑" w:eastAsia="微软雅黑" w:hAnsi="微软雅黑" w:cs="宋体" w:hint="eastAsia"/>
        </w:rPr>
        <w:t>总毛利</w:t>
      </w:r>
      <w:r w:rsidR="00917202">
        <w:rPr>
          <w:rFonts w:ascii="微软雅黑" w:eastAsia="微软雅黑" w:hAnsi="微软雅黑" w:cs="宋体" w:hint="eastAsia"/>
        </w:rPr>
        <w:t>的</w:t>
      </w:r>
      <w:r>
        <w:rPr>
          <w:rFonts w:ascii="微软雅黑" w:eastAsia="微软雅黑" w:hAnsi="微软雅黑" w:cs="宋体" w:hint="eastAsia"/>
        </w:rPr>
        <w:t>2</w:t>
      </w:r>
      <w:r>
        <w:rPr>
          <w:rFonts w:ascii="微软雅黑" w:eastAsia="微软雅黑" w:hAnsi="微软雅黑" w:cs="宋体"/>
        </w:rPr>
        <w:t>8</w:t>
      </w:r>
      <w:r>
        <w:rPr>
          <w:rFonts w:ascii="微软雅黑" w:eastAsia="微软雅黑" w:hAnsi="微软雅黑" w:cs="宋体" w:hint="eastAsia"/>
        </w:rPr>
        <w:t>%。</w:t>
      </w:r>
    </w:p>
    <w:p w14:paraId="75B3C921" w14:textId="2B2A65D9" w:rsidR="000A497B" w:rsidRDefault="000A497B" w:rsidP="00F24A6C">
      <w:pPr>
        <w:snapToGrid w:val="0"/>
        <w:spacing w:before="240" w:after="240"/>
        <w:ind w:firstLine="420"/>
        <w:rPr>
          <w:rFonts w:ascii="微软雅黑" w:eastAsia="微软雅黑" w:hAnsi="微软雅黑" w:cs="宋体"/>
        </w:rPr>
      </w:pPr>
      <w:r>
        <w:rPr>
          <w:rFonts w:ascii="微软雅黑" w:eastAsia="微软雅黑" w:hAnsi="微软雅黑" w:cs="宋体" w:hint="eastAsia"/>
        </w:rPr>
        <w:t>软件服务2</w:t>
      </w:r>
      <w:r>
        <w:rPr>
          <w:rFonts w:ascii="微软雅黑" w:eastAsia="微软雅黑" w:hAnsi="微软雅黑" w:cs="宋体"/>
        </w:rPr>
        <w:t>019</w:t>
      </w:r>
      <w:r>
        <w:rPr>
          <w:rFonts w:ascii="微软雅黑" w:eastAsia="微软雅黑" w:hAnsi="微软雅黑" w:cs="宋体" w:hint="eastAsia"/>
        </w:rPr>
        <w:t>年度实现收入</w:t>
      </w:r>
      <w:r>
        <w:rPr>
          <w:rFonts w:ascii="微软雅黑" w:eastAsia="微软雅黑" w:hAnsi="微软雅黑" w:cs="宋体"/>
        </w:rPr>
        <w:t>14.09</w:t>
      </w:r>
      <w:r>
        <w:rPr>
          <w:rFonts w:ascii="微软雅黑" w:eastAsia="微软雅黑" w:hAnsi="微软雅黑" w:cs="宋体" w:hint="eastAsia"/>
        </w:rPr>
        <w:t>亿元，毛利率约5</w:t>
      </w:r>
      <w:r>
        <w:rPr>
          <w:rFonts w:ascii="微软雅黑" w:eastAsia="微软雅黑" w:hAnsi="微软雅黑" w:cs="宋体"/>
        </w:rPr>
        <w:t>2</w:t>
      </w:r>
      <w:r>
        <w:rPr>
          <w:rFonts w:ascii="微软雅黑" w:eastAsia="微软雅黑" w:hAnsi="微软雅黑" w:cs="宋体" w:hint="eastAsia"/>
        </w:rPr>
        <w:t>%，</w:t>
      </w:r>
      <w:r w:rsidR="00917202">
        <w:rPr>
          <w:rFonts w:ascii="微软雅黑" w:eastAsia="微软雅黑" w:hAnsi="微软雅黑" w:cs="宋体" w:hint="eastAsia"/>
        </w:rPr>
        <w:t>与上年同期基本持平，</w:t>
      </w:r>
      <w:r>
        <w:rPr>
          <w:rFonts w:ascii="微软雅黑" w:eastAsia="微软雅黑" w:hAnsi="微软雅黑" w:cs="宋体" w:hint="eastAsia"/>
        </w:rPr>
        <w:t>实现毛利润7</w:t>
      </w:r>
      <w:r>
        <w:rPr>
          <w:rFonts w:ascii="微软雅黑" w:eastAsia="微软雅黑" w:hAnsi="微软雅黑" w:cs="宋体"/>
        </w:rPr>
        <w:t>.4</w:t>
      </w:r>
      <w:r>
        <w:rPr>
          <w:rFonts w:ascii="微软雅黑" w:eastAsia="微软雅黑" w:hAnsi="微软雅黑" w:cs="宋体" w:hint="eastAsia"/>
        </w:rPr>
        <w:t>亿元</w:t>
      </w:r>
      <w:r w:rsidR="00917202">
        <w:rPr>
          <w:rFonts w:ascii="微软雅黑" w:eastAsia="微软雅黑" w:hAnsi="微软雅黑" w:cs="宋体" w:hint="eastAsia"/>
        </w:rPr>
        <w:t>，</w:t>
      </w:r>
      <w:r w:rsidR="004C6558">
        <w:rPr>
          <w:rFonts w:ascii="微软雅黑" w:eastAsia="微软雅黑" w:hAnsi="微软雅黑" w:cs="宋体" w:hint="eastAsia"/>
        </w:rPr>
        <w:t>同比增长4</w:t>
      </w:r>
      <w:r w:rsidR="004C6558">
        <w:rPr>
          <w:rFonts w:ascii="微软雅黑" w:eastAsia="微软雅黑" w:hAnsi="微软雅黑" w:cs="宋体"/>
        </w:rPr>
        <w:t>7</w:t>
      </w:r>
      <w:r w:rsidR="004C6558">
        <w:rPr>
          <w:rFonts w:ascii="微软雅黑" w:eastAsia="微软雅黑" w:hAnsi="微软雅黑" w:cs="宋体" w:hint="eastAsia"/>
        </w:rPr>
        <w:t>%，</w:t>
      </w:r>
      <w:r>
        <w:rPr>
          <w:rFonts w:ascii="微软雅黑" w:eastAsia="微软雅黑" w:hAnsi="微软雅黑" w:cs="宋体" w:hint="eastAsia"/>
        </w:rPr>
        <w:t>占</w:t>
      </w:r>
      <w:r w:rsidR="00917202">
        <w:rPr>
          <w:rFonts w:ascii="微软雅黑" w:eastAsia="微软雅黑" w:hAnsi="微软雅黑" w:cs="宋体" w:hint="eastAsia"/>
        </w:rPr>
        <w:t>公司</w:t>
      </w:r>
      <w:r>
        <w:rPr>
          <w:rFonts w:ascii="微软雅黑" w:eastAsia="微软雅黑" w:hAnsi="微软雅黑" w:cs="宋体" w:hint="eastAsia"/>
        </w:rPr>
        <w:t>总毛利</w:t>
      </w:r>
      <w:r w:rsidR="00917202">
        <w:rPr>
          <w:rFonts w:ascii="微软雅黑" w:eastAsia="微软雅黑" w:hAnsi="微软雅黑" w:cs="宋体" w:hint="eastAsia"/>
        </w:rPr>
        <w:t>的</w:t>
      </w:r>
      <w:r>
        <w:rPr>
          <w:rFonts w:ascii="微软雅黑" w:eastAsia="微软雅黑" w:hAnsi="微软雅黑" w:cs="宋体" w:hint="eastAsia"/>
        </w:rPr>
        <w:t>5</w:t>
      </w:r>
      <w:r>
        <w:rPr>
          <w:rFonts w:ascii="微软雅黑" w:eastAsia="微软雅黑" w:hAnsi="微软雅黑" w:cs="宋体"/>
        </w:rPr>
        <w:t>6</w:t>
      </w:r>
      <w:r>
        <w:rPr>
          <w:rFonts w:ascii="微软雅黑" w:eastAsia="微软雅黑" w:hAnsi="微软雅黑" w:cs="宋体" w:hint="eastAsia"/>
        </w:rPr>
        <w:t>%。</w:t>
      </w:r>
    </w:p>
    <w:p w14:paraId="0D37F83E" w14:textId="1A68858E" w:rsidR="000A497B" w:rsidRDefault="000A497B" w:rsidP="00F24A6C">
      <w:pPr>
        <w:snapToGrid w:val="0"/>
        <w:spacing w:before="240" w:after="240"/>
        <w:ind w:firstLine="420"/>
        <w:rPr>
          <w:rFonts w:ascii="微软雅黑" w:eastAsia="微软雅黑" w:hAnsi="微软雅黑" w:cs="宋体"/>
        </w:rPr>
      </w:pPr>
      <w:r w:rsidRPr="00C0518E">
        <w:rPr>
          <w:rFonts w:ascii="微软雅黑" w:eastAsia="微软雅黑" w:hAnsi="微软雅黑" w:cs="宋体" w:hint="eastAsia"/>
        </w:rPr>
        <w:t>智能终端研发及销售2</w:t>
      </w:r>
      <w:r w:rsidRPr="00C0518E">
        <w:rPr>
          <w:rFonts w:ascii="微软雅黑" w:eastAsia="微软雅黑" w:hAnsi="微软雅黑" w:cs="宋体"/>
        </w:rPr>
        <w:t>019</w:t>
      </w:r>
      <w:r w:rsidRPr="00C0518E">
        <w:rPr>
          <w:rFonts w:ascii="微软雅黑" w:eastAsia="微软雅黑" w:hAnsi="微软雅黑" w:cs="宋体" w:hint="eastAsia"/>
        </w:rPr>
        <w:t>年</w:t>
      </w:r>
      <w:r>
        <w:rPr>
          <w:rFonts w:ascii="微软雅黑" w:eastAsia="微软雅黑" w:hAnsi="微软雅黑" w:cs="宋体" w:hint="eastAsia"/>
        </w:rPr>
        <w:t>度</w:t>
      </w:r>
      <w:r w:rsidRPr="00C0518E">
        <w:rPr>
          <w:rFonts w:ascii="微软雅黑" w:eastAsia="微软雅黑" w:hAnsi="微软雅黑" w:cs="宋体" w:hint="eastAsia"/>
        </w:rPr>
        <w:t>实现收入8</w:t>
      </w:r>
      <w:r w:rsidRPr="00C0518E">
        <w:rPr>
          <w:rFonts w:ascii="微软雅黑" w:eastAsia="微软雅黑" w:hAnsi="微软雅黑" w:cs="宋体"/>
        </w:rPr>
        <w:t>.87</w:t>
      </w:r>
      <w:r w:rsidRPr="00C0518E">
        <w:rPr>
          <w:rFonts w:ascii="微软雅黑" w:eastAsia="微软雅黑" w:hAnsi="微软雅黑" w:cs="宋体" w:hint="eastAsia"/>
        </w:rPr>
        <w:t>亿元</w:t>
      </w:r>
      <w:r w:rsidR="006561E4">
        <w:rPr>
          <w:rFonts w:ascii="微软雅黑" w:eastAsia="微软雅黑" w:hAnsi="微软雅黑" w:cs="宋体" w:hint="eastAsia"/>
        </w:rPr>
        <w:t>，</w:t>
      </w:r>
      <w:r w:rsidRPr="00C0518E">
        <w:rPr>
          <w:rFonts w:ascii="微软雅黑" w:eastAsia="微软雅黑" w:hAnsi="微软雅黑" w:cs="宋体" w:hint="eastAsia"/>
        </w:rPr>
        <w:t>毛利润1</w:t>
      </w:r>
      <w:r w:rsidRPr="00C0518E">
        <w:rPr>
          <w:rFonts w:ascii="微软雅黑" w:eastAsia="微软雅黑" w:hAnsi="微软雅黑" w:cs="宋体"/>
        </w:rPr>
        <w:t>.88</w:t>
      </w:r>
      <w:r w:rsidRPr="00C0518E">
        <w:rPr>
          <w:rFonts w:ascii="微软雅黑" w:eastAsia="微软雅黑" w:hAnsi="微软雅黑" w:cs="宋体" w:hint="eastAsia"/>
        </w:rPr>
        <w:t>亿元</w:t>
      </w:r>
      <w:r w:rsidR="00917202">
        <w:rPr>
          <w:rFonts w:ascii="微软雅黑" w:eastAsia="微软雅黑" w:hAnsi="微软雅黑" w:cs="宋体" w:hint="eastAsia"/>
        </w:rPr>
        <w:t>，</w:t>
      </w:r>
      <w:r w:rsidR="004C6558">
        <w:rPr>
          <w:rFonts w:ascii="微软雅黑" w:eastAsia="微软雅黑" w:hAnsi="微软雅黑" w:cs="宋体" w:hint="eastAsia"/>
        </w:rPr>
        <w:t>同比增长1</w:t>
      </w:r>
      <w:r w:rsidR="004C6558">
        <w:rPr>
          <w:rFonts w:ascii="微软雅黑" w:eastAsia="微软雅黑" w:hAnsi="微软雅黑" w:cs="宋体"/>
        </w:rPr>
        <w:t>7</w:t>
      </w:r>
      <w:r w:rsidR="004C6558">
        <w:rPr>
          <w:rFonts w:ascii="微软雅黑" w:eastAsia="微软雅黑" w:hAnsi="微软雅黑" w:cs="宋体" w:hint="eastAsia"/>
        </w:rPr>
        <w:t>%，</w:t>
      </w:r>
      <w:r w:rsidRPr="00C0518E">
        <w:rPr>
          <w:rFonts w:ascii="微软雅黑" w:eastAsia="微软雅黑" w:hAnsi="微软雅黑" w:cs="宋体" w:hint="eastAsia"/>
        </w:rPr>
        <w:t>占</w:t>
      </w:r>
      <w:r w:rsidR="00917202">
        <w:rPr>
          <w:rFonts w:ascii="微软雅黑" w:eastAsia="微软雅黑" w:hAnsi="微软雅黑" w:cs="宋体" w:hint="eastAsia"/>
        </w:rPr>
        <w:t>公司</w:t>
      </w:r>
      <w:r>
        <w:rPr>
          <w:rFonts w:ascii="微软雅黑" w:eastAsia="微软雅黑" w:hAnsi="微软雅黑" w:cs="宋体" w:hint="eastAsia"/>
        </w:rPr>
        <w:t>总毛利</w:t>
      </w:r>
      <w:r w:rsidR="00917202">
        <w:rPr>
          <w:rFonts w:ascii="微软雅黑" w:eastAsia="微软雅黑" w:hAnsi="微软雅黑" w:cs="宋体" w:hint="eastAsia"/>
        </w:rPr>
        <w:t>的</w:t>
      </w:r>
      <w:r w:rsidRPr="00C0518E">
        <w:rPr>
          <w:rFonts w:ascii="微软雅黑" w:eastAsia="微软雅黑" w:hAnsi="微软雅黑" w:cs="宋体" w:hint="eastAsia"/>
        </w:rPr>
        <w:t>1</w:t>
      </w:r>
      <w:r w:rsidRPr="00C0518E">
        <w:rPr>
          <w:rFonts w:ascii="微软雅黑" w:eastAsia="微软雅黑" w:hAnsi="微软雅黑" w:cs="宋体"/>
        </w:rPr>
        <w:t>4</w:t>
      </w:r>
      <w:r w:rsidRPr="00C0518E">
        <w:rPr>
          <w:rFonts w:ascii="微软雅黑" w:eastAsia="微软雅黑" w:hAnsi="微软雅黑" w:cs="宋体" w:hint="eastAsia"/>
        </w:rPr>
        <w:t>%。</w:t>
      </w:r>
    </w:p>
    <w:p w14:paraId="69BFFA0F" w14:textId="4A259272" w:rsidR="001271C9"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2</w:t>
      </w:r>
      <w:r w:rsidR="001271C9" w:rsidRPr="00C0518E">
        <w:rPr>
          <w:rFonts w:ascii="微软雅黑" w:eastAsia="微软雅黑" w:hAnsi="微软雅黑" w:cs="宋体" w:hint="eastAsia"/>
          <w:b/>
          <w:bCs/>
        </w:rPr>
        <w:t>、智慧能源的未来发展情况如何？</w:t>
      </w:r>
    </w:p>
    <w:p w14:paraId="04E90717" w14:textId="77777777" w:rsidR="001271C9" w:rsidRPr="00C0518E" w:rsidRDefault="001271C9"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4706F8C7" w14:textId="77777777" w:rsidR="00D66D05" w:rsidRDefault="001271C9" w:rsidP="00F24A6C">
      <w:pPr>
        <w:snapToGrid w:val="0"/>
        <w:spacing w:before="240" w:after="240"/>
        <w:ind w:firstLineChars="200" w:firstLine="480"/>
        <w:rPr>
          <w:rFonts w:ascii="微软雅黑" w:eastAsia="微软雅黑" w:hAnsi="微软雅黑" w:cs="宋体"/>
        </w:rPr>
      </w:pPr>
      <w:r w:rsidRPr="00C0518E">
        <w:rPr>
          <w:rFonts w:ascii="微软雅黑" w:eastAsia="微软雅黑" w:hAnsi="微软雅黑" w:cs="宋体" w:hint="eastAsia"/>
        </w:rPr>
        <w:t>在宏观层面，面对疫情导致的经济下行压力，国家电网和南方电网承担起了加大新基建投入、带动经济增长的责任，另一方面，面对降电价、国家进一步推进</w:t>
      </w:r>
      <w:proofErr w:type="gramStart"/>
      <w:r w:rsidRPr="00C0518E">
        <w:rPr>
          <w:rFonts w:ascii="微软雅黑" w:eastAsia="微软雅黑" w:hAnsi="微软雅黑" w:cs="宋体" w:hint="eastAsia"/>
        </w:rPr>
        <w:t>电改带来</w:t>
      </w:r>
      <w:proofErr w:type="gramEnd"/>
      <w:r w:rsidRPr="00C0518E">
        <w:rPr>
          <w:rFonts w:ascii="微软雅黑" w:eastAsia="微软雅黑" w:hAnsi="微软雅黑" w:cs="宋体" w:hint="eastAsia"/>
        </w:rPr>
        <w:t>的冲击，两大电网企业已经开始转型发展。</w:t>
      </w:r>
    </w:p>
    <w:p w14:paraId="689E8281" w14:textId="4CDFF6AC" w:rsidR="001271C9" w:rsidRPr="00C0518E" w:rsidRDefault="001271C9" w:rsidP="00F24A6C">
      <w:pPr>
        <w:snapToGrid w:val="0"/>
        <w:spacing w:before="240" w:after="240"/>
        <w:ind w:firstLineChars="200" w:firstLine="480"/>
        <w:rPr>
          <w:rFonts w:ascii="微软雅黑" w:eastAsia="微软雅黑" w:hAnsi="微软雅黑"/>
        </w:rPr>
      </w:pPr>
      <w:r w:rsidRPr="00C0518E">
        <w:rPr>
          <w:rFonts w:ascii="微软雅黑" w:eastAsia="微软雅黑" w:hAnsi="微软雅黑" w:cs="宋体" w:hint="eastAsia"/>
        </w:rPr>
        <w:t>未来，面对新基建的投资机会，基于公司在电力业务原有的市场布局优势，我们将进一步加强基层市场建设、丰富解决方案内容，争取更多的业务机会，扩大市场领域。同时，配合电网的转型发展，电网企业在管理模式上将更强调数字化、智能化，同时，也将更积极地投身电能替代、充电桩、储能、综合能源服务这些扩大市场、增加收入的新业务领域，这为公司在智慧能源领域的信息技术应用、业务创新、发展新市场提供了难得的市场机遇。另一方面，未来电网企业在业务模式、经营策略和产业合作上将更为开放，积极开展包括大数据服务、电力营销互联网运营、综合能源经营、充电桩经营、售电园区等在内的多种新型业务</w:t>
      </w:r>
      <w:r w:rsidRPr="00C0518E">
        <w:rPr>
          <w:rFonts w:ascii="微软雅黑" w:eastAsia="微软雅黑" w:hAnsi="微软雅黑" w:cs="宋体" w:hint="eastAsia"/>
        </w:rPr>
        <w:lastRenderedPageBreak/>
        <w:t>形态和新型商业模式，为公司采取更丰富的合作方式进行市场经营和业务拓展提供了可能。</w:t>
      </w:r>
    </w:p>
    <w:p w14:paraId="6CC01884" w14:textId="1E6FEE8A" w:rsidR="001271C9"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3</w:t>
      </w:r>
      <w:r w:rsidR="001271C9" w:rsidRPr="00C0518E">
        <w:rPr>
          <w:rFonts w:ascii="微软雅黑" w:eastAsia="微软雅黑" w:hAnsi="微软雅黑" w:cs="宋体" w:hint="eastAsia"/>
          <w:b/>
          <w:bCs/>
        </w:rPr>
        <w:t>、邦道科技收入构成及未来展望？</w:t>
      </w:r>
    </w:p>
    <w:p w14:paraId="2079676E" w14:textId="77777777" w:rsidR="001271C9" w:rsidRPr="00C0518E" w:rsidRDefault="001271C9"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6C81BAF4" w14:textId="3BDA54AA" w:rsidR="001271C9" w:rsidRPr="00C0518E" w:rsidRDefault="001271C9" w:rsidP="00F24A6C">
      <w:pPr>
        <w:snapToGrid w:val="0"/>
        <w:spacing w:before="240" w:after="240"/>
        <w:rPr>
          <w:rFonts w:ascii="微软雅黑" w:eastAsia="微软雅黑" w:hAnsi="微软雅黑" w:cs="宋体"/>
        </w:rPr>
      </w:pPr>
      <w:r w:rsidRPr="00C0518E">
        <w:rPr>
          <w:rFonts w:ascii="微软雅黑" w:eastAsia="微软雅黑" w:hAnsi="微软雅黑" w:cs="宋体"/>
        </w:rPr>
        <w:tab/>
      </w:r>
      <w:r w:rsidRPr="00C0518E">
        <w:rPr>
          <w:rFonts w:ascii="微软雅黑" w:eastAsia="微软雅黑" w:hAnsi="微软雅黑" w:cs="宋体" w:hint="eastAsia"/>
        </w:rPr>
        <w:t>邦道科技</w:t>
      </w:r>
      <w:r w:rsidRPr="00C0518E">
        <w:rPr>
          <w:rFonts w:ascii="微软雅黑" w:eastAsia="微软雅黑" w:hAnsi="微软雅黑" w:cs="宋体"/>
        </w:rPr>
        <w:t>2019</w:t>
      </w:r>
      <w:r w:rsidRPr="00C0518E">
        <w:rPr>
          <w:rFonts w:ascii="微软雅黑" w:eastAsia="微软雅黑" w:hAnsi="微软雅黑" w:cs="宋体" w:hint="eastAsia"/>
        </w:rPr>
        <w:t>年在公共事业缴费云平台业务收入约</w:t>
      </w:r>
      <w:r w:rsidRPr="00C0518E">
        <w:rPr>
          <w:rFonts w:ascii="微软雅黑" w:eastAsia="微软雅黑" w:hAnsi="微软雅黑" w:cs="宋体"/>
        </w:rPr>
        <w:t>2.84</w:t>
      </w:r>
      <w:r w:rsidRPr="00C0518E">
        <w:rPr>
          <w:rFonts w:ascii="微软雅黑" w:eastAsia="微软雅黑" w:hAnsi="微软雅黑" w:cs="宋体" w:hint="eastAsia"/>
        </w:rPr>
        <w:t>亿元，占比约</w:t>
      </w:r>
      <w:r w:rsidRPr="00C0518E">
        <w:rPr>
          <w:rFonts w:ascii="微软雅黑" w:eastAsia="微软雅黑" w:hAnsi="微软雅黑" w:cs="宋体"/>
        </w:rPr>
        <w:t>63%</w:t>
      </w:r>
      <w:r w:rsidR="008355B1">
        <w:rPr>
          <w:rFonts w:ascii="微软雅黑" w:eastAsia="微软雅黑" w:hAnsi="微软雅黑" w:cs="宋体" w:hint="eastAsia"/>
        </w:rPr>
        <w:t>；</w:t>
      </w:r>
      <w:r w:rsidRPr="00C0518E">
        <w:rPr>
          <w:rFonts w:ascii="微软雅黑" w:eastAsia="微软雅黑" w:hAnsi="微软雅黑" w:cs="宋体" w:hint="eastAsia"/>
        </w:rPr>
        <w:t>在互联网运营服务实现收入超过</w:t>
      </w:r>
      <w:r w:rsidRPr="00C0518E">
        <w:rPr>
          <w:rFonts w:ascii="微软雅黑" w:eastAsia="微软雅黑" w:hAnsi="微软雅黑" w:cs="宋体"/>
        </w:rPr>
        <w:t>1</w:t>
      </w:r>
      <w:r w:rsidRPr="00C0518E">
        <w:rPr>
          <w:rFonts w:ascii="微软雅黑" w:eastAsia="微软雅黑" w:hAnsi="微软雅黑" w:cs="宋体" w:hint="eastAsia"/>
        </w:rPr>
        <w:t>亿元，占比约</w:t>
      </w:r>
      <w:r w:rsidRPr="00C0518E">
        <w:rPr>
          <w:rFonts w:ascii="微软雅黑" w:eastAsia="微软雅黑" w:hAnsi="微软雅黑" w:cs="宋体"/>
        </w:rPr>
        <w:t>25%</w:t>
      </w:r>
      <w:r w:rsidR="008355B1">
        <w:rPr>
          <w:rFonts w:ascii="微软雅黑" w:eastAsia="微软雅黑" w:hAnsi="微软雅黑" w:cs="宋体" w:hint="eastAsia"/>
        </w:rPr>
        <w:t>；</w:t>
      </w:r>
      <w:r w:rsidRPr="00C0518E">
        <w:rPr>
          <w:rFonts w:ascii="微软雅黑" w:eastAsia="微软雅黑" w:hAnsi="微软雅黑" w:cs="宋体" w:hint="eastAsia"/>
        </w:rPr>
        <w:t>在定制化软件开发实现收入约0</w:t>
      </w:r>
      <w:r w:rsidRPr="00C0518E">
        <w:rPr>
          <w:rFonts w:ascii="微软雅黑" w:eastAsia="微软雅黑" w:hAnsi="微软雅黑" w:cs="宋体"/>
        </w:rPr>
        <w:t>.52</w:t>
      </w:r>
      <w:r w:rsidRPr="00C0518E">
        <w:rPr>
          <w:rFonts w:ascii="微软雅黑" w:eastAsia="微软雅黑" w:hAnsi="微软雅黑" w:cs="宋体" w:hint="eastAsia"/>
        </w:rPr>
        <w:t>亿元，占比约1</w:t>
      </w:r>
      <w:r w:rsidRPr="00C0518E">
        <w:rPr>
          <w:rFonts w:ascii="微软雅黑" w:eastAsia="微软雅黑" w:hAnsi="微软雅黑" w:cs="宋体"/>
        </w:rPr>
        <w:t>2%</w:t>
      </w:r>
      <w:r w:rsidRPr="00C0518E">
        <w:rPr>
          <w:rFonts w:ascii="微软雅黑" w:eastAsia="微软雅黑" w:hAnsi="微软雅黑" w:cs="宋体" w:hint="eastAsia"/>
        </w:rPr>
        <w:t>。</w:t>
      </w:r>
    </w:p>
    <w:p w14:paraId="13603439" w14:textId="3753E038" w:rsidR="001271C9" w:rsidRPr="00C0518E" w:rsidRDefault="001271C9" w:rsidP="00F24A6C">
      <w:pPr>
        <w:snapToGrid w:val="0"/>
        <w:spacing w:before="240" w:after="240"/>
        <w:rPr>
          <w:rFonts w:ascii="微软雅黑" w:eastAsia="微软雅黑" w:hAnsi="微软雅黑" w:cs="宋体"/>
        </w:rPr>
      </w:pPr>
      <w:r w:rsidRPr="00C0518E">
        <w:rPr>
          <w:rFonts w:ascii="微软雅黑" w:eastAsia="微软雅黑" w:hAnsi="微软雅黑" w:cs="宋体"/>
          <w:b/>
          <w:bCs/>
        </w:rPr>
        <w:tab/>
      </w:r>
      <w:r w:rsidRPr="00C0518E">
        <w:rPr>
          <w:rFonts w:ascii="微软雅黑" w:eastAsia="微软雅黑" w:hAnsi="微软雅黑" w:cs="宋体" w:hint="eastAsia"/>
        </w:rPr>
        <w:t>在公共服务领域，数字化与智能化的服务已经成为行业发展主要趋势。近期，支付宝已正式升级为数字生活开放平台，聚焦服务业数字化的新战略目标。邦道科技将进一步强化与支付宝等主流互联网平台的战略伙伴关系，站在行业整体增值赋能角度，以移动支付及数字营销为切入点，重点建设公共事业、加油充电、智慧停车及校园教育等行业开放平台，通过持续的互联网运营助力机构提升用户数字化与智能化服务水平，共同创造产业新价值。</w:t>
      </w:r>
    </w:p>
    <w:p w14:paraId="06372DF6" w14:textId="471EF6C7" w:rsidR="00244E6C"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4</w:t>
      </w:r>
      <w:r w:rsidR="00244E6C" w:rsidRPr="00C0518E">
        <w:rPr>
          <w:rFonts w:ascii="微软雅黑" w:eastAsia="微软雅黑" w:hAnsi="微软雅黑" w:cs="宋体" w:hint="eastAsia"/>
          <w:b/>
          <w:bCs/>
        </w:rPr>
        <w:t>、</w:t>
      </w:r>
      <w:r w:rsidR="00073DEF" w:rsidRPr="00C0518E">
        <w:rPr>
          <w:rFonts w:ascii="微软雅黑" w:eastAsia="微软雅黑" w:hAnsi="微软雅黑" w:cs="宋体" w:hint="eastAsia"/>
          <w:b/>
          <w:bCs/>
        </w:rPr>
        <w:t>邦道科技在主要控股参股公司分析与重要非全资子公司的主要财务信息</w:t>
      </w:r>
      <w:r w:rsidR="00D6447A" w:rsidRPr="00C0518E">
        <w:rPr>
          <w:rFonts w:ascii="微软雅黑" w:eastAsia="微软雅黑" w:hAnsi="微软雅黑" w:cs="宋体" w:hint="eastAsia"/>
          <w:b/>
          <w:bCs/>
        </w:rPr>
        <w:t>中不同营</w:t>
      </w:r>
      <w:proofErr w:type="gramStart"/>
      <w:r w:rsidR="00D6447A" w:rsidRPr="00C0518E">
        <w:rPr>
          <w:rFonts w:ascii="微软雅黑" w:eastAsia="微软雅黑" w:hAnsi="微软雅黑" w:cs="宋体" w:hint="eastAsia"/>
          <w:b/>
          <w:bCs/>
        </w:rPr>
        <w:t>收数据</w:t>
      </w:r>
      <w:proofErr w:type="gramEnd"/>
      <w:r w:rsidR="00D6447A" w:rsidRPr="00C0518E">
        <w:rPr>
          <w:rFonts w:ascii="微软雅黑" w:eastAsia="微软雅黑" w:hAnsi="微软雅黑" w:cs="宋体" w:hint="eastAsia"/>
          <w:b/>
          <w:bCs/>
        </w:rPr>
        <w:t>的含义</w:t>
      </w:r>
      <w:r w:rsidR="00073DEF" w:rsidRPr="00C0518E">
        <w:rPr>
          <w:rFonts w:ascii="微软雅黑" w:eastAsia="微软雅黑" w:hAnsi="微软雅黑" w:cs="宋体" w:hint="eastAsia"/>
          <w:b/>
          <w:bCs/>
        </w:rPr>
        <w:t>？</w:t>
      </w:r>
    </w:p>
    <w:p w14:paraId="1AB1380D" w14:textId="0F1AB251" w:rsidR="00073DEF" w:rsidRPr="00C0518E" w:rsidRDefault="00073DEF"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0E3782EE" w14:textId="14737049" w:rsidR="00073DEF" w:rsidRPr="00C0518E" w:rsidRDefault="00073DEF" w:rsidP="00F24A6C">
      <w:pPr>
        <w:snapToGrid w:val="0"/>
        <w:spacing w:before="240" w:after="240"/>
        <w:rPr>
          <w:rFonts w:ascii="微软雅黑" w:eastAsia="微软雅黑" w:hAnsi="微软雅黑" w:cs="宋体"/>
        </w:rPr>
      </w:pPr>
      <w:r w:rsidRPr="00C0518E">
        <w:rPr>
          <w:rFonts w:ascii="微软雅黑" w:eastAsia="微软雅黑" w:hAnsi="微软雅黑" w:cs="宋体"/>
          <w:b/>
          <w:bCs/>
        </w:rPr>
        <w:tab/>
      </w:r>
      <w:r w:rsidRPr="00C0518E">
        <w:rPr>
          <w:rFonts w:ascii="微软雅黑" w:eastAsia="微软雅黑" w:hAnsi="微软雅黑" w:cs="宋体" w:hint="eastAsia"/>
        </w:rPr>
        <w:t>年报中第四节、经营情况讨论与分析之第七项、主要控股参股公司分析（年报第3</w:t>
      </w:r>
      <w:r w:rsidRPr="00C0518E">
        <w:rPr>
          <w:rFonts w:ascii="微软雅黑" w:eastAsia="微软雅黑" w:hAnsi="微软雅黑" w:cs="宋体"/>
        </w:rPr>
        <w:t>0</w:t>
      </w:r>
      <w:r w:rsidRPr="00C0518E">
        <w:rPr>
          <w:rFonts w:ascii="微软雅黑" w:eastAsia="微软雅黑" w:hAnsi="微软雅黑" w:cs="宋体" w:hint="eastAsia"/>
        </w:rPr>
        <w:t>页），邦道科技列示的营业收入、净利润等营收项目为2</w:t>
      </w:r>
      <w:r w:rsidRPr="00C0518E">
        <w:rPr>
          <w:rFonts w:ascii="微软雅黑" w:eastAsia="微软雅黑" w:hAnsi="微软雅黑" w:cs="宋体"/>
        </w:rPr>
        <w:t>019</w:t>
      </w:r>
      <w:r w:rsidRPr="00C0518E">
        <w:rPr>
          <w:rFonts w:ascii="微软雅黑" w:eastAsia="微软雅黑" w:hAnsi="微软雅黑" w:cs="宋体" w:hint="eastAsia"/>
        </w:rPr>
        <w:t>年纳入</w:t>
      </w:r>
      <w:r w:rsidR="00D6447A" w:rsidRPr="00C0518E">
        <w:rPr>
          <w:rFonts w:ascii="微软雅黑" w:eastAsia="微软雅黑" w:hAnsi="微软雅黑" w:cs="宋体" w:hint="eastAsia"/>
        </w:rPr>
        <w:t>上市公司</w:t>
      </w:r>
      <w:r w:rsidRPr="00C0518E">
        <w:rPr>
          <w:rFonts w:ascii="微软雅黑" w:eastAsia="微软雅黑" w:hAnsi="微软雅黑" w:cs="宋体" w:hint="eastAsia"/>
        </w:rPr>
        <w:t>合并报表范围的营收数据（自合并重组购买日起）；年报中第十二节财务报告之第九项、在其他主体中的权益之1、在子公司中的权益之（3）</w:t>
      </w:r>
      <w:bookmarkStart w:id="1" w:name="_Hlk36794308"/>
      <w:r w:rsidRPr="00C0518E">
        <w:rPr>
          <w:rFonts w:ascii="微软雅黑" w:eastAsia="微软雅黑" w:hAnsi="微软雅黑" w:cs="宋体" w:hint="eastAsia"/>
        </w:rPr>
        <w:t>重要非全资子公司的主要财务信息</w:t>
      </w:r>
      <w:bookmarkEnd w:id="1"/>
      <w:r w:rsidRPr="00C0518E">
        <w:rPr>
          <w:rFonts w:ascii="微软雅黑" w:eastAsia="微软雅黑" w:hAnsi="微软雅黑" w:cs="宋体" w:hint="eastAsia"/>
        </w:rPr>
        <w:t>（年报第2</w:t>
      </w:r>
      <w:r w:rsidRPr="00C0518E">
        <w:rPr>
          <w:rFonts w:ascii="微软雅黑" w:eastAsia="微软雅黑" w:hAnsi="微软雅黑" w:cs="宋体"/>
        </w:rPr>
        <w:t>10</w:t>
      </w:r>
      <w:r w:rsidRPr="00C0518E">
        <w:rPr>
          <w:rFonts w:ascii="微软雅黑" w:eastAsia="微软雅黑" w:hAnsi="微软雅黑" w:cs="宋体" w:hint="eastAsia"/>
        </w:rPr>
        <w:t>页），邦道科技列示的营业收入、净利润等营收项目为</w:t>
      </w:r>
      <w:r w:rsidRPr="00C0518E">
        <w:rPr>
          <w:rFonts w:ascii="微软雅黑" w:eastAsia="微软雅黑" w:hAnsi="微软雅黑" w:cs="宋体"/>
        </w:rPr>
        <w:t>2019</w:t>
      </w:r>
      <w:r w:rsidRPr="00C0518E">
        <w:rPr>
          <w:rFonts w:ascii="微软雅黑" w:eastAsia="微软雅黑" w:hAnsi="微软雅黑" w:cs="宋体" w:hint="eastAsia"/>
        </w:rPr>
        <w:t>年度邦道科技单体报表全年数据</w:t>
      </w:r>
      <w:r w:rsidR="00A3232B" w:rsidRPr="00C0518E">
        <w:rPr>
          <w:rFonts w:ascii="微软雅黑" w:eastAsia="微软雅黑" w:hAnsi="微软雅黑" w:cs="宋体" w:hint="eastAsia"/>
        </w:rPr>
        <w:t>，</w:t>
      </w:r>
      <w:r w:rsidR="00A3232B" w:rsidRPr="00C0518E">
        <w:rPr>
          <w:rFonts w:ascii="微软雅黑" w:eastAsia="微软雅黑" w:hAnsi="微软雅黑" w:cs="宋体"/>
        </w:rPr>
        <w:t>2019</w:t>
      </w:r>
      <w:r w:rsidR="00A3232B" w:rsidRPr="00C0518E">
        <w:rPr>
          <w:rFonts w:ascii="微软雅黑" w:eastAsia="微软雅黑" w:hAnsi="微软雅黑" w:cs="宋体" w:hint="eastAsia"/>
        </w:rPr>
        <w:t>年邦道科技总计实现营业收入</w:t>
      </w:r>
      <w:r w:rsidR="007076F6" w:rsidRPr="00C0518E">
        <w:rPr>
          <w:rFonts w:ascii="微软雅黑" w:eastAsia="微软雅黑" w:hAnsi="微软雅黑" w:cs="宋体" w:hint="eastAsia"/>
        </w:rPr>
        <w:t>4</w:t>
      </w:r>
      <w:r w:rsidR="007076F6" w:rsidRPr="00C0518E">
        <w:rPr>
          <w:rFonts w:ascii="微软雅黑" w:eastAsia="微软雅黑" w:hAnsi="微软雅黑" w:cs="宋体"/>
        </w:rPr>
        <w:t>.48</w:t>
      </w:r>
      <w:r w:rsidR="00A3232B" w:rsidRPr="00C0518E">
        <w:rPr>
          <w:rFonts w:ascii="微软雅黑" w:eastAsia="微软雅黑" w:hAnsi="微软雅黑" w:cs="宋体" w:hint="eastAsia"/>
        </w:rPr>
        <w:t>亿元，净利润</w:t>
      </w:r>
      <w:r w:rsidR="00636014" w:rsidRPr="00C0518E">
        <w:rPr>
          <w:rFonts w:ascii="微软雅黑" w:eastAsia="微软雅黑" w:hAnsi="微软雅黑" w:cs="宋体" w:hint="eastAsia"/>
        </w:rPr>
        <w:t>2</w:t>
      </w:r>
      <w:r w:rsidR="00636014" w:rsidRPr="00C0518E">
        <w:rPr>
          <w:rFonts w:ascii="微软雅黑" w:eastAsia="微软雅黑" w:hAnsi="微软雅黑" w:cs="宋体"/>
        </w:rPr>
        <w:t>.21</w:t>
      </w:r>
      <w:r w:rsidR="00A3232B" w:rsidRPr="00C0518E">
        <w:rPr>
          <w:rFonts w:ascii="微软雅黑" w:eastAsia="微软雅黑" w:hAnsi="微软雅黑" w:cs="宋体" w:hint="eastAsia"/>
        </w:rPr>
        <w:t>亿元</w:t>
      </w:r>
      <w:r w:rsidRPr="00C0518E">
        <w:rPr>
          <w:rFonts w:ascii="微软雅黑" w:eastAsia="微软雅黑" w:hAnsi="微软雅黑" w:cs="宋体" w:hint="eastAsia"/>
        </w:rPr>
        <w:t>。</w:t>
      </w:r>
    </w:p>
    <w:p w14:paraId="24B12F09" w14:textId="09EE178C" w:rsidR="00FA1471"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5</w:t>
      </w:r>
      <w:r w:rsidR="00FA1471" w:rsidRPr="00C0518E">
        <w:rPr>
          <w:rFonts w:ascii="微软雅黑" w:eastAsia="微软雅黑" w:hAnsi="微软雅黑" w:cs="宋体" w:hint="eastAsia"/>
          <w:b/>
          <w:bCs/>
        </w:rPr>
        <w:t>、</w:t>
      </w:r>
      <w:r w:rsidR="00D6447A" w:rsidRPr="00C0518E">
        <w:rPr>
          <w:rFonts w:ascii="微软雅黑" w:eastAsia="微软雅黑" w:hAnsi="微软雅黑" w:cs="宋体" w:hint="eastAsia"/>
          <w:b/>
          <w:bCs/>
        </w:rPr>
        <w:t>在</w:t>
      </w:r>
      <w:r w:rsidR="00FA1471" w:rsidRPr="00C0518E">
        <w:rPr>
          <w:rFonts w:ascii="微软雅黑" w:eastAsia="微软雅黑" w:hAnsi="微软雅黑" w:cs="宋体" w:hint="eastAsia"/>
          <w:b/>
          <w:bCs/>
        </w:rPr>
        <w:t>公共服务</w:t>
      </w:r>
      <w:r w:rsidR="00D6447A" w:rsidRPr="00C0518E">
        <w:rPr>
          <w:rFonts w:ascii="微软雅黑" w:eastAsia="微软雅黑" w:hAnsi="微软雅黑" w:cs="宋体" w:hint="eastAsia"/>
          <w:b/>
          <w:bCs/>
        </w:rPr>
        <w:t>领域</w:t>
      </w:r>
      <w:r w:rsidR="00FA1471" w:rsidRPr="00C0518E">
        <w:rPr>
          <w:rFonts w:ascii="微软雅黑" w:eastAsia="微软雅黑" w:hAnsi="微软雅黑" w:cs="宋体" w:hint="eastAsia"/>
          <w:b/>
          <w:bCs/>
        </w:rPr>
        <w:t>，</w:t>
      </w:r>
      <w:r w:rsidR="00D6447A" w:rsidRPr="00C0518E">
        <w:rPr>
          <w:rFonts w:ascii="微软雅黑" w:eastAsia="微软雅黑" w:hAnsi="微软雅黑" w:cs="宋体" w:hint="eastAsia"/>
          <w:b/>
          <w:bCs/>
        </w:rPr>
        <w:t>公司电力缴费基于朗新在电力行业信息化的能力积累，在</w:t>
      </w:r>
      <w:r w:rsidR="00FA1471" w:rsidRPr="00C0518E">
        <w:rPr>
          <w:rFonts w:ascii="微软雅黑" w:eastAsia="微软雅黑" w:hAnsi="微软雅黑" w:cs="宋体" w:hint="eastAsia"/>
          <w:b/>
          <w:bCs/>
        </w:rPr>
        <w:t>电力</w:t>
      </w:r>
      <w:r w:rsidR="00D6447A" w:rsidRPr="00C0518E">
        <w:rPr>
          <w:rFonts w:ascii="微软雅黑" w:eastAsia="微软雅黑" w:hAnsi="微软雅黑" w:cs="宋体" w:hint="eastAsia"/>
          <w:b/>
          <w:bCs/>
        </w:rPr>
        <w:t>缴费</w:t>
      </w:r>
      <w:r w:rsidR="00FA1471" w:rsidRPr="00C0518E">
        <w:rPr>
          <w:rFonts w:ascii="微软雅黑" w:eastAsia="微软雅黑" w:hAnsi="微软雅黑" w:cs="宋体" w:hint="eastAsia"/>
          <w:b/>
          <w:bCs/>
        </w:rPr>
        <w:t>场景</w:t>
      </w:r>
      <w:r w:rsidR="00D6447A" w:rsidRPr="00C0518E">
        <w:rPr>
          <w:rFonts w:ascii="微软雅黑" w:eastAsia="微软雅黑" w:hAnsi="微软雅黑" w:cs="宋体" w:hint="eastAsia"/>
          <w:b/>
          <w:bCs/>
        </w:rPr>
        <w:t>以外，如水、燃气等场景</w:t>
      </w:r>
      <w:r w:rsidR="00576E29" w:rsidRPr="00C0518E">
        <w:rPr>
          <w:rFonts w:ascii="微软雅黑" w:eastAsia="微软雅黑" w:hAnsi="微软雅黑" w:cs="宋体" w:hint="eastAsia"/>
          <w:b/>
          <w:bCs/>
        </w:rPr>
        <w:t>邦道科技</w:t>
      </w:r>
      <w:r w:rsidR="00D6447A" w:rsidRPr="00C0518E">
        <w:rPr>
          <w:rFonts w:ascii="微软雅黑" w:eastAsia="微软雅黑" w:hAnsi="微软雅黑" w:cs="宋体" w:hint="eastAsia"/>
          <w:b/>
          <w:bCs/>
        </w:rPr>
        <w:t>是否依然能够保持竞争</w:t>
      </w:r>
      <w:r w:rsidR="00FA1471" w:rsidRPr="00C0518E">
        <w:rPr>
          <w:rFonts w:ascii="微软雅黑" w:eastAsia="微软雅黑" w:hAnsi="微软雅黑" w:cs="宋体" w:hint="eastAsia"/>
          <w:b/>
          <w:bCs/>
        </w:rPr>
        <w:t>优势？</w:t>
      </w:r>
    </w:p>
    <w:p w14:paraId="5974C316" w14:textId="6A01F7E5" w:rsidR="00D6447A" w:rsidRPr="00C0518E" w:rsidRDefault="00D6447A"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7E92C6F2" w14:textId="2BA7612F" w:rsidR="00D6447A" w:rsidRPr="00C0518E" w:rsidRDefault="00D6447A" w:rsidP="00F24A6C">
      <w:pPr>
        <w:snapToGrid w:val="0"/>
        <w:spacing w:before="240" w:after="240"/>
        <w:rPr>
          <w:rFonts w:ascii="微软雅黑" w:eastAsia="微软雅黑" w:hAnsi="微软雅黑" w:cs="宋体"/>
        </w:rPr>
      </w:pPr>
      <w:r w:rsidRPr="00C0518E">
        <w:rPr>
          <w:rFonts w:ascii="微软雅黑" w:eastAsia="微软雅黑" w:hAnsi="微软雅黑" w:cs="宋体"/>
          <w:b/>
          <w:bCs/>
        </w:rPr>
        <w:tab/>
      </w:r>
      <w:r w:rsidRPr="00C0518E">
        <w:rPr>
          <w:rFonts w:ascii="微软雅黑" w:eastAsia="微软雅黑" w:hAnsi="微软雅黑" w:cs="宋体" w:hint="eastAsia"/>
        </w:rPr>
        <w:t>早期生活缴费业务的切入，是基于</w:t>
      </w:r>
      <w:r w:rsidR="00A3232B" w:rsidRPr="00C0518E">
        <w:rPr>
          <w:rFonts w:ascii="微软雅黑" w:eastAsia="微软雅黑" w:hAnsi="微软雅黑" w:cs="宋体" w:hint="eastAsia"/>
        </w:rPr>
        <w:t>公司在</w:t>
      </w:r>
      <w:r w:rsidRPr="00C0518E">
        <w:rPr>
          <w:rFonts w:ascii="微软雅黑" w:eastAsia="微软雅黑" w:hAnsi="微软雅黑" w:cs="宋体" w:hint="eastAsia"/>
        </w:rPr>
        <w:t>电力行业信息化的能力积累。随着</w:t>
      </w:r>
      <w:r w:rsidR="00576E29" w:rsidRPr="00C0518E">
        <w:rPr>
          <w:rFonts w:ascii="微软雅黑" w:eastAsia="微软雅黑" w:hAnsi="微软雅黑" w:cs="宋体" w:hint="eastAsia"/>
        </w:rPr>
        <w:t>承载大量用户的</w:t>
      </w:r>
      <w:r w:rsidRPr="00C0518E">
        <w:rPr>
          <w:rFonts w:ascii="微软雅黑" w:eastAsia="微软雅黑" w:hAnsi="微软雅黑" w:cs="宋体" w:hint="eastAsia"/>
        </w:rPr>
        <w:t>生活缴费云平台的</w:t>
      </w:r>
      <w:r w:rsidR="00576E29" w:rsidRPr="00C0518E">
        <w:rPr>
          <w:rFonts w:ascii="微软雅黑" w:eastAsia="微软雅黑" w:hAnsi="微软雅黑" w:cs="宋体" w:hint="eastAsia"/>
        </w:rPr>
        <w:t>多年深度</w:t>
      </w:r>
      <w:r w:rsidRPr="00C0518E">
        <w:rPr>
          <w:rFonts w:ascii="微软雅黑" w:eastAsia="微软雅黑" w:hAnsi="微软雅黑" w:cs="宋体" w:hint="eastAsia"/>
        </w:rPr>
        <w:t>运营，</w:t>
      </w:r>
      <w:r w:rsidR="00576E29" w:rsidRPr="00C0518E">
        <w:rPr>
          <w:rFonts w:ascii="微软雅黑" w:eastAsia="微软雅黑" w:hAnsi="微软雅黑" w:cs="宋体" w:hint="eastAsia"/>
        </w:rPr>
        <w:t>邦道科技</w:t>
      </w:r>
      <w:r w:rsidRPr="00C0518E">
        <w:rPr>
          <w:rFonts w:ascii="微软雅黑" w:eastAsia="微软雅黑" w:hAnsi="微软雅黑" w:cs="宋体" w:hint="eastAsia"/>
        </w:rPr>
        <w:t>已经在生活缴费领域</w:t>
      </w:r>
      <w:r w:rsidRPr="00C0518E">
        <w:rPr>
          <w:rFonts w:ascii="微软雅黑" w:eastAsia="微软雅黑" w:hAnsi="微软雅黑" w:cs="宋体" w:hint="eastAsia"/>
        </w:rPr>
        <w:lastRenderedPageBreak/>
        <w:t>积累了深厚的运营</w:t>
      </w:r>
      <w:r w:rsidR="00A3232B" w:rsidRPr="00C0518E">
        <w:rPr>
          <w:rFonts w:ascii="微软雅黑" w:eastAsia="微软雅黑" w:hAnsi="微软雅黑" w:cs="宋体" w:hint="eastAsia"/>
        </w:rPr>
        <w:t>与服务</w:t>
      </w:r>
      <w:r w:rsidRPr="00C0518E">
        <w:rPr>
          <w:rFonts w:ascii="微软雅黑" w:eastAsia="微软雅黑" w:hAnsi="微软雅黑" w:cs="宋体" w:hint="eastAsia"/>
        </w:rPr>
        <w:t>能力</w:t>
      </w:r>
      <w:r w:rsidR="00576E29" w:rsidRPr="00C0518E">
        <w:rPr>
          <w:rFonts w:ascii="微软雅黑" w:eastAsia="微软雅黑" w:hAnsi="微软雅黑" w:cs="宋体" w:hint="eastAsia"/>
        </w:rPr>
        <w:t>。</w:t>
      </w:r>
      <w:r w:rsidR="00A3232B" w:rsidRPr="00C0518E">
        <w:rPr>
          <w:rFonts w:ascii="微软雅黑" w:eastAsia="微软雅黑" w:hAnsi="微软雅黑" w:cs="宋体" w:hint="eastAsia"/>
        </w:rPr>
        <w:t>目前，公司</w:t>
      </w:r>
      <w:r w:rsidR="00576E29" w:rsidRPr="00C0518E">
        <w:rPr>
          <w:rFonts w:ascii="微软雅黑" w:eastAsia="微软雅黑" w:hAnsi="微软雅黑" w:cs="宋体" w:hint="eastAsia"/>
        </w:rPr>
        <w:t>既有赋能B</w:t>
      </w:r>
      <w:proofErr w:type="gramStart"/>
      <w:r w:rsidR="00576E29" w:rsidRPr="00C0518E">
        <w:rPr>
          <w:rFonts w:ascii="微软雅黑" w:eastAsia="微软雅黑" w:hAnsi="微软雅黑" w:cs="宋体" w:hint="eastAsia"/>
        </w:rPr>
        <w:t>端机构</w:t>
      </w:r>
      <w:proofErr w:type="gramEnd"/>
      <w:r w:rsidR="00A3232B" w:rsidRPr="00C0518E">
        <w:rPr>
          <w:rFonts w:ascii="微软雅黑" w:eastAsia="微软雅黑" w:hAnsi="微软雅黑" w:cs="宋体" w:hint="eastAsia"/>
        </w:rPr>
        <w:t>的产业信息化和互联网化</w:t>
      </w:r>
      <w:r w:rsidR="00576E29" w:rsidRPr="00C0518E">
        <w:rPr>
          <w:rFonts w:ascii="微软雅黑" w:eastAsia="微软雅黑" w:hAnsi="微软雅黑" w:cs="宋体" w:hint="eastAsia"/>
        </w:rPr>
        <w:t>能力；同时也有公共开</w:t>
      </w:r>
      <w:r w:rsidR="00AE1A5A" w:rsidRPr="00C0518E">
        <w:rPr>
          <w:rFonts w:ascii="微软雅黑" w:eastAsia="微软雅黑" w:hAnsi="微软雅黑" w:cs="宋体" w:hint="eastAsia"/>
        </w:rPr>
        <w:t>放</w:t>
      </w:r>
      <w:r w:rsidR="00576E29" w:rsidRPr="00C0518E">
        <w:rPr>
          <w:rFonts w:ascii="微软雅黑" w:eastAsia="微软雅黑" w:hAnsi="微软雅黑" w:cs="宋体" w:hint="eastAsia"/>
        </w:rPr>
        <w:t>平台深度运营的能力，</w:t>
      </w:r>
      <w:r w:rsidRPr="00C0518E">
        <w:rPr>
          <w:rFonts w:ascii="微软雅黑" w:eastAsia="微软雅黑" w:hAnsi="微软雅黑" w:cs="宋体" w:hint="eastAsia"/>
        </w:rPr>
        <w:t>这样的能力同样适用于其他生活场景</w:t>
      </w:r>
      <w:r w:rsidR="000C7EDF" w:rsidRPr="00C0518E">
        <w:rPr>
          <w:rFonts w:ascii="微软雅黑" w:eastAsia="微软雅黑" w:hAnsi="微软雅黑" w:cs="宋体" w:hint="eastAsia"/>
        </w:rPr>
        <w:t>，也构成</w:t>
      </w:r>
      <w:r w:rsidR="00A3232B" w:rsidRPr="00C0518E">
        <w:rPr>
          <w:rFonts w:ascii="微软雅黑" w:eastAsia="微软雅黑" w:hAnsi="微软雅黑" w:cs="宋体" w:hint="eastAsia"/>
        </w:rPr>
        <w:t>公司</w:t>
      </w:r>
      <w:r w:rsidR="000C7EDF" w:rsidRPr="00C0518E">
        <w:rPr>
          <w:rFonts w:ascii="微软雅黑" w:eastAsia="微软雅黑" w:hAnsi="微软雅黑" w:cs="宋体" w:hint="eastAsia"/>
        </w:rPr>
        <w:t>的核心优势</w:t>
      </w:r>
      <w:r w:rsidRPr="00C0518E">
        <w:rPr>
          <w:rFonts w:ascii="微软雅黑" w:eastAsia="微软雅黑" w:hAnsi="微软雅黑" w:cs="宋体" w:hint="eastAsia"/>
        </w:rPr>
        <w:t>。</w:t>
      </w:r>
      <w:r w:rsidR="00576E29" w:rsidRPr="00C0518E">
        <w:rPr>
          <w:rFonts w:ascii="微软雅黑" w:eastAsia="微软雅黑" w:hAnsi="微软雅黑" w:cs="宋体" w:hint="eastAsia"/>
        </w:rPr>
        <w:t>正是基于这两方面能力的不断积累，公司</w:t>
      </w:r>
      <w:r w:rsidR="000C3949" w:rsidRPr="00C0518E">
        <w:rPr>
          <w:rFonts w:ascii="微软雅黑" w:eastAsia="微软雅黑" w:hAnsi="微软雅黑" w:cs="宋体" w:hint="eastAsia"/>
        </w:rPr>
        <w:t>未来将</w:t>
      </w:r>
      <w:r w:rsidR="00576E29" w:rsidRPr="00C0518E">
        <w:rPr>
          <w:rFonts w:ascii="微软雅黑" w:eastAsia="微软雅黑" w:hAnsi="微软雅黑" w:cs="宋体" w:hint="eastAsia"/>
        </w:rPr>
        <w:t>在更多的</w:t>
      </w:r>
      <w:r w:rsidR="000C3949" w:rsidRPr="00C0518E">
        <w:rPr>
          <w:rFonts w:ascii="微软雅黑" w:eastAsia="微软雅黑" w:hAnsi="微软雅黑" w:cs="宋体" w:hint="eastAsia"/>
        </w:rPr>
        <w:t>公共服务和生活服务</w:t>
      </w:r>
      <w:r w:rsidR="00576E29" w:rsidRPr="00C0518E">
        <w:rPr>
          <w:rFonts w:ascii="微软雅黑" w:eastAsia="微软雅黑" w:hAnsi="微软雅黑" w:cs="宋体" w:hint="eastAsia"/>
        </w:rPr>
        <w:t>领域</w:t>
      </w:r>
      <w:r w:rsidR="007076F6" w:rsidRPr="00C0518E">
        <w:rPr>
          <w:rFonts w:ascii="微软雅黑" w:eastAsia="微软雅黑" w:hAnsi="微软雅黑" w:cs="宋体" w:hint="eastAsia"/>
        </w:rPr>
        <w:t>进行业务拓展</w:t>
      </w:r>
      <w:r w:rsidR="00576E29" w:rsidRPr="00C0518E">
        <w:rPr>
          <w:rFonts w:ascii="微软雅黑" w:eastAsia="微软雅黑" w:hAnsi="微软雅黑" w:cs="宋体" w:hint="eastAsia"/>
        </w:rPr>
        <w:t>。</w:t>
      </w:r>
    </w:p>
    <w:p w14:paraId="61501120" w14:textId="0E0A14E1" w:rsidR="00FC1D5D" w:rsidRPr="00C0518E" w:rsidRDefault="00D57D07" w:rsidP="00F24A6C">
      <w:pPr>
        <w:snapToGrid w:val="0"/>
        <w:rPr>
          <w:rFonts w:ascii="微软雅黑" w:eastAsia="微软雅黑" w:hAnsi="微软雅黑" w:cs="宋体"/>
          <w:b/>
          <w:bCs/>
        </w:rPr>
      </w:pPr>
      <w:r>
        <w:rPr>
          <w:rFonts w:ascii="微软雅黑" w:eastAsia="微软雅黑" w:hAnsi="微软雅黑" w:cs="宋体"/>
          <w:b/>
          <w:bCs/>
        </w:rPr>
        <w:t>6</w:t>
      </w:r>
      <w:r w:rsidR="00FC1D5D" w:rsidRPr="00C0518E">
        <w:rPr>
          <w:rFonts w:ascii="微软雅黑" w:eastAsia="微软雅黑" w:hAnsi="微软雅黑" w:cs="宋体" w:hint="eastAsia"/>
          <w:b/>
          <w:bCs/>
        </w:rPr>
        <w:t>、蚂蚁近期投资了充电</w:t>
      </w:r>
      <w:proofErr w:type="gramStart"/>
      <w:r w:rsidR="00FC1D5D" w:rsidRPr="00C0518E">
        <w:rPr>
          <w:rFonts w:ascii="微软雅黑" w:eastAsia="微软雅黑" w:hAnsi="微软雅黑" w:cs="宋体" w:hint="eastAsia"/>
          <w:b/>
          <w:bCs/>
        </w:rPr>
        <w:t>桩领域</w:t>
      </w:r>
      <w:proofErr w:type="gramEnd"/>
      <w:r w:rsidR="00FC1D5D" w:rsidRPr="00C0518E">
        <w:rPr>
          <w:rFonts w:ascii="微软雅黑" w:eastAsia="微软雅黑" w:hAnsi="微软雅黑" w:cs="宋体" w:hint="eastAsia"/>
          <w:b/>
          <w:bCs/>
        </w:rPr>
        <w:t>的一家企业，在充电领域，公司今年的展望如何？</w:t>
      </w:r>
    </w:p>
    <w:p w14:paraId="57ADD84F" w14:textId="77777777" w:rsidR="00FC1D5D" w:rsidRPr="00C0518E" w:rsidRDefault="00FC1D5D" w:rsidP="00F24A6C">
      <w:pPr>
        <w:snapToGrid w:val="0"/>
        <w:rPr>
          <w:rFonts w:ascii="微软雅黑" w:eastAsia="微软雅黑" w:hAnsi="微软雅黑" w:cs="宋体"/>
          <w:b/>
          <w:bCs/>
        </w:rPr>
      </w:pPr>
      <w:r w:rsidRPr="00C0518E">
        <w:rPr>
          <w:rFonts w:ascii="微软雅黑" w:eastAsia="微软雅黑" w:hAnsi="微软雅黑" w:cs="宋体" w:hint="eastAsia"/>
          <w:b/>
          <w:bCs/>
        </w:rPr>
        <w:t>答：</w:t>
      </w:r>
    </w:p>
    <w:p w14:paraId="435026D1" w14:textId="77777777" w:rsidR="00FC1D5D" w:rsidRPr="00C0518E" w:rsidRDefault="00FC1D5D" w:rsidP="00F24A6C">
      <w:pPr>
        <w:snapToGrid w:val="0"/>
        <w:rPr>
          <w:rFonts w:ascii="微软雅黑" w:eastAsia="微软雅黑" w:hAnsi="微软雅黑" w:cs="宋体"/>
          <w:b/>
          <w:bCs/>
        </w:rPr>
      </w:pPr>
      <w:r w:rsidRPr="00C0518E">
        <w:rPr>
          <w:rFonts w:ascii="微软雅黑" w:eastAsia="微软雅黑" w:hAnsi="微软雅黑" w:cs="宋体"/>
          <w:b/>
          <w:bCs/>
        </w:rPr>
        <w:tab/>
      </w:r>
      <w:r w:rsidRPr="00C0518E">
        <w:rPr>
          <w:rFonts w:ascii="微软雅黑" w:eastAsia="微软雅黑" w:hAnsi="微软雅黑" w:cs="宋体" w:hint="eastAsia"/>
        </w:rPr>
        <w:t>公司与支付宝在车主服务（停车、充电等领域）开展合作。一方面，我们共建行业开放平台，实现面向行业的C端运营能力开放；另一方面，我们自己也通过解决方案或SaaS赋能B端机构，帮助B</w:t>
      </w:r>
      <w:proofErr w:type="gramStart"/>
      <w:r w:rsidRPr="00C0518E">
        <w:rPr>
          <w:rFonts w:ascii="微软雅黑" w:eastAsia="微软雅黑" w:hAnsi="微软雅黑" w:cs="宋体" w:hint="eastAsia"/>
        </w:rPr>
        <w:t>端机构</w:t>
      </w:r>
      <w:proofErr w:type="gramEnd"/>
      <w:r w:rsidRPr="00C0518E">
        <w:rPr>
          <w:rFonts w:ascii="微软雅黑" w:eastAsia="微软雅黑" w:hAnsi="微软雅黑" w:cs="宋体" w:hint="eastAsia"/>
        </w:rPr>
        <w:t>更快更好地利用蚂蚁在C</w:t>
      </w:r>
      <w:proofErr w:type="gramStart"/>
      <w:r w:rsidRPr="00C0518E">
        <w:rPr>
          <w:rFonts w:ascii="微软雅黑" w:eastAsia="微软雅黑" w:hAnsi="微软雅黑" w:cs="宋体" w:hint="eastAsia"/>
        </w:rPr>
        <w:t>端行业</w:t>
      </w:r>
      <w:proofErr w:type="gramEnd"/>
      <w:r w:rsidRPr="00C0518E">
        <w:rPr>
          <w:rFonts w:ascii="微软雅黑" w:eastAsia="微软雅黑" w:hAnsi="微软雅黑" w:cs="宋体" w:hint="eastAsia"/>
        </w:rPr>
        <w:t>开放平台的运营能力。我们欢迎更多产业</w:t>
      </w:r>
      <w:proofErr w:type="gramStart"/>
      <w:r w:rsidRPr="00C0518E">
        <w:rPr>
          <w:rFonts w:ascii="微软雅黑" w:eastAsia="微软雅黑" w:hAnsi="微软雅黑" w:cs="宋体" w:hint="eastAsia"/>
        </w:rPr>
        <w:t>链合作</w:t>
      </w:r>
      <w:proofErr w:type="gramEnd"/>
      <w:r w:rsidRPr="00C0518E">
        <w:rPr>
          <w:rFonts w:ascii="微软雅黑" w:eastAsia="微软雅黑" w:hAnsi="微软雅黑" w:cs="宋体" w:hint="eastAsia"/>
        </w:rPr>
        <w:t>伙伴的加入，共建生态，增强开放平台的广泛连接。</w:t>
      </w:r>
    </w:p>
    <w:p w14:paraId="0FD9E961" w14:textId="33CFA600" w:rsidR="00FC1D5D"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7</w:t>
      </w:r>
      <w:r w:rsidR="00FC1D5D" w:rsidRPr="00C0518E">
        <w:rPr>
          <w:rFonts w:ascii="微软雅黑" w:eastAsia="微软雅黑" w:hAnsi="微软雅黑" w:cs="宋体" w:hint="eastAsia"/>
          <w:b/>
          <w:bCs/>
        </w:rPr>
        <w:t>、问：易</w:t>
      </w:r>
      <w:proofErr w:type="gramStart"/>
      <w:r w:rsidR="00FC1D5D" w:rsidRPr="00C0518E">
        <w:rPr>
          <w:rFonts w:ascii="微软雅黑" w:eastAsia="微软雅黑" w:hAnsi="微软雅黑" w:cs="宋体" w:hint="eastAsia"/>
          <w:b/>
          <w:bCs/>
        </w:rPr>
        <w:t>视腾科技</w:t>
      </w:r>
      <w:proofErr w:type="gramEnd"/>
      <w:r w:rsidR="00FC1D5D" w:rsidRPr="00C0518E">
        <w:rPr>
          <w:rFonts w:ascii="微软雅黑" w:eastAsia="微软雅黑" w:hAnsi="微软雅黑" w:cs="宋体" w:hint="eastAsia"/>
          <w:b/>
          <w:bCs/>
        </w:rPr>
        <w:t>收入构成及未来展望？</w:t>
      </w:r>
    </w:p>
    <w:p w14:paraId="35DAF3B3" w14:textId="77777777" w:rsidR="00FC1D5D" w:rsidRPr="00C0518E" w:rsidRDefault="00FC1D5D"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2BC3DC1E" w14:textId="435531D3" w:rsidR="00FC1D5D" w:rsidRPr="00C0518E" w:rsidRDefault="00FC1D5D" w:rsidP="00F24A6C">
      <w:pPr>
        <w:snapToGrid w:val="0"/>
        <w:spacing w:before="240" w:after="240"/>
        <w:ind w:firstLine="420"/>
        <w:rPr>
          <w:rFonts w:ascii="微软雅黑" w:eastAsia="微软雅黑" w:hAnsi="微软雅黑" w:cs="宋体"/>
        </w:rPr>
      </w:pPr>
      <w:r w:rsidRPr="00C0518E">
        <w:rPr>
          <w:rFonts w:ascii="微软雅黑" w:eastAsia="微软雅黑" w:hAnsi="微软雅黑" w:cs="宋体" w:hint="eastAsia"/>
        </w:rPr>
        <w:t>2</w:t>
      </w:r>
      <w:r w:rsidRPr="00C0518E">
        <w:rPr>
          <w:rFonts w:ascii="微软雅黑" w:eastAsia="微软雅黑" w:hAnsi="微软雅黑" w:cs="宋体"/>
        </w:rPr>
        <w:t>019</w:t>
      </w:r>
      <w:r w:rsidRPr="00C0518E">
        <w:rPr>
          <w:rFonts w:ascii="微软雅黑" w:eastAsia="微软雅黑" w:hAnsi="微软雅黑" w:cs="宋体" w:hint="eastAsia"/>
        </w:rPr>
        <w:t>年度，易</w:t>
      </w:r>
      <w:proofErr w:type="gramStart"/>
      <w:r w:rsidRPr="00C0518E">
        <w:rPr>
          <w:rFonts w:ascii="微软雅黑" w:eastAsia="微软雅黑" w:hAnsi="微软雅黑" w:cs="宋体" w:hint="eastAsia"/>
        </w:rPr>
        <w:t>视腾科技</w:t>
      </w:r>
      <w:proofErr w:type="gramEnd"/>
      <w:r w:rsidRPr="00C0518E">
        <w:rPr>
          <w:rFonts w:ascii="微软雅黑" w:eastAsia="微软雅黑" w:hAnsi="微软雅黑" w:cs="宋体" w:hint="eastAsia"/>
        </w:rPr>
        <w:t>互联网电视运营服务与增值业务实现收入</w:t>
      </w:r>
      <w:r w:rsidR="00D26741" w:rsidRPr="00C0518E">
        <w:rPr>
          <w:rFonts w:ascii="微软雅黑" w:eastAsia="微软雅黑" w:hAnsi="微软雅黑" w:cs="宋体" w:hint="eastAsia"/>
        </w:rPr>
        <w:t>3</w:t>
      </w:r>
      <w:r w:rsidR="00D26741" w:rsidRPr="00C0518E">
        <w:rPr>
          <w:rFonts w:ascii="微软雅黑" w:eastAsia="微软雅黑" w:hAnsi="微软雅黑" w:cs="宋体"/>
        </w:rPr>
        <w:t>.18</w:t>
      </w:r>
      <w:proofErr w:type="gramStart"/>
      <w:r w:rsidR="00D26741" w:rsidRPr="00C0518E">
        <w:rPr>
          <w:rFonts w:ascii="微软雅黑" w:eastAsia="微软雅黑" w:hAnsi="微软雅黑" w:cs="宋体" w:hint="eastAsia"/>
        </w:rPr>
        <w:t>亿</w:t>
      </w:r>
      <w:r w:rsidRPr="00C0518E">
        <w:rPr>
          <w:rFonts w:ascii="微软雅黑" w:eastAsia="微软雅黑" w:hAnsi="微软雅黑" w:cs="宋体" w:hint="eastAsia"/>
        </w:rPr>
        <w:t>亿</w:t>
      </w:r>
      <w:proofErr w:type="gramEnd"/>
      <w:r w:rsidRPr="00C0518E">
        <w:rPr>
          <w:rFonts w:ascii="微软雅黑" w:eastAsia="微软雅黑" w:hAnsi="微软雅黑" w:cs="宋体" w:hint="eastAsia"/>
        </w:rPr>
        <w:t>元，占比约</w:t>
      </w:r>
      <w:r w:rsidR="00D26741" w:rsidRPr="00C0518E">
        <w:rPr>
          <w:rFonts w:ascii="微软雅黑" w:eastAsia="微软雅黑" w:hAnsi="微软雅黑" w:cs="宋体"/>
        </w:rPr>
        <w:t>26</w:t>
      </w:r>
      <w:r w:rsidRPr="00C0518E">
        <w:rPr>
          <w:rFonts w:ascii="微软雅黑" w:eastAsia="微软雅黑" w:hAnsi="微软雅黑" w:cs="宋体" w:hint="eastAsia"/>
        </w:rPr>
        <w:t>%；智能终端销售实现收入8</w:t>
      </w:r>
      <w:r w:rsidRPr="00C0518E">
        <w:rPr>
          <w:rFonts w:ascii="微软雅黑" w:eastAsia="微软雅黑" w:hAnsi="微软雅黑" w:cs="宋体"/>
        </w:rPr>
        <w:t>.65</w:t>
      </w:r>
      <w:r w:rsidRPr="00C0518E">
        <w:rPr>
          <w:rFonts w:ascii="微软雅黑" w:eastAsia="微软雅黑" w:hAnsi="微软雅黑" w:cs="宋体" w:hint="eastAsia"/>
        </w:rPr>
        <w:t>亿元，占比约7</w:t>
      </w:r>
      <w:r w:rsidRPr="00C0518E">
        <w:rPr>
          <w:rFonts w:ascii="微软雅黑" w:eastAsia="微软雅黑" w:hAnsi="微软雅黑" w:cs="宋体"/>
        </w:rPr>
        <w:t>0</w:t>
      </w:r>
      <w:r w:rsidRPr="00C0518E">
        <w:rPr>
          <w:rFonts w:ascii="微软雅黑" w:eastAsia="微软雅黑" w:hAnsi="微软雅黑" w:cs="宋体" w:hint="eastAsia"/>
        </w:rPr>
        <w:t>%；技术服务实现收入</w:t>
      </w:r>
      <w:r w:rsidR="00D26741" w:rsidRPr="00C0518E">
        <w:rPr>
          <w:rFonts w:ascii="微软雅黑" w:eastAsia="微软雅黑" w:hAnsi="微软雅黑" w:cs="宋体" w:hint="eastAsia"/>
        </w:rPr>
        <w:t>0</w:t>
      </w:r>
      <w:r w:rsidR="00D26741" w:rsidRPr="00C0518E">
        <w:rPr>
          <w:rFonts w:ascii="微软雅黑" w:eastAsia="微软雅黑" w:hAnsi="微软雅黑" w:cs="宋体"/>
        </w:rPr>
        <w:t>.56</w:t>
      </w:r>
      <w:r w:rsidRPr="00C0518E">
        <w:rPr>
          <w:rFonts w:ascii="微软雅黑" w:eastAsia="微软雅黑" w:hAnsi="微软雅黑" w:cs="宋体" w:hint="eastAsia"/>
        </w:rPr>
        <w:t>亿元，占比约</w:t>
      </w:r>
      <w:r w:rsidR="00D26741" w:rsidRPr="00C0518E">
        <w:rPr>
          <w:rFonts w:ascii="微软雅黑" w:eastAsia="微软雅黑" w:hAnsi="微软雅黑" w:cs="宋体"/>
        </w:rPr>
        <w:t>4</w:t>
      </w:r>
      <w:r w:rsidRPr="00C0518E">
        <w:rPr>
          <w:rFonts w:ascii="微软雅黑" w:eastAsia="微软雅黑" w:hAnsi="微软雅黑" w:cs="宋体" w:hint="eastAsia"/>
        </w:rPr>
        <w:t>%。</w:t>
      </w:r>
    </w:p>
    <w:p w14:paraId="13E02652" w14:textId="77777777" w:rsidR="00FC1D5D" w:rsidRPr="00C0518E" w:rsidRDefault="00FC1D5D" w:rsidP="00F24A6C">
      <w:pPr>
        <w:snapToGrid w:val="0"/>
        <w:spacing w:before="240" w:after="240"/>
        <w:rPr>
          <w:rFonts w:ascii="微软雅黑" w:eastAsia="微软雅黑" w:hAnsi="微软雅黑" w:cs="宋体"/>
        </w:rPr>
      </w:pPr>
      <w:r w:rsidRPr="00C0518E">
        <w:rPr>
          <w:rFonts w:ascii="微软雅黑" w:eastAsia="微软雅黑" w:hAnsi="微软雅黑" w:cs="宋体"/>
          <w:b/>
          <w:bCs/>
        </w:rPr>
        <w:tab/>
      </w:r>
      <w:r w:rsidRPr="00C0518E">
        <w:rPr>
          <w:rFonts w:ascii="微软雅黑" w:eastAsia="微软雅黑" w:hAnsi="微软雅黑" w:cs="宋体" w:hint="eastAsia"/>
        </w:rPr>
        <w:t>2020年，电视互联网行业正在经历着巨大的变革，一方面，互联网电视OTT业务与IPTV业务并驾齐驱、增量市场随着宽带拓展放缓而增速放缓；另一方面，电视作为客厅经济中最重要的</w:t>
      </w:r>
      <w:proofErr w:type="gramStart"/>
      <w:r w:rsidRPr="00C0518E">
        <w:rPr>
          <w:rFonts w:ascii="微软雅黑" w:eastAsia="微软雅黑" w:hAnsi="微软雅黑" w:cs="宋体" w:hint="eastAsia"/>
        </w:rPr>
        <w:t>一</w:t>
      </w:r>
      <w:proofErr w:type="gramEnd"/>
      <w:r w:rsidRPr="00C0518E">
        <w:rPr>
          <w:rFonts w:ascii="微软雅黑" w:eastAsia="微软雅黑" w:hAnsi="微软雅黑" w:cs="宋体" w:hint="eastAsia"/>
        </w:rPr>
        <w:t>“屏”，正在发展成为家庭智能生活的最大入口，连接各类影视资源、少儿节目、综艺节目、体育赛事的同时，在线教育、在线</w:t>
      </w:r>
      <w:proofErr w:type="gramStart"/>
      <w:r w:rsidRPr="00C0518E">
        <w:rPr>
          <w:rFonts w:ascii="微软雅黑" w:eastAsia="微软雅黑" w:hAnsi="微软雅黑" w:cs="宋体" w:hint="eastAsia"/>
        </w:rPr>
        <w:t>医</w:t>
      </w:r>
      <w:proofErr w:type="gramEnd"/>
      <w:r w:rsidRPr="00C0518E">
        <w:rPr>
          <w:rFonts w:ascii="微软雅黑" w:eastAsia="微软雅黑" w:hAnsi="微软雅黑" w:cs="宋体" w:hint="eastAsia"/>
        </w:rPr>
        <w:t>养、智能家居等业务方兴未艾。未来，易</w:t>
      </w:r>
      <w:proofErr w:type="gramStart"/>
      <w:r w:rsidRPr="00C0518E">
        <w:rPr>
          <w:rFonts w:ascii="微软雅黑" w:eastAsia="微软雅黑" w:hAnsi="微软雅黑" w:cs="宋体" w:hint="eastAsia"/>
        </w:rPr>
        <w:t>视腾科技</w:t>
      </w:r>
      <w:proofErr w:type="gramEnd"/>
      <w:r w:rsidRPr="00C0518E">
        <w:rPr>
          <w:rFonts w:ascii="微软雅黑" w:eastAsia="微软雅黑" w:hAnsi="微软雅黑" w:cs="宋体" w:hint="eastAsia"/>
        </w:rPr>
        <w:t>将在以互联网电视为中心的智慧家庭领域争取更大发展的突破口，继续把“做大规模、做强平台、做好电视、</w:t>
      </w:r>
      <w:proofErr w:type="gramStart"/>
      <w:r w:rsidRPr="00C0518E">
        <w:rPr>
          <w:rFonts w:ascii="微软雅黑" w:eastAsia="微软雅黑" w:hAnsi="微软雅黑" w:cs="宋体" w:hint="eastAsia"/>
        </w:rPr>
        <w:t>做对</w:t>
      </w:r>
      <w:proofErr w:type="gramEnd"/>
      <w:r w:rsidRPr="00C0518E">
        <w:rPr>
          <w:rFonts w:ascii="微软雅黑" w:eastAsia="微软雅黑" w:hAnsi="微软雅黑" w:cs="宋体" w:hint="eastAsia"/>
        </w:rPr>
        <w:t>生态”作为易</w:t>
      </w:r>
      <w:proofErr w:type="gramStart"/>
      <w:r w:rsidRPr="00C0518E">
        <w:rPr>
          <w:rFonts w:ascii="微软雅黑" w:eastAsia="微软雅黑" w:hAnsi="微软雅黑" w:cs="宋体" w:hint="eastAsia"/>
        </w:rPr>
        <w:t>视腾科技</w:t>
      </w:r>
      <w:proofErr w:type="gramEnd"/>
      <w:r w:rsidRPr="00C0518E">
        <w:rPr>
          <w:rFonts w:ascii="微软雅黑" w:eastAsia="微软雅黑" w:hAnsi="微软雅黑" w:cs="宋体" w:hint="eastAsia"/>
        </w:rPr>
        <w:t>持续发展的重要举措，进一步拓展并充分挖掘B2B2C的业务价值，推进大屏增值业务与精细化运营，深化与运营商的合作关系，全面支持OTT-TV与IPTV业务融合发展，为集团未来的智慧家庭产业融合发展提供战略支持。</w:t>
      </w:r>
    </w:p>
    <w:p w14:paraId="7E162F55" w14:textId="4020128F" w:rsidR="00FC1D5D"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8</w:t>
      </w:r>
      <w:r w:rsidR="00FC1D5D" w:rsidRPr="00C0518E">
        <w:rPr>
          <w:rFonts w:ascii="微软雅黑" w:eastAsia="微软雅黑" w:hAnsi="微软雅黑" w:cs="宋体" w:hint="eastAsia"/>
          <w:b/>
          <w:bCs/>
        </w:rPr>
        <w:t>、问：基于智慧城市未来的展望，公司发展智慧城市的竞争优势在哪里？</w:t>
      </w:r>
      <w:r w:rsidR="00FC1D5D" w:rsidRPr="00C0518E">
        <w:rPr>
          <w:rFonts w:ascii="微软雅黑" w:eastAsia="微软雅黑" w:hAnsi="微软雅黑" w:cs="宋体"/>
          <w:b/>
          <w:bCs/>
        </w:rPr>
        <w:t xml:space="preserve"> </w:t>
      </w:r>
      <w:r w:rsidR="00FC1D5D" w:rsidRPr="00C0518E">
        <w:rPr>
          <w:rFonts w:ascii="微软雅黑" w:eastAsia="微软雅黑" w:hAnsi="微软雅黑" w:cs="宋体" w:hint="eastAsia"/>
          <w:b/>
          <w:bCs/>
        </w:rPr>
        <w:t>智慧城市的发展与公司已布局的业务能力之间的关系？</w:t>
      </w:r>
    </w:p>
    <w:p w14:paraId="3422C238" w14:textId="77777777" w:rsidR="00FC1D5D" w:rsidRPr="00C0518E" w:rsidRDefault="00FC1D5D"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3481BF60" w14:textId="32680C3D" w:rsidR="00FC1D5D" w:rsidRDefault="00FC1D5D" w:rsidP="00F24A6C">
      <w:pPr>
        <w:snapToGrid w:val="0"/>
        <w:spacing w:before="240" w:after="240"/>
        <w:rPr>
          <w:rFonts w:ascii="微软雅黑" w:eastAsia="微软雅黑" w:hAnsi="微软雅黑" w:cs="宋体"/>
        </w:rPr>
      </w:pPr>
      <w:r w:rsidRPr="00C0518E">
        <w:rPr>
          <w:rFonts w:ascii="微软雅黑" w:eastAsia="微软雅黑" w:hAnsi="微软雅黑" w:cs="宋体"/>
          <w:b/>
          <w:bCs/>
        </w:rPr>
        <w:lastRenderedPageBreak/>
        <w:tab/>
      </w:r>
      <w:r w:rsidRPr="00C0518E">
        <w:rPr>
          <w:rFonts w:ascii="微软雅黑" w:eastAsia="微软雅黑" w:hAnsi="微软雅黑" w:cs="宋体" w:hint="eastAsia"/>
        </w:rPr>
        <w:t>2020年新年以来，新冠疫情的发展对社会产生了广泛的影响，使得政府和企业的管理服务模式与交易心智发生了深刻的变化，从政府、公用服务机构、社区、学校到企业，对互联网线上业务模式的需求已经成为一个普遍的趋势。朗新科技集团通过过去多年在公共服务、城市交通、社区服务、智慧停车、校园服务等多个领域的产业互联网业务布局，凭借平台、运营、技术能力积累和实践经验，在2020年初的科技抗</w:t>
      </w:r>
      <w:proofErr w:type="gramStart"/>
      <w:r w:rsidRPr="00C0518E">
        <w:rPr>
          <w:rFonts w:ascii="微软雅黑" w:eastAsia="微软雅黑" w:hAnsi="微软雅黑" w:cs="宋体" w:hint="eastAsia"/>
        </w:rPr>
        <w:t>疫</w:t>
      </w:r>
      <w:proofErr w:type="gramEnd"/>
      <w:r w:rsidRPr="00C0518E">
        <w:rPr>
          <w:rFonts w:ascii="微软雅黑" w:eastAsia="微软雅黑" w:hAnsi="微软雅黑" w:cs="宋体" w:hint="eastAsia"/>
        </w:rPr>
        <w:t>战役中帮助无锡、湖北、北京等多地政府或社区建设并运营了公共防疫管理平台、健康码A</w:t>
      </w:r>
      <w:r w:rsidRPr="00C0518E">
        <w:rPr>
          <w:rFonts w:ascii="微软雅黑" w:eastAsia="微软雅黑" w:hAnsi="微软雅黑" w:cs="宋体"/>
        </w:rPr>
        <w:t>PP</w:t>
      </w:r>
      <w:r w:rsidRPr="00C0518E">
        <w:rPr>
          <w:rFonts w:ascii="微软雅黑" w:eastAsia="微软雅黑" w:hAnsi="微软雅黑" w:cs="宋体" w:hint="eastAsia"/>
        </w:rPr>
        <w:t>等应用，发挥了重要的作用，凸显了集团产业互联网业务战略布局的价值，实现了纵向布局、横向成型，为公司在智慧城市领域平台建设与运营业务的拓展开辟了新的空间。</w:t>
      </w:r>
    </w:p>
    <w:p w14:paraId="6FA1B433" w14:textId="02C916BD" w:rsidR="009179B6" w:rsidRPr="00C0518E" w:rsidRDefault="00D57D07" w:rsidP="00F24A6C">
      <w:pPr>
        <w:snapToGrid w:val="0"/>
        <w:spacing w:before="240" w:after="240"/>
        <w:rPr>
          <w:rFonts w:ascii="微软雅黑" w:eastAsia="微软雅黑" w:hAnsi="微软雅黑" w:cs="宋体"/>
          <w:b/>
          <w:bCs/>
        </w:rPr>
      </w:pPr>
      <w:r>
        <w:rPr>
          <w:rFonts w:ascii="微软雅黑" w:eastAsia="微软雅黑" w:hAnsi="微软雅黑" w:cs="宋体"/>
          <w:b/>
          <w:bCs/>
        </w:rPr>
        <w:t>9</w:t>
      </w:r>
      <w:r w:rsidR="009179B6" w:rsidRPr="00C0518E">
        <w:rPr>
          <w:rFonts w:ascii="微软雅黑" w:eastAsia="微软雅黑" w:hAnsi="微软雅黑" w:cs="宋体" w:hint="eastAsia"/>
          <w:b/>
          <w:bCs/>
        </w:rPr>
        <w:t>、问：公司一季度受疫情影响情况如何？</w:t>
      </w:r>
    </w:p>
    <w:p w14:paraId="298AF10E" w14:textId="77777777" w:rsidR="009179B6" w:rsidRPr="00C0518E" w:rsidRDefault="009179B6" w:rsidP="00F24A6C">
      <w:pPr>
        <w:snapToGrid w:val="0"/>
        <w:spacing w:before="240" w:after="240"/>
        <w:rPr>
          <w:rFonts w:ascii="微软雅黑" w:eastAsia="微软雅黑" w:hAnsi="微软雅黑" w:cs="宋体"/>
          <w:b/>
          <w:bCs/>
        </w:rPr>
      </w:pPr>
      <w:r w:rsidRPr="00C0518E">
        <w:rPr>
          <w:rFonts w:ascii="微软雅黑" w:eastAsia="微软雅黑" w:hAnsi="微软雅黑" w:cs="宋体" w:hint="eastAsia"/>
          <w:b/>
          <w:bCs/>
        </w:rPr>
        <w:t>答：</w:t>
      </w:r>
    </w:p>
    <w:p w14:paraId="6B7A192F" w14:textId="524E688C" w:rsidR="009179B6" w:rsidRPr="00C0518E" w:rsidRDefault="009179B6" w:rsidP="00F24A6C">
      <w:pPr>
        <w:snapToGrid w:val="0"/>
        <w:spacing w:before="240" w:after="240"/>
        <w:rPr>
          <w:rFonts w:ascii="微软雅黑" w:eastAsia="微软雅黑" w:hAnsi="微软雅黑" w:cs="宋体"/>
        </w:rPr>
      </w:pPr>
      <w:r w:rsidRPr="00C0518E">
        <w:rPr>
          <w:rFonts w:ascii="微软雅黑" w:eastAsia="微软雅黑" w:hAnsi="微软雅黑" w:cs="宋体"/>
          <w:b/>
          <w:bCs/>
        </w:rPr>
        <w:tab/>
      </w:r>
      <w:r w:rsidRPr="00C0518E">
        <w:rPr>
          <w:rFonts w:ascii="微软雅黑" w:eastAsia="微软雅黑" w:hAnsi="微软雅黑" w:cs="宋体" w:hint="eastAsia"/>
        </w:rPr>
        <w:t>运营服务等线上平台业务受疫情影响较小，发展稳定并持续增长；软件服务业务，基于公司已部署完成的</w:t>
      </w:r>
      <w:proofErr w:type="gramStart"/>
      <w:r w:rsidRPr="00C0518E">
        <w:rPr>
          <w:rFonts w:ascii="微软雅黑" w:eastAsia="微软雅黑" w:hAnsi="微软雅黑" w:cs="宋体" w:hint="eastAsia"/>
        </w:rPr>
        <w:t>私有云开发</w:t>
      </w:r>
      <w:proofErr w:type="gramEnd"/>
      <w:r w:rsidRPr="00C0518E">
        <w:rPr>
          <w:rFonts w:ascii="微软雅黑" w:eastAsia="微软雅黑" w:hAnsi="微软雅黑" w:cs="宋体" w:hint="eastAsia"/>
        </w:rPr>
        <w:t>环境可以有效地完成后台的开发工作，项目实施与交付受客户在疫情期间的管控影响，有一定的延迟，同时，公司遍布全国的本地化服务团队可以及时响应客户现场的服务需求；智能终端业务，受疫情影响电信运营商互联网电视用户新增放缓，导致出货量减少。</w:t>
      </w:r>
    </w:p>
    <w:p w14:paraId="37E8EE99" w14:textId="77777777" w:rsidR="00FC1D5D" w:rsidRPr="00FC1D5D" w:rsidRDefault="00FC1D5D" w:rsidP="00F24A6C">
      <w:pPr>
        <w:snapToGrid w:val="0"/>
        <w:spacing w:before="240" w:after="240"/>
        <w:ind w:firstLineChars="200" w:firstLine="480"/>
      </w:pPr>
    </w:p>
    <w:sectPr w:rsidR="00FC1D5D" w:rsidRPr="00FC1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7569F" w14:textId="77777777" w:rsidR="00145F3A" w:rsidRDefault="00145F3A" w:rsidP="009B088C">
      <w:r>
        <w:separator/>
      </w:r>
    </w:p>
  </w:endnote>
  <w:endnote w:type="continuationSeparator" w:id="0">
    <w:p w14:paraId="0DCDDFFB" w14:textId="77777777" w:rsidR="00145F3A" w:rsidRDefault="00145F3A" w:rsidP="009B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78C9" w14:textId="77777777" w:rsidR="00145F3A" w:rsidRDefault="00145F3A" w:rsidP="009B088C">
      <w:r>
        <w:separator/>
      </w:r>
    </w:p>
  </w:footnote>
  <w:footnote w:type="continuationSeparator" w:id="0">
    <w:p w14:paraId="4EBB72DF" w14:textId="77777777" w:rsidR="00145F3A" w:rsidRDefault="00145F3A" w:rsidP="009B0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0DA0"/>
    <w:multiLevelType w:val="multilevel"/>
    <w:tmpl w:val="7A130DA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C0"/>
    <w:rsid w:val="00073DEF"/>
    <w:rsid w:val="000A497B"/>
    <w:rsid w:val="000A6030"/>
    <w:rsid w:val="000B5483"/>
    <w:rsid w:val="000C3949"/>
    <w:rsid w:val="000C7EDF"/>
    <w:rsid w:val="001271C9"/>
    <w:rsid w:val="00145F3A"/>
    <w:rsid w:val="00157F9B"/>
    <w:rsid w:val="001B1824"/>
    <w:rsid w:val="001F2A5D"/>
    <w:rsid w:val="0022010E"/>
    <w:rsid w:val="00244E6C"/>
    <w:rsid w:val="002B5BFF"/>
    <w:rsid w:val="00344601"/>
    <w:rsid w:val="00345398"/>
    <w:rsid w:val="003677B1"/>
    <w:rsid w:val="00373D58"/>
    <w:rsid w:val="00385831"/>
    <w:rsid w:val="003E443F"/>
    <w:rsid w:val="004042E0"/>
    <w:rsid w:val="0041129F"/>
    <w:rsid w:val="0042538A"/>
    <w:rsid w:val="004973A4"/>
    <w:rsid w:val="004C2290"/>
    <w:rsid w:val="004C6558"/>
    <w:rsid w:val="00576E29"/>
    <w:rsid w:val="00594C7A"/>
    <w:rsid w:val="00625348"/>
    <w:rsid w:val="00636014"/>
    <w:rsid w:val="006561E4"/>
    <w:rsid w:val="006B3415"/>
    <w:rsid w:val="006F23E7"/>
    <w:rsid w:val="006F6582"/>
    <w:rsid w:val="007076F6"/>
    <w:rsid w:val="00720B35"/>
    <w:rsid w:val="00736753"/>
    <w:rsid w:val="0076002B"/>
    <w:rsid w:val="007A0A40"/>
    <w:rsid w:val="007E1474"/>
    <w:rsid w:val="00821510"/>
    <w:rsid w:val="008355B1"/>
    <w:rsid w:val="00854038"/>
    <w:rsid w:val="008541C7"/>
    <w:rsid w:val="00865A0F"/>
    <w:rsid w:val="00882CBA"/>
    <w:rsid w:val="00917202"/>
    <w:rsid w:val="009179B6"/>
    <w:rsid w:val="009658DF"/>
    <w:rsid w:val="009B088C"/>
    <w:rsid w:val="00A027EC"/>
    <w:rsid w:val="00A3232B"/>
    <w:rsid w:val="00A95FA2"/>
    <w:rsid w:val="00AC64EA"/>
    <w:rsid w:val="00AE1A5A"/>
    <w:rsid w:val="00AE2531"/>
    <w:rsid w:val="00AE7203"/>
    <w:rsid w:val="00B13BC7"/>
    <w:rsid w:val="00B2605B"/>
    <w:rsid w:val="00B32419"/>
    <w:rsid w:val="00B96F2C"/>
    <w:rsid w:val="00BA2D89"/>
    <w:rsid w:val="00BB7E90"/>
    <w:rsid w:val="00BD67C3"/>
    <w:rsid w:val="00C00FC0"/>
    <w:rsid w:val="00C0518E"/>
    <w:rsid w:val="00C07B79"/>
    <w:rsid w:val="00C6784A"/>
    <w:rsid w:val="00D03652"/>
    <w:rsid w:val="00D26741"/>
    <w:rsid w:val="00D55BBD"/>
    <w:rsid w:val="00D57D07"/>
    <w:rsid w:val="00D6447A"/>
    <w:rsid w:val="00D66D05"/>
    <w:rsid w:val="00DC1E66"/>
    <w:rsid w:val="00DC4EEB"/>
    <w:rsid w:val="00DF7632"/>
    <w:rsid w:val="00E64372"/>
    <w:rsid w:val="00EA3921"/>
    <w:rsid w:val="00EB395F"/>
    <w:rsid w:val="00EE4CDA"/>
    <w:rsid w:val="00EF0CDE"/>
    <w:rsid w:val="00F20CF8"/>
    <w:rsid w:val="00F24A6C"/>
    <w:rsid w:val="00F55A55"/>
    <w:rsid w:val="00F740E7"/>
    <w:rsid w:val="00FA1471"/>
    <w:rsid w:val="00FC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8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88C"/>
    <w:rPr>
      <w:sz w:val="18"/>
      <w:szCs w:val="18"/>
    </w:rPr>
  </w:style>
  <w:style w:type="paragraph" w:styleId="a4">
    <w:name w:val="footer"/>
    <w:basedOn w:val="a"/>
    <w:link w:val="Char0"/>
    <w:uiPriority w:val="99"/>
    <w:unhideWhenUsed/>
    <w:rsid w:val="009B088C"/>
    <w:pPr>
      <w:tabs>
        <w:tab w:val="center" w:pos="4153"/>
        <w:tab w:val="right" w:pos="8306"/>
      </w:tabs>
      <w:snapToGrid w:val="0"/>
    </w:pPr>
    <w:rPr>
      <w:sz w:val="18"/>
      <w:szCs w:val="18"/>
    </w:rPr>
  </w:style>
  <w:style w:type="character" w:customStyle="1" w:styleId="Char0">
    <w:name w:val="页脚 Char"/>
    <w:basedOn w:val="a0"/>
    <w:link w:val="a4"/>
    <w:uiPriority w:val="99"/>
    <w:rsid w:val="009B088C"/>
    <w:rPr>
      <w:sz w:val="18"/>
      <w:szCs w:val="18"/>
    </w:rPr>
  </w:style>
  <w:style w:type="paragraph" w:styleId="a5">
    <w:name w:val="List Paragraph"/>
    <w:basedOn w:val="a"/>
    <w:uiPriority w:val="34"/>
    <w:qFormat/>
    <w:rsid w:val="009B088C"/>
    <w:pPr>
      <w:ind w:firstLineChars="200" w:firstLine="420"/>
    </w:pPr>
  </w:style>
  <w:style w:type="paragraph" w:styleId="a6">
    <w:name w:val="Balloon Text"/>
    <w:basedOn w:val="a"/>
    <w:link w:val="Char1"/>
    <w:uiPriority w:val="99"/>
    <w:semiHidden/>
    <w:unhideWhenUsed/>
    <w:rsid w:val="000B5483"/>
    <w:rPr>
      <w:sz w:val="18"/>
      <w:szCs w:val="18"/>
    </w:rPr>
  </w:style>
  <w:style w:type="character" w:customStyle="1" w:styleId="Char1">
    <w:name w:val="批注框文本 Char"/>
    <w:basedOn w:val="a0"/>
    <w:link w:val="a6"/>
    <w:uiPriority w:val="99"/>
    <w:semiHidden/>
    <w:rsid w:val="000B5483"/>
    <w:rPr>
      <w:rFonts w:ascii="Times New Roman" w:hAnsi="Times New Roman" w:cs="Times New Roman"/>
      <w:kern w:val="0"/>
      <w:sz w:val="18"/>
      <w:szCs w:val="18"/>
    </w:rPr>
  </w:style>
  <w:style w:type="character" w:styleId="a7">
    <w:name w:val="annotation reference"/>
    <w:basedOn w:val="a0"/>
    <w:uiPriority w:val="99"/>
    <w:semiHidden/>
    <w:unhideWhenUsed/>
    <w:rsid w:val="00C6784A"/>
    <w:rPr>
      <w:sz w:val="21"/>
      <w:szCs w:val="21"/>
    </w:rPr>
  </w:style>
  <w:style w:type="paragraph" w:styleId="a8">
    <w:name w:val="annotation text"/>
    <w:basedOn w:val="a"/>
    <w:link w:val="Char2"/>
    <w:uiPriority w:val="99"/>
    <w:semiHidden/>
    <w:unhideWhenUsed/>
    <w:rsid w:val="00C6784A"/>
  </w:style>
  <w:style w:type="character" w:customStyle="1" w:styleId="Char2">
    <w:name w:val="批注文字 Char"/>
    <w:basedOn w:val="a0"/>
    <w:link w:val="a8"/>
    <w:uiPriority w:val="99"/>
    <w:semiHidden/>
    <w:rsid w:val="00C6784A"/>
    <w:rPr>
      <w:rFonts w:ascii="Times New Roman" w:hAnsi="Times New Roman" w:cs="Times New Roman"/>
      <w:kern w:val="0"/>
      <w:sz w:val="24"/>
      <w:szCs w:val="24"/>
    </w:rPr>
  </w:style>
  <w:style w:type="paragraph" w:styleId="a9">
    <w:name w:val="annotation subject"/>
    <w:basedOn w:val="a8"/>
    <w:next w:val="a8"/>
    <w:link w:val="Char3"/>
    <w:uiPriority w:val="99"/>
    <w:semiHidden/>
    <w:unhideWhenUsed/>
    <w:rsid w:val="00C6784A"/>
    <w:rPr>
      <w:b/>
      <w:bCs/>
    </w:rPr>
  </w:style>
  <w:style w:type="character" w:customStyle="1" w:styleId="Char3">
    <w:name w:val="批注主题 Char"/>
    <w:basedOn w:val="Char2"/>
    <w:link w:val="a9"/>
    <w:uiPriority w:val="99"/>
    <w:semiHidden/>
    <w:rsid w:val="00C6784A"/>
    <w:rPr>
      <w:rFonts w:ascii="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8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88C"/>
    <w:rPr>
      <w:sz w:val="18"/>
      <w:szCs w:val="18"/>
    </w:rPr>
  </w:style>
  <w:style w:type="paragraph" w:styleId="a4">
    <w:name w:val="footer"/>
    <w:basedOn w:val="a"/>
    <w:link w:val="Char0"/>
    <w:uiPriority w:val="99"/>
    <w:unhideWhenUsed/>
    <w:rsid w:val="009B088C"/>
    <w:pPr>
      <w:tabs>
        <w:tab w:val="center" w:pos="4153"/>
        <w:tab w:val="right" w:pos="8306"/>
      </w:tabs>
      <w:snapToGrid w:val="0"/>
    </w:pPr>
    <w:rPr>
      <w:sz w:val="18"/>
      <w:szCs w:val="18"/>
    </w:rPr>
  </w:style>
  <w:style w:type="character" w:customStyle="1" w:styleId="Char0">
    <w:name w:val="页脚 Char"/>
    <w:basedOn w:val="a0"/>
    <w:link w:val="a4"/>
    <w:uiPriority w:val="99"/>
    <w:rsid w:val="009B088C"/>
    <w:rPr>
      <w:sz w:val="18"/>
      <w:szCs w:val="18"/>
    </w:rPr>
  </w:style>
  <w:style w:type="paragraph" w:styleId="a5">
    <w:name w:val="List Paragraph"/>
    <w:basedOn w:val="a"/>
    <w:uiPriority w:val="34"/>
    <w:qFormat/>
    <w:rsid w:val="009B088C"/>
    <w:pPr>
      <w:ind w:firstLineChars="200" w:firstLine="420"/>
    </w:pPr>
  </w:style>
  <w:style w:type="paragraph" w:styleId="a6">
    <w:name w:val="Balloon Text"/>
    <w:basedOn w:val="a"/>
    <w:link w:val="Char1"/>
    <w:uiPriority w:val="99"/>
    <w:semiHidden/>
    <w:unhideWhenUsed/>
    <w:rsid w:val="000B5483"/>
    <w:rPr>
      <w:sz w:val="18"/>
      <w:szCs w:val="18"/>
    </w:rPr>
  </w:style>
  <w:style w:type="character" w:customStyle="1" w:styleId="Char1">
    <w:name w:val="批注框文本 Char"/>
    <w:basedOn w:val="a0"/>
    <w:link w:val="a6"/>
    <w:uiPriority w:val="99"/>
    <w:semiHidden/>
    <w:rsid w:val="000B5483"/>
    <w:rPr>
      <w:rFonts w:ascii="Times New Roman" w:hAnsi="Times New Roman" w:cs="Times New Roman"/>
      <w:kern w:val="0"/>
      <w:sz w:val="18"/>
      <w:szCs w:val="18"/>
    </w:rPr>
  </w:style>
  <w:style w:type="character" w:styleId="a7">
    <w:name w:val="annotation reference"/>
    <w:basedOn w:val="a0"/>
    <w:uiPriority w:val="99"/>
    <w:semiHidden/>
    <w:unhideWhenUsed/>
    <w:rsid w:val="00C6784A"/>
    <w:rPr>
      <w:sz w:val="21"/>
      <w:szCs w:val="21"/>
    </w:rPr>
  </w:style>
  <w:style w:type="paragraph" w:styleId="a8">
    <w:name w:val="annotation text"/>
    <w:basedOn w:val="a"/>
    <w:link w:val="Char2"/>
    <w:uiPriority w:val="99"/>
    <w:semiHidden/>
    <w:unhideWhenUsed/>
    <w:rsid w:val="00C6784A"/>
  </w:style>
  <w:style w:type="character" w:customStyle="1" w:styleId="Char2">
    <w:name w:val="批注文字 Char"/>
    <w:basedOn w:val="a0"/>
    <w:link w:val="a8"/>
    <w:uiPriority w:val="99"/>
    <w:semiHidden/>
    <w:rsid w:val="00C6784A"/>
    <w:rPr>
      <w:rFonts w:ascii="Times New Roman" w:hAnsi="Times New Roman" w:cs="Times New Roman"/>
      <w:kern w:val="0"/>
      <w:sz w:val="24"/>
      <w:szCs w:val="24"/>
    </w:rPr>
  </w:style>
  <w:style w:type="paragraph" w:styleId="a9">
    <w:name w:val="annotation subject"/>
    <w:basedOn w:val="a8"/>
    <w:next w:val="a8"/>
    <w:link w:val="Char3"/>
    <w:uiPriority w:val="99"/>
    <w:semiHidden/>
    <w:unhideWhenUsed/>
    <w:rsid w:val="00C6784A"/>
    <w:rPr>
      <w:b/>
      <w:bCs/>
    </w:rPr>
  </w:style>
  <w:style w:type="character" w:customStyle="1" w:styleId="Char3">
    <w:name w:val="批注主题 Char"/>
    <w:basedOn w:val="Char2"/>
    <w:link w:val="a9"/>
    <w:uiPriority w:val="99"/>
    <w:semiHidden/>
    <w:rsid w:val="00C6784A"/>
    <w:rPr>
      <w:rFonts w:ascii="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8504-BEBB-438E-9730-FD113267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Alex Li</dc:creator>
  <cp:keywords/>
  <dc:description/>
  <cp:lastModifiedBy>Windows User</cp:lastModifiedBy>
  <cp:revision>9</cp:revision>
  <dcterms:created xsi:type="dcterms:W3CDTF">2020-04-05T05:48:00Z</dcterms:created>
  <dcterms:modified xsi:type="dcterms:W3CDTF">2020-04-06T09:27:00Z</dcterms:modified>
</cp:coreProperties>
</file>