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9636A5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9636A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8E5C1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8E5C13" w:rsidRPr="00731E3E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C87159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9636A5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汇添富、嘉实、</w:t>
            </w:r>
            <w:r w:rsidR="002F3F16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博时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、南方、易方达</w:t>
            </w:r>
            <w:r w:rsidR="0033281A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33281A" w:rsidRPr="0033281A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橡树资本</w:t>
            </w:r>
            <w:r w:rsidR="0033281A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33281A" w:rsidRPr="0033281A"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  <w:t>Baillie Gifford</w:t>
            </w:r>
            <w:r w:rsidR="008E5C13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等</w:t>
            </w:r>
            <w:r w:rsidR="0033281A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境内外投资者</w:t>
            </w:r>
            <w:r w:rsidR="00516DDC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调研</w:t>
            </w:r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9636A5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2F3F16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9636A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9636A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17-21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5B3BA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9636A5" w:rsidP="00731E3E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蔡新发、项有志、周强、</w:t>
            </w:r>
            <w:r w:rsidR="00E6129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朱培卿、张慎、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成建新、</w:t>
            </w:r>
            <w:r w:rsidR="003E3F7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董事会办公室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42" w:rsidRPr="006C2F87" w:rsidRDefault="00EE1C10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B14E42" w:rsidRDefault="00B14E42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疫情对平安银行有哪些影响？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新冠肺炎疫情对银行业的冲击以间接影响为主，我国银行业经营总体稳健，具备较强的抗风险能力，仅疫情严重地区的银行经营受影响可能偏大。若疫情能够得到快速控制，我们认为风险整体可控。</w:t>
            </w:r>
            <w:bookmarkStart w:id="0" w:name="_GoBack"/>
            <w:bookmarkEnd w:id="0"/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目前可预见的短期影响包括以下三个方面：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（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）信贷冲击。冲击一定是有的，根据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2003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年非典的经验，预计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2020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年新冠肺炎疫情在短期内将对中国银行业信贷需求产生暂时性冲击，对疫情相对较为严重的地区影响偏大。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（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）资产质量压力。疫情将加不同程度的对各家银行造成潜在的资产质量压力，从客户角度看，主要是集中在零售经营性贷款的小企业主、和对公的中小微企业贷款，而大中型企业受影响程度相对较小；从行业角度看，直接影响零售消费信贷、零售业、住宿餐饮业、客运服务业以及影视娱乐旅游业等，间接影响房地产业等；从区域影响看，主要影响武汉、温州等地区，其他地方也有不同程度的影响。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（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）息差承压。预计负债成本率下行速度将缓于资产收益率下行，预计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2020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年整个银行业净息差都将保持下行趋势。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平安银行的净息差情况及趋势如何？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年本行净息差为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2.62%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，同比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2018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1-12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月提升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27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个基点。自央行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8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月推出贷款市场报价利率（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LPR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）机制改革，并多次下调政策利率以来，宽松货币政策向实体经济传导效果显现，本行付息负债成本率有效改善，零售高收益资产收益率保持增长，全行净息差稳步提升。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lastRenderedPageBreak/>
              <w:t>平安银行的</w:t>
            </w:r>
            <w:r w:rsidRPr="006C2F87">
              <w:rPr>
                <w:rFonts w:ascii="Arial" w:eastAsia="华文细黑" w:hAnsi="Arial" w:hint="eastAsia"/>
                <w:sz w:val="21"/>
              </w:rPr>
              <w:t>ROE</w:t>
            </w:r>
            <w:r w:rsidRPr="006C2F87">
              <w:rPr>
                <w:rFonts w:ascii="Arial" w:eastAsia="华文细黑" w:hAnsi="Arial" w:hint="eastAsia"/>
                <w:sz w:val="21"/>
              </w:rPr>
              <w:t>目标是多少？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2020</w:t>
            </w:r>
            <w:r w:rsidR="00E6129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银行会继续坚持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“科技引领、零售突破、对公做精”，通过零售业务深入推进、公司业务增加资源投入、科技赋能提升效率、优化业务结构和投产比，在利润增长和风险抵御能力上寻求合理平衡，随着经济的逐步企稳复苏，预计未来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2-3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ROE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将持续保持逐年改善趋势。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平安银行成本收入比情况？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年成本收入比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29.61%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，同比下降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0.71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个百分点。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本行深入推进零售战略转型，全力打造行业领先的智能化零售银行，零售平台科技投入持续加大，网点改造不断升级。未来本行将不断推进费用精细化管理，加强投产管控，发挥科技赋能的优势，提升产能和效率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平安银行的资产质量如何？所有的逾期</w:t>
            </w:r>
            <w:r w:rsidRPr="006C2F87">
              <w:rPr>
                <w:rFonts w:ascii="Arial" w:eastAsia="华文细黑" w:hAnsi="Arial" w:hint="eastAsia"/>
                <w:sz w:val="21"/>
              </w:rPr>
              <w:t>60+</w:t>
            </w:r>
            <w:r w:rsidRPr="006C2F87">
              <w:rPr>
                <w:rFonts w:ascii="Arial" w:eastAsia="华文细黑" w:hAnsi="Arial" w:hint="eastAsia"/>
                <w:sz w:val="21"/>
              </w:rPr>
              <w:t>全部计入不良？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本行积极应对外部风险，调整业务结构，资产质量指标持续改善。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年末，本行主要资产质量指标全面持续改善，逾期贷款、逾期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60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天以上贷款、逾期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天以上贷款余额和占比较上年末均实现“双降”，逾期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60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天以上贷款偏离度和逾期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天以上贷款偏离度均低于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。基于更为审慎的风险管控原则，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年将逾期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60+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全部计入不良。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2019</w:t>
            </w:r>
            <w:r w:rsidRPr="006C2F87">
              <w:rPr>
                <w:rFonts w:ascii="Arial" w:eastAsia="华文细黑" w:hAnsi="Arial" w:hint="eastAsia"/>
                <w:sz w:val="21"/>
              </w:rPr>
              <w:t>年的清收成果如何？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通过设立特殊资产管理事业部，发挥问题资产专业化处置优势，通过对清收工作预判、项目过程督导、经营结果检视，形成事前有计划、事中有控制、事后有检视的精细化清收管理，加大问题资产整体处置力度，有效提升本行存量问题资产处置速度。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年，本行收回不良资产总额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213.66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14.0%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；其中特殊资产管理事业部收回不良资产总额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152.39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4.6%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，占全部不良资产回收总额的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71.3%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。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年，本行已核销贷款累计收回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111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亿元，同比增加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17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亿元、增长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18%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，清收成效显著。</w:t>
            </w:r>
          </w:p>
          <w:p w:rsidR="006C2F87" w:rsidRP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平安银行对公、零售业务资源如何分配？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年，本行业务结构不断优化，且更趋均衡。零售进一步巩固收入贡献的支柱地位，对公、资金同业也进一步理顺了思路，走上快车道。大零售、大对公六四占比的均衡格局逐步形成。</w:t>
            </w:r>
          </w:p>
          <w:p w:rsidR="006C2F87" w:rsidRP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EC46BB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t>四季度发展对公，那</w:t>
            </w:r>
            <w:r w:rsidR="006C2F87" w:rsidRPr="006C2F87">
              <w:rPr>
                <w:rFonts w:ascii="Arial" w:eastAsia="华文细黑" w:hAnsi="Arial" w:hint="eastAsia"/>
                <w:sz w:val="21"/>
              </w:rPr>
              <w:t>零售战略有何变化？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本行紧跟国家战略，持续推进零售业务变革转型，全面践行数据化经营理念，全力发展“基础零售、私行财富、消费金融”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大业务模块，提升“风险控制、成本控制”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大核心能力，构建“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大生态”驱动融合，全力打造“中国最卓越、全球领先的智能化零售银行”。</w:t>
            </w:r>
          </w:p>
          <w:p w:rsidR="006C2F87" w:rsidRP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lastRenderedPageBreak/>
              <w:t>私行财富业务的发展情况？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年末，本行财富客户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77.93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万户，较上年末增长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31.7%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；私行达标客户（私行客户标准为客户近三月任意一月的日均资产超过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600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万元）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4.38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万户，较上年末增长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45.7%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，其中私行达标客户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AUM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规模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7,339.41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亿元，较上年增长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60.3%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。</w:t>
            </w:r>
          </w:p>
          <w:p w:rsidR="006C2F87" w:rsidRP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零售尖兵产品的不良率情况？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截至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12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月末，信用卡应收账款不良率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1.66%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，较上年末上升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0.34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个百分点，其中因为口径调整导致不良率上升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0.33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个百分点；“新一贷”贷款不良率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1.34%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，较上年末上升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0.34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个百分点，其中因为口径调整导致不良率上升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0.33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个百分点；汽车金融业务不良率为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0.74%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，较上年末上升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0.20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个百分点，其中因为口径调整导致不良率上升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0.14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平安银行科技成果具体有哪些？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在产能及效率提升方面，通过实施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AI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战略，广泛应用自然语言处理（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NLP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）、生物识别等新技术，赋能业务提质增效。一是零售人力产能得到进一步提升，人均营收同比增长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17.7%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；二是在零售业务实现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×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24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小时闭环获客经营，人均获客提升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50%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；三是小企业数字金融业务实现全线上化进件，全流程耗时以秒计，抵押类产品的客户经理进件时效提升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倍以上。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在成本控制方面，广泛应用云计算、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AI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等新技术，不断降低成本。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年度借记卡客服费用节省约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50%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，信用卡客服费用节省超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30%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。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在风控体系方面，充分利用人工智能、大数据技术赋能提升风控水平。打造零售阿波罗审批平台，贷款产品审批时长缩短至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秒以内；公司业务智能放款系统，将汽车供应链金融业务出账从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小时压缩到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分钟，大幅提升放款效率；打造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SAFE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智能反欺诈体系，统一欺诈风险侦测平台，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年累计防堵欺诈损失超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亿元。</w:t>
            </w:r>
          </w:p>
          <w:p w:rsidR="006C2F87" w:rsidRDefault="006C2F87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对公战略客户有哪些，如何经营？</w:t>
            </w:r>
          </w:p>
          <w:p w:rsidR="006C2F87" w:rsidRP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本行聚焦战略客群，通过体系化，行业化，专业化，集团化打法，围绕客户需求，形成“一户一策”，为客户提供一站式“商行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+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投行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+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投资”综合金融服务。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在体系化方面，建立了战略客群营销管理体系，搭建战略客群智慧经分和智慧展业平台，助力一线展业经营；在行业化方面，以行业事业部为引领，聚焦重点行业与重点客户，打造特色鲜明的战略客群标杆模式；在专业化方面，建立“渠道先锋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+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产品支持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+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风险前置”的敏捷团队，形成定制化的解决方案；在集团化方面，整合集团平台资源，深耕战略客群生态圈，为客户提供综合金融解决方案。战略客群已逐步成为本行公司业务主流客群，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年末，战略客群贷款余额较上年末增长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53.3%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，在全行企业贷款余额中的占比较上年末提升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4.8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个百分点。</w:t>
            </w:r>
          </w:p>
          <w:p w:rsidR="006C2F87" w:rsidRDefault="006C2F87" w:rsidP="006C2F87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Pr="006C2F87" w:rsidRDefault="006C2F87" w:rsidP="006C2F87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6C2F87">
              <w:rPr>
                <w:rFonts w:ascii="Arial" w:eastAsia="华文细黑" w:hAnsi="Arial" w:hint="eastAsia"/>
                <w:sz w:val="21"/>
              </w:rPr>
              <w:t>FICC</w:t>
            </w:r>
            <w:r w:rsidRPr="006C2F87">
              <w:rPr>
                <w:rFonts w:ascii="Arial" w:eastAsia="华文细黑" w:hAnsi="Arial" w:hint="eastAsia"/>
                <w:sz w:val="21"/>
              </w:rPr>
              <w:t>业务的发展情况？</w:t>
            </w:r>
          </w:p>
          <w:p w:rsidR="00EC46BB" w:rsidRDefault="006C2F87" w:rsidP="00E61297">
            <w:pPr>
              <w:ind w:firstLineChars="200" w:firstLine="420"/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年，本行引入国际顶尖的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FICC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（固定收益、外汇和大宗商品）交易人才，打造行业领先的交易业务板块，组建兼具国际视野和本土优势的交易团队，实现了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FICC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业务的全方位布局。本行以科技赋能交易，前瞻性地打造了市场领先的智能量化交易系统，提升了本行交易业务的数据处理能力、定价能力、交易执行能力和实时风险控制能力。</w:t>
            </w:r>
          </w:p>
          <w:p w:rsidR="006C2F87" w:rsidRDefault="006C2F87" w:rsidP="00E61297">
            <w:pPr>
              <w:ind w:firstLineChars="200" w:firstLine="420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2019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年，本行实现交易业务净收入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39.06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151.8%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；债券交易量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3.51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万亿元，同比增长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178.3%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；利率互换交易量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3.13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万亿元，同比增长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50.6%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；自营贵金属交易量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17,416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112.4%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；代理贵金属交易量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8,210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亿元，同比增长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57.9%</w:t>
            </w:r>
            <w:r w:rsidRP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。凭借行业领先的系统技术实力与交易能力，本行债券做市、利率互换做市、标准债券远期做市在报价量、成交量、持仓量、综合排名等多项排名均跃居市场前列。</w:t>
            </w:r>
          </w:p>
          <w:p w:rsidR="006070AF" w:rsidRDefault="006070AF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6C2F87" w:rsidRDefault="006C2F87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A115A1" w:rsidRP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00681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 w:rsidR="006C2F87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度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6C2F87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6C2F87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21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38" w:rsidRDefault="00F07C38" w:rsidP="00D96584">
      <w:r>
        <w:separator/>
      </w:r>
    </w:p>
  </w:endnote>
  <w:endnote w:type="continuationSeparator" w:id="0">
    <w:p w:rsidR="00F07C38" w:rsidRDefault="00F07C38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38" w:rsidRDefault="00F07C38" w:rsidP="00D96584">
      <w:r>
        <w:separator/>
      </w:r>
    </w:p>
  </w:footnote>
  <w:footnote w:type="continuationSeparator" w:id="0">
    <w:p w:rsidR="00F07C38" w:rsidRDefault="00F07C38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244EC"/>
    <w:rsid w:val="00043512"/>
    <w:rsid w:val="0005090F"/>
    <w:rsid w:val="00083D6A"/>
    <w:rsid w:val="000A2DF8"/>
    <w:rsid w:val="000B3693"/>
    <w:rsid w:val="000B41B6"/>
    <w:rsid w:val="000D7E54"/>
    <w:rsid w:val="00101C48"/>
    <w:rsid w:val="00105404"/>
    <w:rsid w:val="00130F3C"/>
    <w:rsid w:val="001434EB"/>
    <w:rsid w:val="001516B8"/>
    <w:rsid w:val="0015535F"/>
    <w:rsid w:val="00161A96"/>
    <w:rsid w:val="00197FFA"/>
    <w:rsid w:val="001B33AC"/>
    <w:rsid w:val="001B72DE"/>
    <w:rsid w:val="001C10A8"/>
    <w:rsid w:val="001C4C8A"/>
    <w:rsid w:val="001D2529"/>
    <w:rsid w:val="001D5474"/>
    <w:rsid w:val="001E2C63"/>
    <w:rsid w:val="00210939"/>
    <w:rsid w:val="00217D1A"/>
    <w:rsid w:val="00227050"/>
    <w:rsid w:val="002515C0"/>
    <w:rsid w:val="002721F3"/>
    <w:rsid w:val="002B200E"/>
    <w:rsid w:val="002B4EAA"/>
    <w:rsid w:val="002B5D00"/>
    <w:rsid w:val="002F3F16"/>
    <w:rsid w:val="003317E5"/>
    <w:rsid w:val="0033281A"/>
    <w:rsid w:val="00354883"/>
    <w:rsid w:val="00375010"/>
    <w:rsid w:val="003777D5"/>
    <w:rsid w:val="003B107D"/>
    <w:rsid w:val="003B721F"/>
    <w:rsid w:val="003C375D"/>
    <w:rsid w:val="003C42A4"/>
    <w:rsid w:val="003E3F79"/>
    <w:rsid w:val="003F144D"/>
    <w:rsid w:val="003F79D6"/>
    <w:rsid w:val="00413B4B"/>
    <w:rsid w:val="0043629D"/>
    <w:rsid w:val="00442349"/>
    <w:rsid w:val="0045059E"/>
    <w:rsid w:val="00461C9C"/>
    <w:rsid w:val="00471475"/>
    <w:rsid w:val="0049405C"/>
    <w:rsid w:val="00497C7E"/>
    <w:rsid w:val="004B47B1"/>
    <w:rsid w:val="004F6F03"/>
    <w:rsid w:val="00511122"/>
    <w:rsid w:val="0051123B"/>
    <w:rsid w:val="00516DDC"/>
    <w:rsid w:val="00535D6F"/>
    <w:rsid w:val="005464C3"/>
    <w:rsid w:val="00550FD9"/>
    <w:rsid w:val="005B3BAE"/>
    <w:rsid w:val="005E254B"/>
    <w:rsid w:val="005E33CA"/>
    <w:rsid w:val="006070AF"/>
    <w:rsid w:val="00622C3A"/>
    <w:rsid w:val="00623A26"/>
    <w:rsid w:val="0063326E"/>
    <w:rsid w:val="006350C6"/>
    <w:rsid w:val="00684A13"/>
    <w:rsid w:val="006A1753"/>
    <w:rsid w:val="006A7B25"/>
    <w:rsid w:val="006B0B04"/>
    <w:rsid w:val="006C2F87"/>
    <w:rsid w:val="006C5210"/>
    <w:rsid w:val="006E4D55"/>
    <w:rsid w:val="006F64B3"/>
    <w:rsid w:val="00731E3E"/>
    <w:rsid w:val="00740C1A"/>
    <w:rsid w:val="00761259"/>
    <w:rsid w:val="00777BC7"/>
    <w:rsid w:val="00793203"/>
    <w:rsid w:val="007C213F"/>
    <w:rsid w:val="00803207"/>
    <w:rsid w:val="0082259D"/>
    <w:rsid w:val="008439B9"/>
    <w:rsid w:val="00845B88"/>
    <w:rsid w:val="00853994"/>
    <w:rsid w:val="00862CF2"/>
    <w:rsid w:val="008710F9"/>
    <w:rsid w:val="00880699"/>
    <w:rsid w:val="0089673B"/>
    <w:rsid w:val="008A4E3E"/>
    <w:rsid w:val="008B3EDE"/>
    <w:rsid w:val="008C111F"/>
    <w:rsid w:val="008E5C13"/>
    <w:rsid w:val="008F16A2"/>
    <w:rsid w:val="00921892"/>
    <w:rsid w:val="00930952"/>
    <w:rsid w:val="00941F1C"/>
    <w:rsid w:val="00951547"/>
    <w:rsid w:val="009636A5"/>
    <w:rsid w:val="009669D0"/>
    <w:rsid w:val="009C4894"/>
    <w:rsid w:val="009C5679"/>
    <w:rsid w:val="009E293D"/>
    <w:rsid w:val="009F13CD"/>
    <w:rsid w:val="009F7C07"/>
    <w:rsid w:val="00A06B39"/>
    <w:rsid w:val="00A115A1"/>
    <w:rsid w:val="00A140B8"/>
    <w:rsid w:val="00A1521F"/>
    <w:rsid w:val="00A414BA"/>
    <w:rsid w:val="00A87A56"/>
    <w:rsid w:val="00AA5A95"/>
    <w:rsid w:val="00AB47CE"/>
    <w:rsid w:val="00AB67BB"/>
    <w:rsid w:val="00B14E42"/>
    <w:rsid w:val="00B17ECB"/>
    <w:rsid w:val="00B31C4E"/>
    <w:rsid w:val="00B454CA"/>
    <w:rsid w:val="00B65391"/>
    <w:rsid w:val="00B708D6"/>
    <w:rsid w:val="00B71E2E"/>
    <w:rsid w:val="00B84A84"/>
    <w:rsid w:val="00BB741D"/>
    <w:rsid w:val="00BE11BC"/>
    <w:rsid w:val="00BE3743"/>
    <w:rsid w:val="00C12E89"/>
    <w:rsid w:val="00C21A8C"/>
    <w:rsid w:val="00C30CA5"/>
    <w:rsid w:val="00C35BCB"/>
    <w:rsid w:val="00C51515"/>
    <w:rsid w:val="00C51768"/>
    <w:rsid w:val="00C81677"/>
    <w:rsid w:val="00C87159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87038"/>
    <w:rsid w:val="00D91B1B"/>
    <w:rsid w:val="00D96584"/>
    <w:rsid w:val="00DC7C3C"/>
    <w:rsid w:val="00DD1E65"/>
    <w:rsid w:val="00DE4B3F"/>
    <w:rsid w:val="00E00681"/>
    <w:rsid w:val="00E055AC"/>
    <w:rsid w:val="00E1525A"/>
    <w:rsid w:val="00E37317"/>
    <w:rsid w:val="00E50C4A"/>
    <w:rsid w:val="00E61297"/>
    <w:rsid w:val="00E733AB"/>
    <w:rsid w:val="00EB364F"/>
    <w:rsid w:val="00EC46BB"/>
    <w:rsid w:val="00ED5C0B"/>
    <w:rsid w:val="00EE1C10"/>
    <w:rsid w:val="00EE4F68"/>
    <w:rsid w:val="00EE7C01"/>
    <w:rsid w:val="00F07C38"/>
    <w:rsid w:val="00F16F75"/>
    <w:rsid w:val="00F50B59"/>
    <w:rsid w:val="00F628CA"/>
    <w:rsid w:val="00F66AD9"/>
    <w:rsid w:val="00FA1FC9"/>
    <w:rsid w:val="00FA7D26"/>
    <w:rsid w:val="00FC32FA"/>
    <w:rsid w:val="00FD0E95"/>
    <w:rsid w:val="00FD1A20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5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5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528</Words>
  <Characters>3015</Characters>
  <Application>Microsoft Office Word</Application>
  <DocSecurity>0</DocSecurity>
  <Lines>25</Lines>
  <Paragraphs>7</Paragraphs>
  <ScaleCrop>false</ScaleCrop>
  <Company>sdb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6</cp:revision>
  <dcterms:created xsi:type="dcterms:W3CDTF">2020-03-30T11:28:00Z</dcterms:created>
  <dcterms:modified xsi:type="dcterms:W3CDTF">2020-04-16T10:09:00Z</dcterms:modified>
</cp:coreProperties>
</file>