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F6916" w14:textId="77777777" w:rsidR="00260706" w:rsidRDefault="002D79A1" w:rsidP="001B6B8F">
      <w:pPr>
        <w:spacing w:beforeLines="200" w:before="624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证券代码：300702                                             证券简称：天宇股份</w:t>
      </w:r>
    </w:p>
    <w:p w14:paraId="5D7F3147" w14:textId="77777777" w:rsidR="00260706" w:rsidRDefault="002D79A1" w:rsidP="001B6B8F">
      <w:pPr>
        <w:spacing w:beforeLines="150" w:before="468"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浙江天宇药业股份有限公司</w:t>
      </w:r>
    </w:p>
    <w:p w14:paraId="73926B26" w14:textId="77777777" w:rsidR="00260706" w:rsidRDefault="002D79A1" w:rsidP="001B6B8F">
      <w:pPr>
        <w:spacing w:afterLines="50" w:after="156"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p w14:paraId="53258265" w14:textId="77777777" w:rsidR="00260706" w:rsidRDefault="002D79A1">
      <w:pPr>
        <w:spacing w:line="360" w:lineRule="auto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编号：20</w:t>
      </w:r>
      <w:r w:rsidR="001B4205">
        <w:rPr>
          <w:rFonts w:asciiTheme="minorEastAsia" w:hAnsiTheme="minorEastAsia" w:cstheme="minorEastAsia"/>
          <w:b/>
          <w:szCs w:val="21"/>
        </w:rPr>
        <w:t>20</w:t>
      </w:r>
      <w:r>
        <w:rPr>
          <w:rFonts w:asciiTheme="minorEastAsia" w:hAnsiTheme="minorEastAsia" w:cstheme="minorEastAsia" w:hint="eastAsia"/>
          <w:b/>
          <w:szCs w:val="21"/>
        </w:rPr>
        <w:t>-00</w:t>
      </w:r>
      <w:r w:rsidR="001B4205">
        <w:rPr>
          <w:rFonts w:asciiTheme="minorEastAsia" w:hAnsiTheme="minorEastAsia" w:cstheme="minorEastAsia"/>
          <w:b/>
          <w:szCs w:val="21"/>
        </w:rPr>
        <w:t>1</w:t>
      </w: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2243"/>
        <w:gridCol w:w="6229"/>
      </w:tblGrid>
      <w:tr w:rsidR="00260706" w14:paraId="7D8B7351" w14:textId="77777777" w:rsidTr="004067F4">
        <w:tc>
          <w:tcPr>
            <w:tcW w:w="2243" w:type="dxa"/>
          </w:tcPr>
          <w:p w14:paraId="6108449E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6229" w:type="dxa"/>
          </w:tcPr>
          <w:p w14:paraId="153D38C5" w14:textId="77777777" w:rsidR="00260706" w:rsidRDefault="001B42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="002D79A1">
              <w:rPr>
                <w:rFonts w:ascii="宋体" w:eastAsia="宋体" w:hAnsi="宋体" w:hint="eastAsia"/>
                <w:szCs w:val="21"/>
              </w:rPr>
              <w:t>特定对象调研    □分析师会议</w:t>
            </w:r>
          </w:p>
          <w:p w14:paraId="68B78919" w14:textId="77777777" w:rsidR="00260706" w:rsidRDefault="002D79A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□媒体采访        </w:t>
            </w:r>
            <w:r w:rsidR="001B4205" w:rsidRPr="001B6B8F">
              <w:rPr>
                <w:rFonts w:ascii="Wingdings 2" w:eastAsia="宋体" w:hAnsi="Wingdings 2"/>
                <w:szCs w:val="21"/>
              </w:rPr>
              <w:t></w:t>
            </w:r>
            <w:r>
              <w:rPr>
                <w:rFonts w:ascii="宋体" w:eastAsia="宋体" w:hAnsi="宋体" w:hint="eastAsia"/>
                <w:szCs w:val="21"/>
              </w:rPr>
              <w:t>业绩说明会</w:t>
            </w:r>
          </w:p>
          <w:p w14:paraId="64137260" w14:textId="77777777" w:rsidR="00260706" w:rsidRDefault="002D79A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□新闻发布会      □路演活动</w:t>
            </w:r>
          </w:p>
          <w:p w14:paraId="5917B519" w14:textId="77777777" w:rsidR="00260706" w:rsidRDefault="002D79A1" w:rsidP="004324D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□现场            □其他</w:t>
            </w:r>
          </w:p>
        </w:tc>
      </w:tr>
      <w:tr w:rsidR="00260706" w14:paraId="390A485A" w14:textId="77777777" w:rsidTr="004067F4">
        <w:tc>
          <w:tcPr>
            <w:tcW w:w="2243" w:type="dxa"/>
          </w:tcPr>
          <w:p w14:paraId="69D3F890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参会单位名称及</w:t>
            </w:r>
          </w:p>
          <w:p w14:paraId="03F39C2F" w14:textId="77777777" w:rsidR="00260706" w:rsidRDefault="00D537B6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人员</w:t>
            </w:r>
          </w:p>
        </w:tc>
        <w:tc>
          <w:tcPr>
            <w:tcW w:w="6229" w:type="dxa"/>
          </w:tcPr>
          <w:p w14:paraId="33BB71D2" w14:textId="77777777" w:rsidR="002F1D12" w:rsidRPr="00D1369D" w:rsidRDefault="00D5672E" w:rsidP="00544A55">
            <w:pPr>
              <w:spacing w:line="360" w:lineRule="auto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</w:rPr>
              <w:t>详见附件</w:t>
            </w:r>
            <w:r>
              <w:rPr>
                <w:rFonts w:ascii="宋体" w:eastAsia="宋体" w:hAnsi="宋体"/>
                <w:szCs w:val="21"/>
              </w:rPr>
              <w:t>一</w:t>
            </w:r>
          </w:p>
        </w:tc>
      </w:tr>
      <w:tr w:rsidR="00260706" w14:paraId="1746A19B" w14:textId="77777777" w:rsidTr="004067F4">
        <w:tc>
          <w:tcPr>
            <w:tcW w:w="2243" w:type="dxa"/>
          </w:tcPr>
          <w:p w14:paraId="5A866DF9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6229" w:type="dxa"/>
          </w:tcPr>
          <w:p w14:paraId="7235DC05" w14:textId="77777777" w:rsidR="00260706" w:rsidRDefault="00B9769B" w:rsidP="00D5672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  <w:r w:rsidR="001B4205">
              <w:rPr>
                <w:rFonts w:ascii="宋体" w:eastAsia="宋体" w:hAnsi="宋体"/>
                <w:szCs w:val="21"/>
              </w:rPr>
              <w:t>20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="001B4205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8C206E">
              <w:rPr>
                <w:rFonts w:ascii="宋体" w:eastAsia="宋体" w:hAnsi="宋体" w:hint="eastAsia"/>
                <w:szCs w:val="21"/>
              </w:rPr>
              <w:t>2</w:t>
            </w:r>
            <w:r w:rsidR="00D5672E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260706" w14:paraId="3AA1F384" w14:textId="77777777" w:rsidTr="004067F4">
        <w:tc>
          <w:tcPr>
            <w:tcW w:w="2243" w:type="dxa"/>
          </w:tcPr>
          <w:p w14:paraId="0BB27F78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6229" w:type="dxa"/>
          </w:tcPr>
          <w:p w14:paraId="59D0CEFF" w14:textId="77777777" w:rsidR="00260706" w:rsidRDefault="001B4205" w:rsidP="001B42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公司办公室</w:t>
            </w:r>
            <w:r>
              <w:rPr>
                <w:rFonts w:ascii="宋体" w:eastAsia="宋体" w:hAnsi="宋体"/>
                <w:szCs w:val="21"/>
              </w:rPr>
              <w:t>电话会议</w:t>
            </w:r>
          </w:p>
        </w:tc>
      </w:tr>
      <w:tr w:rsidR="00260706" w14:paraId="1FD1D061" w14:textId="77777777" w:rsidTr="004067F4">
        <w:tc>
          <w:tcPr>
            <w:tcW w:w="2243" w:type="dxa"/>
          </w:tcPr>
          <w:p w14:paraId="7207D17D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上市公司接待人员</w:t>
            </w:r>
          </w:p>
        </w:tc>
        <w:tc>
          <w:tcPr>
            <w:tcW w:w="6229" w:type="dxa"/>
          </w:tcPr>
          <w:p w14:paraId="30FC8DA4" w14:textId="77777777" w:rsidR="00260706" w:rsidRDefault="00140461" w:rsidP="00140461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董事会秘书、财务总监 </w:t>
            </w:r>
            <w:r w:rsidR="002D79A1">
              <w:rPr>
                <w:rFonts w:ascii="宋体" w:eastAsia="宋体" w:hAnsi="宋体" w:hint="eastAsia"/>
                <w:szCs w:val="21"/>
              </w:rPr>
              <w:t>王艳</w:t>
            </w:r>
          </w:p>
          <w:p w14:paraId="63D28F56" w14:textId="77777777" w:rsidR="00702156" w:rsidRDefault="00702156" w:rsidP="001B420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证券事务代表  </w:t>
            </w:r>
            <w:r w:rsidR="008C206E">
              <w:rPr>
                <w:rFonts w:ascii="宋体" w:eastAsia="宋体" w:hAnsi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 xml:space="preserve">杨鹏  </w:t>
            </w:r>
          </w:p>
        </w:tc>
      </w:tr>
      <w:tr w:rsidR="00260706" w14:paraId="291334D7" w14:textId="77777777" w:rsidTr="004067F4">
        <w:tc>
          <w:tcPr>
            <w:tcW w:w="2243" w:type="dxa"/>
          </w:tcPr>
          <w:p w14:paraId="4F33CF90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6229" w:type="dxa"/>
          </w:tcPr>
          <w:p w14:paraId="11AE953E" w14:textId="77777777" w:rsidR="00A54385" w:rsidRDefault="001B4205" w:rsidP="00A5438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B4205">
              <w:rPr>
                <w:rFonts w:ascii="宋体" w:eastAsia="宋体" w:hAnsi="宋体" w:hint="eastAsia"/>
                <w:szCs w:val="21"/>
              </w:rPr>
              <w:t>第一部分：董事会秘书</w:t>
            </w:r>
            <w:r>
              <w:rPr>
                <w:rFonts w:ascii="宋体" w:eastAsia="宋体" w:hAnsi="宋体" w:hint="eastAsia"/>
                <w:szCs w:val="21"/>
              </w:rPr>
              <w:t>王艳女士总结</w:t>
            </w:r>
            <w:r w:rsidRPr="001B4205">
              <w:rPr>
                <w:rFonts w:ascii="宋体" w:eastAsia="宋体" w:hAnsi="宋体" w:hint="eastAsia"/>
                <w:szCs w:val="21"/>
              </w:rPr>
              <w:t xml:space="preserve"> 2019 年</w:t>
            </w:r>
            <w:r>
              <w:rPr>
                <w:rFonts w:ascii="宋体" w:eastAsia="宋体" w:hAnsi="宋体" w:hint="eastAsia"/>
                <w:szCs w:val="21"/>
              </w:rPr>
              <w:t>及2020年</w:t>
            </w:r>
            <w:r>
              <w:rPr>
                <w:rFonts w:ascii="宋体" w:eastAsia="宋体" w:hAnsi="宋体"/>
                <w:szCs w:val="21"/>
              </w:rPr>
              <w:t>第一季度业绩概况</w:t>
            </w:r>
          </w:p>
          <w:p w14:paraId="71A01B66" w14:textId="5F13990E" w:rsidR="001B4205" w:rsidRDefault="001B4205" w:rsidP="00A5696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2019年度</w:t>
            </w:r>
            <w:r>
              <w:rPr>
                <w:rFonts w:ascii="宋体" w:eastAsia="宋体" w:hAnsi="宋体"/>
                <w:szCs w:val="21"/>
              </w:rPr>
              <w:t>，公司实现了业绩历史性的突破，</w:t>
            </w:r>
            <w:r w:rsidRPr="001B4205">
              <w:rPr>
                <w:rFonts w:ascii="宋体" w:eastAsia="宋体" w:hAnsi="宋体" w:hint="eastAsia"/>
                <w:szCs w:val="21"/>
              </w:rPr>
              <w:t>公司全年实现营业收入2,110,595,680.52元，较上年同期增长了43.88%；归属于上市公司股东的净利润585,725,746.35元，较上年同期上升257.89%；归属于上市公司股东的扣除非经常性损益的净利润576,415,800.15元，较上年同期上升223.20%。</w:t>
            </w:r>
            <w:r w:rsidR="00A5696C">
              <w:rPr>
                <w:rFonts w:ascii="宋体" w:eastAsia="宋体" w:hAnsi="宋体" w:hint="eastAsia"/>
                <w:szCs w:val="21"/>
              </w:rPr>
              <w:t>2019年度公司</w:t>
            </w:r>
            <w:r w:rsidR="00A5696C">
              <w:rPr>
                <w:rFonts w:ascii="宋体" w:eastAsia="宋体" w:hAnsi="宋体"/>
                <w:szCs w:val="21"/>
              </w:rPr>
              <w:t>原料药</w:t>
            </w:r>
            <w:r w:rsidR="00A5696C">
              <w:rPr>
                <w:rFonts w:ascii="宋体" w:eastAsia="宋体" w:hAnsi="宋体" w:hint="eastAsia"/>
                <w:szCs w:val="21"/>
              </w:rPr>
              <w:t>量价齐升</w:t>
            </w:r>
            <w:r w:rsidR="00A5696C">
              <w:rPr>
                <w:rFonts w:ascii="宋体" w:eastAsia="宋体" w:hAnsi="宋体"/>
                <w:szCs w:val="21"/>
              </w:rPr>
              <w:t>，全年原料药累计</w:t>
            </w:r>
            <w:r w:rsidR="00A5696C">
              <w:rPr>
                <w:rFonts w:ascii="宋体" w:eastAsia="宋体" w:hAnsi="宋体" w:hint="eastAsia"/>
                <w:szCs w:val="21"/>
              </w:rPr>
              <w:t>销量1</w:t>
            </w:r>
            <w:r w:rsidR="004B048F">
              <w:rPr>
                <w:rFonts w:ascii="宋体" w:eastAsia="宋体" w:hAnsi="宋体"/>
                <w:szCs w:val="21"/>
              </w:rPr>
              <w:t>,</w:t>
            </w:r>
            <w:bookmarkStart w:id="0" w:name="_GoBack"/>
            <w:bookmarkEnd w:id="0"/>
            <w:r w:rsidR="00A5696C">
              <w:rPr>
                <w:rFonts w:ascii="宋体" w:eastAsia="宋体" w:hAnsi="宋体" w:hint="eastAsia"/>
                <w:szCs w:val="21"/>
              </w:rPr>
              <w:t>222吨</w:t>
            </w:r>
            <w:r w:rsidR="00A5696C">
              <w:rPr>
                <w:rFonts w:ascii="宋体" w:eastAsia="宋体" w:hAnsi="宋体"/>
                <w:szCs w:val="21"/>
              </w:rPr>
              <w:t>，</w:t>
            </w:r>
            <w:r w:rsidR="00A5696C">
              <w:rPr>
                <w:rFonts w:ascii="宋体" w:eastAsia="宋体" w:hAnsi="宋体" w:hint="eastAsia"/>
                <w:szCs w:val="21"/>
              </w:rPr>
              <w:t>同比</w:t>
            </w:r>
            <w:r w:rsidR="00A5696C">
              <w:rPr>
                <w:rFonts w:ascii="宋体" w:eastAsia="宋体" w:hAnsi="宋体"/>
                <w:szCs w:val="21"/>
              </w:rPr>
              <w:t>增长</w:t>
            </w:r>
            <w:r w:rsidR="00A5696C">
              <w:rPr>
                <w:rFonts w:ascii="宋体" w:eastAsia="宋体" w:hAnsi="宋体" w:hint="eastAsia"/>
                <w:szCs w:val="21"/>
              </w:rPr>
              <w:t>28.9</w:t>
            </w:r>
            <w:r w:rsidR="00A5696C">
              <w:rPr>
                <w:rFonts w:ascii="宋体" w:eastAsia="宋体" w:hAnsi="宋体"/>
                <w:szCs w:val="21"/>
              </w:rPr>
              <w:t>7%</w:t>
            </w:r>
            <w:r w:rsidR="00A5696C">
              <w:rPr>
                <w:rFonts w:ascii="宋体" w:eastAsia="宋体" w:hAnsi="宋体" w:hint="eastAsia"/>
                <w:szCs w:val="21"/>
              </w:rPr>
              <w:t>，原料药毛利率</w:t>
            </w:r>
            <w:r w:rsidR="00A5696C">
              <w:rPr>
                <w:rFonts w:ascii="宋体" w:eastAsia="宋体" w:hAnsi="宋体"/>
                <w:szCs w:val="21"/>
              </w:rPr>
              <w:t>达到</w:t>
            </w:r>
            <w:r w:rsidR="00A5696C">
              <w:rPr>
                <w:rFonts w:ascii="宋体" w:eastAsia="宋体" w:hAnsi="宋体" w:hint="eastAsia"/>
                <w:szCs w:val="21"/>
              </w:rPr>
              <w:t>59.57</w:t>
            </w:r>
            <w:r w:rsidR="00A5696C">
              <w:rPr>
                <w:rFonts w:ascii="宋体" w:eastAsia="宋体" w:hAnsi="宋体"/>
                <w:szCs w:val="21"/>
              </w:rPr>
              <w:t>%，</w:t>
            </w:r>
            <w:r w:rsidR="00A5696C">
              <w:rPr>
                <w:rFonts w:ascii="宋体" w:eastAsia="宋体" w:hAnsi="宋体" w:hint="eastAsia"/>
                <w:szCs w:val="21"/>
              </w:rPr>
              <w:t>比</w:t>
            </w:r>
            <w:r w:rsidR="00A5696C">
              <w:rPr>
                <w:rFonts w:ascii="宋体" w:eastAsia="宋体" w:hAnsi="宋体"/>
                <w:szCs w:val="21"/>
              </w:rPr>
              <w:t>上年提升</w:t>
            </w:r>
            <w:r w:rsidR="00A5696C">
              <w:rPr>
                <w:rFonts w:ascii="宋体" w:eastAsia="宋体" w:hAnsi="宋体" w:hint="eastAsia"/>
                <w:szCs w:val="21"/>
              </w:rPr>
              <w:t>16.17</w:t>
            </w:r>
            <w:r w:rsidR="00A5696C">
              <w:rPr>
                <w:rFonts w:ascii="宋体" w:eastAsia="宋体" w:hAnsi="宋体"/>
                <w:szCs w:val="21"/>
              </w:rPr>
              <w:t>%</w:t>
            </w:r>
            <w:r w:rsidR="00A5696C">
              <w:rPr>
                <w:rFonts w:ascii="宋体" w:eastAsia="宋体" w:hAnsi="宋体" w:hint="eastAsia"/>
                <w:szCs w:val="21"/>
              </w:rPr>
              <w:t>。</w:t>
            </w:r>
          </w:p>
          <w:p w14:paraId="26481AE2" w14:textId="123C0B37" w:rsidR="00A5696C" w:rsidRDefault="004B3CA7" w:rsidP="00A5696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尽管</w:t>
            </w:r>
            <w:r>
              <w:rPr>
                <w:rFonts w:ascii="宋体" w:eastAsia="宋体" w:hAnsi="宋体"/>
                <w:szCs w:val="21"/>
              </w:rPr>
              <w:t>受疫情影响公司二月份</w:t>
            </w:r>
            <w:r>
              <w:rPr>
                <w:rFonts w:ascii="宋体" w:eastAsia="宋体" w:hAnsi="宋体" w:hint="eastAsia"/>
                <w:szCs w:val="21"/>
              </w:rPr>
              <w:t>春节后复工大幅</w:t>
            </w:r>
            <w:r>
              <w:rPr>
                <w:rFonts w:ascii="宋体" w:eastAsia="宋体" w:hAnsi="宋体"/>
                <w:szCs w:val="21"/>
              </w:rPr>
              <w:t>推迟，</w:t>
            </w:r>
            <w:r>
              <w:rPr>
                <w:rFonts w:ascii="宋体" w:eastAsia="宋体" w:hAnsi="宋体" w:hint="eastAsia"/>
                <w:szCs w:val="21"/>
              </w:rPr>
              <w:t>20</w:t>
            </w:r>
            <w:r>
              <w:rPr>
                <w:rFonts w:ascii="宋体" w:eastAsia="宋体" w:hAnsi="宋体"/>
                <w:szCs w:val="21"/>
              </w:rPr>
              <w:t>20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>第一季度</w:t>
            </w:r>
            <w:r>
              <w:rPr>
                <w:rFonts w:ascii="宋体" w:eastAsia="宋体" w:hAnsi="宋体" w:hint="eastAsia"/>
                <w:szCs w:val="21"/>
              </w:rPr>
              <w:t>公司</w:t>
            </w:r>
            <w:r>
              <w:rPr>
                <w:rFonts w:ascii="宋体" w:eastAsia="宋体" w:hAnsi="宋体"/>
                <w:szCs w:val="21"/>
              </w:rPr>
              <w:t>持续保持良好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ascii="宋体" w:eastAsia="宋体" w:hAnsi="宋体"/>
                <w:szCs w:val="21"/>
              </w:rPr>
              <w:t>业绩</w:t>
            </w:r>
            <w:r>
              <w:rPr>
                <w:rFonts w:ascii="宋体" w:eastAsia="宋体" w:hAnsi="宋体" w:hint="eastAsia"/>
                <w:szCs w:val="21"/>
              </w:rPr>
              <w:t>增长</w:t>
            </w:r>
            <w:r>
              <w:rPr>
                <w:rFonts w:ascii="宋体" w:eastAsia="宋体" w:hAnsi="宋体"/>
                <w:szCs w:val="21"/>
              </w:rPr>
              <w:t>趋势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公司营业收入</w:t>
            </w:r>
            <w:r w:rsidRPr="004B3CA7">
              <w:rPr>
                <w:rFonts w:ascii="宋体" w:eastAsia="宋体" w:hAnsi="宋体"/>
                <w:szCs w:val="21"/>
              </w:rPr>
              <w:t>568,791,567.81</w:t>
            </w:r>
            <w:r>
              <w:rPr>
                <w:rFonts w:ascii="宋体" w:eastAsia="宋体" w:hAnsi="宋体" w:hint="eastAsia"/>
                <w:szCs w:val="21"/>
              </w:rPr>
              <w:t>元</w:t>
            </w:r>
            <w:r>
              <w:rPr>
                <w:rFonts w:ascii="宋体" w:eastAsia="宋体" w:hAnsi="宋体"/>
                <w:szCs w:val="21"/>
              </w:rPr>
              <w:t>，</w:t>
            </w:r>
            <w:r w:rsidRPr="001B4205">
              <w:rPr>
                <w:rFonts w:ascii="宋体" w:eastAsia="宋体" w:hAnsi="宋体" w:hint="eastAsia"/>
                <w:szCs w:val="21"/>
              </w:rPr>
              <w:t>较上年同期增长了</w:t>
            </w:r>
            <w:r>
              <w:rPr>
                <w:rFonts w:ascii="宋体" w:eastAsia="宋体" w:hAnsi="宋体"/>
                <w:szCs w:val="21"/>
              </w:rPr>
              <w:t>14</w:t>
            </w:r>
            <w:r w:rsidRPr="001B4205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/>
                <w:szCs w:val="21"/>
              </w:rPr>
              <w:t>11</w:t>
            </w:r>
            <w:r w:rsidRPr="001B4205">
              <w:rPr>
                <w:rFonts w:ascii="宋体" w:eastAsia="宋体" w:hAnsi="宋体" w:hint="eastAsia"/>
                <w:szCs w:val="21"/>
              </w:rPr>
              <w:t>%；归属于上市公司</w:t>
            </w:r>
            <w:r w:rsidRPr="001B4205">
              <w:rPr>
                <w:rFonts w:ascii="宋体" w:eastAsia="宋体" w:hAnsi="宋体" w:hint="eastAsia"/>
                <w:szCs w:val="21"/>
              </w:rPr>
              <w:lastRenderedPageBreak/>
              <w:t>股东的净利润</w:t>
            </w:r>
            <w:r w:rsidR="004F7891">
              <w:rPr>
                <w:rFonts w:ascii="宋体" w:eastAsia="宋体" w:hAnsi="宋体"/>
                <w:szCs w:val="21"/>
              </w:rPr>
              <w:t>166,491,906.62</w:t>
            </w:r>
            <w:r w:rsidRPr="001B4205">
              <w:rPr>
                <w:rFonts w:ascii="宋体" w:eastAsia="宋体" w:hAnsi="宋体" w:hint="eastAsia"/>
                <w:szCs w:val="21"/>
              </w:rPr>
              <w:t>元，较上年同期上升</w:t>
            </w:r>
            <w:r>
              <w:rPr>
                <w:rFonts w:ascii="宋体" w:eastAsia="宋体" w:hAnsi="宋体"/>
                <w:szCs w:val="21"/>
              </w:rPr>
              <w:t>29.91</w:t>
            </w:r>
            <w:r w:rsidRPr="001B4205">
              <w:rPr>
                <w:rFonts w:ascii="宋体" w:eastAsia="宋体" w:hAnsi="宋体" w:hint="eastAsia"/>
                <w:szCs w:val="21"/>
              </w:rPr>
              <w:t>%；归属于上市公司股东的扣除非经常性损益的净利润</w:t>
            </w:r>
            <w:r w:rsidRPr="004B3CA7">
              <w:rPr>
                <w:rFonts w:ascii="宋体" w:eastAsia="宋体" w:hAnsi="宋体"/>
                <w:szCs w:val="21"/>
              </w:rPr>
              <w:t>164,316,715.50</w:t>
            </w:r>
            <w:r w:rsidRPr="001B4205">
              <w:rPr>
                <w:rFonts w:ascii="宋体" w:eastAsia="宋体" w:hAnsi="宋体" w:hint="eastAsia"/>
                <w:szCs w:val="21"/>
              </w:rPr>
              <w:t>元，较上年同期上升</w:t>
            </w:r>
            <w:r w:rsidRPr="004B3CA7">
              <w:rPr>
                <w:rFonts w:ascii="宋体" w:eastAsia="宋体" w:hAnsi="宋体"/>
                <w:szCs w:val="21"/>
              </w:rPr>
              <w:t>50.11</w:t>
            </w:r>
            <w:r w:rsidRPr="001B4205">
              <w:rPr>
                <w:rFonts w:ascii="宋体" w:eastAsia="宋体" w:hAnsi="宋体" w:hint="eastAsia"/>
                <w:szCs w:val="21"/>
              </w:rPr>
              <w:t>%。</w:t>
            </w:r>
          </w:p>
          <w:p w14:paraId="373C0946" w14:textId="77777777" w:rsidR="004B3CA7" w:rsidRDefault="004B3CA7" w:rsidP="004B3CA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1B4205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1B4205">
              <w:rPr>
                <w:rFonts w:ascii="宋体" w:eastAsia="宋体" w:hAnsi="宋体" w:hint="eastAsia"/>
                <w:szCs w:val="21"/>
              </w:rPr>
              <w:t>部分：</w:t>
            </w:r>
            <w:r w:rsidR="005746FB">
              <w:rPr>
                <w:rFonts w:ascii="宋体" w:eastAsia="宋体" w:hAnsi="宋体" w:hint="eastAsia"/>
                <w:szCs w:val="21"/>
              </w:rPr>
              <w:t>提问环节</w:t>
            </w:r>
          </w:p>
          <w:p w14:paraId="153C8C9D" w14:textId="4AF8B1E8" w:rsidR="005746FB" w:rsidRPr="004067F4" w:rsidRDefault="005746FB" w:rsidP="005746FB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 w:rsidRPr="004067F4">
              <w:rPr>
                <w:rFonts w:ascii="宋体" w:eastAsia="宋体" w:hAnsi="宋体" w:hint="eastAsia"/>
                <w:b/>
                <w:szCs w:val="21"/>
              </w:rPr>
              <w:t>1、</w:t>
            </w:r>
            <w:r>
              <w:rPr>
                <w:rFonts w:ascii="宋体" w:eastAsia="宋体" w:hAnsi="宋体" w:hint="eastAsia"/>
                <w:b/>
                <w:szCs w:val="21"/>
              </w:rPr>
              <w:t>公司原料药</w:t>
            </w:r>
            <w:r>
              <w:rPr>
                <w:rFonts w:ascii="宋体" w:eastAsia="宋体" w:hAnsi="宋体"/>
                <w:b/>
                <w:szCs w:val="21"/>
              </w:rPr>
              <w:t>各品种销量</w:t>
            </w:r>
            <w:r>
              <w:rPr>
                <w:rFonts w:ascii="宋体" w:eastAsia="宋体" w:hAnsi="宋体" w:hint="eastAsia"/>
                <w:b/>
                <w:szCs w:val="21"/>
              </w:rPr>
              <w:t>和产能</w:t>
            </w:r>
            <w:r w:rsidR="00E462D2">
              <w:rPr>
                <w:rFonts w:ascii="宋体" w:eastAsia="宋体" w:hAnsi="宋体" w:hint="eastAsia"/>
                <w:b/>
                <w:szCs w:val="21"/>
              </w:rPr>
              <w:t>利用</w:t>
            </w:r>
            <w:r>
              <w:rPr>
                <w:rFonts w:ascii="宋体" w:eastAsia="宋体" w:hAnsi="宋体"/>
                <w:b/>
                <w:szCs w:val="21"/>
              </w:rPr>
              <w:t>情况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4EEB0FC4" w14:textId="1086F0D8" w:rsidR="005746FB" w:rsidRDefault="005746FB" w:rsidP="0009016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公司原料药</w:t>
            </w:r>
            <w:r>
              <w:rPr>
                <w:rFonts w:ascii="宋体" w:eastAsia="宋体" w:hAnsi="宋体"/>
                <w:szCs w:val="21"/>
              </w:rPr>
              <w:t>销量</w:t>
            </w:r>
            <w:r>
              <w:rPr>
                <w:rFonts w:ascii="宋体" w:eastAsia="宋体" w:hAnsi="宋体" w:hint="eastAsia"/>
                <w:szCs w:val="21"/>
              </w:rPr>
              <w:t>占比</w:t>
            </w:r>
            <w:r>
              <w:rPr>
                <w:rFonts w:ascii="宋体" w:eastAsia="宋体" w:hAnsi="宋体"/>
                <w:szCs w:val="21"/>
              </w:rPr>
              <w:t>最大</w:t>
            </w:r>
            <w:r w:rsidR="0009016C">
              <w:rPr>
                <w:rFonts w:ascii="宋体" w:eastAsia="宋体" w:hAnsi="宋体" w:hint="eastAsia"/>
                <w:szCs w:val="21"/>
              </w:rPr>
              <w:t>品种</w:t>
            </w:r>
            <w:r>
              <w:rPr>
                <w:rFonts w:ascii="宋体" w:eastAsia="宋体" w:hAnsi="宋体"/>
                <w:szCs w:val="21"/>
              </w:rPr>
              <w:t>依次为氯沙坦钾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厄贝沙坦和</w:t>
            </w:r>
            <w:r>
              <w:rPr>
                <w:rFonts w:ascii="宋体" w:eastAsia="宋体" w:hAnsi="宋体" w:hint="eastAsia"/>
                <w:szCs w:val="21"/>
              </w:rPr>
              <w:t>缬沙坦，</w:t>
            </w:r>
            <w:r>
              <w:rPr>
                <w:rFonts w:ascii="宋体" w:eastAsia="宋体" w:hAnsi="宋体"/>
                <w:szCs w:val="21"/>
              </w:rPr>
              <w:t>合计占比</w:t>
            </w:r>
            <w:r w:rsidR="00E462D2">
              <w:rPr>
                <w:rFonts w:ascii="宋体" w:eastAsia="宋体" w:hAnsi="宋体" w:hint="eastAsia"/>
                <w:szCs w:val="21"/>
              </w:rPr>
              <w:t>原料药类收入超过</w:t>
            </w:r>
            <w:r>
              <w:rPr>
                <w:rFonts w:ascii="宋体" w:eastAsia="宋体" w:hAnsi="宋体" w:hint="eastAsia"/>
                <w:szCs w:val="21"/>
              </w:rPr>
              <w:t>90</w:t>
            </w:r>
            <w:r>
              <w:rPr>
                <w:rFonts w:ascii="宋体" w:eastAsia="宋体" w:hAnsi="宋体"/>
                <w:szCs w:val="21"/>
              </w:rPr>
              <w:t>%</w:t>
            </w:r>
            <w:r>
              <w:rPr>
                <w:rFonts w:ascii="宋体" w:eastAsia="宋体" w:hAnsi="宋体" w:hint="eastAsia"/>
                <w:szCs w:val="21"/>
              </w:rPr>
              <w:t>。目前</w:t>
            </w:r>
            <w:r>
              <w:rPr>
                <w:rFonts w:ascii="宋体" w:eastAsia="宋体" w:hAnsi="宋体"/>
                <w:szCs w:val="21"/>
              </w:rPr>
              <w:t>公司</w:t>
            </w:r>
            <w:r w:rsidR="00E462D2">
              <w:rPr>
                <w:rFonts w:ascii="宋体" w:eastAsia="宋体" w:hAnsi="宋体" w:hint="eastAsia"/>
                <w:szCs w:val="21"/>
              </w:rPr>
              <w:t>原料药订单充足，各生产线保持稳定正常生产，2</w:t>
            </w:r>
            <w:r w:rsidR="00E462D2">
              <w:rPr>
                <w:rFonts w:ascii="宋体" w:eastAsia="宋体" w:hAnsi="宋体"/>
                <w:szCs w:val="21"/>
              </w:rPr>
              <w:t>020</w:t>
            </w:r>
            <w:r w:rsidR="00E462D2">
              <w:rPr>
                <w:rFonts w:ascii="宋体" w:eastAsia="宋体" w:hAnsi="宋体" w:hint="eastAsia"/>
                <w:szCs w:val="21"/>
              </w:rPr>
              <w:t>年公司将对奥美沙坦及坎地沙坦实施扩产。</w:t>
            </w:r>
          </w:p>
          <w:p w14:paraId="2AC8BCE7" w14:textId="77777777" w:rsidR="004B3CA7" w:rsidRPr="0009016C" w:rsidRDefault="004B3CA7" w:rsidP="00A5696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7203B691" w14:textId="77777777" w:rsidR="005746FB" w:rsidRPr="004067F4" w:rsidRDefault="005746FB" w:rsidP="005746FB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2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</w:rPr>
              <w:t>公司产品毛利率大幅</w:t>
            </w:r>
            <w:r>
              <w:rPr>
                <w:rFonts w:ascii="宋体" w:eastAsia="宋体" w:hAnsi="宋体"/>
                <w:b/>
                <w:szCs w:val="21"/>
              </w:rPr>
              <w:t>提升的原因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200FD0E2" w14:textId="22FE1D7B" w:rsidR="007B1FF4" w:rsidRDefault="007B1FF4" w:rsidP="00C1180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</w:t>
            </w:r>
            <w:r w:rsidR="005511F7">
              <w:rPr>
                <w:rFonts w:ascii="宋体" w:eastAsia="宋体" w:hAnsi="宋体" w:hint="eastAsia"/>
                <w:szCs w:val="21"/>
              </w:rPr>
              <w:t>1</w:t>
            </w:r>
            <w:r w:rsidR="005511F7">
              <w:rPr>
                <w:rFonts w:ascii="宋体" w:eastAsia="宋体" w:hAnsi="宋体"/>
                <w:szCs w:val="21"/>
              </w:rPr>
              <w:t>9</w:t>
            </w:r>
            <w:r w:rsidR="005511F7">
              <w:rPr>
                <w:rFonts w:ascii="宋体" w:eastAsia="宋体" w:hAnsi="宋体" w:hint="eastAsia"/>
                <w:szCs w:val="21"/>
              </w:rPr>
              <w:t>年，公司营业毛利率5</w:t>
            </w:r>
            <w:r w:rsidR="005511F7">
              <w:rPr>
                <w:rFonts w:ascii="宋体" w:eastAsia="宋体" w:hAnsi="宋体"/>
                <w:szCs w:val="21"/>
              </w:rPr>
              <w:t>6.1</w:t>
            </w:r>
            <w:r w:rsidR="00824B3A">
              <w:rPr>
                <w:rFonts w:ascii="宋体" w:eastAsia="宋体" w:hAnsi="宋体"/>
                <w:szCs w:val="21"/>
              </w:rPr>
              <w:t>0</w:t>
            </w:r>
            <w:r w:rsidR="005511F7">
              <w:rPr>
                <w:rFonts w:ascii="宋体" w:eastAsia="宋体" w:hAnsi="宋体"/>
                <w:szCs w:val="21"/>
              </w:rPr>
              <w:t>%</w:t>
            </w:r>
            <w:r w:rsidR="005511F7">
              <w:rPr>
                <w:rFonts w:ascii="宋体" w:eastAsia="宋体" w:hAnsi="宋体" w:hint="eastAsia"/>
                <w:szCs w:val="21"/>
              </w:rPr>
              <w:t>，比上年同期增长1</w:t>
            </w:r>
            <w:r w:rsidR="005511F7">
              <w:rPr>
                <w:rFonts w:ascii="宋体" w:eastAsia="宋体" w:hAnsi="宋体"/>
                <w:szCs w:val="21"/>
              </w:rPr>
              <w:t>5.83%</w:t>
            </w:r>
            <w:r w:rsidR="005511F7">
              <w:rPr>
                <w:rFonts w:ascii="宋体" w:eastAsia="宋体" w:hAnsi="宋体" w:hint="eastAsia"/>
                <w:szCs w:val="21"/>
              </w:rPr>
              <w:t>，主要原因是:</w:t>
            </w:r>
          </w:p>
          <w:p w14:paraId="6EFC7BF2" w14:textId="77777777" w:rsidR="007B1FF4" w:rsidRDefault="007B1FF4" w:rsidP="00C1180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</w:t>
            </w:r>
            <w:r w:rsidR="005746FB">
              <w:rPr>
                <w:rFonts w:ascii="宋体" w:eastAsia="宋体" w:hAnsi="宋体" w:hint="eastAsia"/>
                <w:szCs w:val="21"/>
              </w:rPr>
              <w:t>公司多年深耕沙坦</w:t>
            </w:r>
            <w:r w:rsidR="005746FB">
              <w:rPr>
                <w:rFonts w:ascii="宋体" w:eastAsia="宋体" w:hAnsi="宋体"/>
                <w:szCs w:val="21"/>
              </w:rPr>
              <w:t>原料药领域，持续开拓规范市场，目前</w:t>
            </w:r>
            <w:r w:rsidR="00D5672E">
              <w:rPr>
                <w:rFonts w:ascii="宋体" w:eastAsia="宋体" w:hAnsi="宋体" w:hint="eastAsia"/>
                <w:szCs w:val="21"/>
              </w:rPr>
              <w:t>沙坦</w:t>
            </w:r>
            <w:r w:rsidR="00D5672E">
              <w:rPr>
                <w:rFonts w:ascii="宋体" w:eastAsia="宋体" w:hAnsi="宋体"/>
                <w:szCs w:val="21"/>
              </w:rPr>
              <w:t>类原料药</w:t>
            </w:r>
            <w:r w:rsidR="005746FB">
              <w:rPr>
                <w:rFonts w:ascii="宋体" w:eastAsia="宋体" w:hAnsi="宋体"/>
                <w:szCs w:val="21"/>
              </w:rPr>
              <w:t>规范市场</w:t>
            </w:r>
            <w:r w:rsidR="00CF5514">
              <w:rPr>
                <w:rFonts w:ascii="宋体" w:eastAsia="宋体" w:hAnsi="宋体" w:hint="eastAsia"/>
                <w:szCs w:val="21"/>
              </w:rPr>
              <w:t>收入</w:t>
            </w:r>
            <w:r w:rsidR="005746FB">
              <w:rPr>
                <w:rFonts w:ascii="宋体" w:eastAsia="宋体" w:hAnsi="宋体"/>
                <w:szCs w:val="21"/>
              </w:rPr>
              <w:t>占</w:t>
            </w:r>
            <w:r w:rsidR="00104FB8">
              <w:rPr>
                <w:rFonts w:ascii="宋体" w:eastAsia="宋体" w:hAnsi="宋体" w:hint="eastAsia"/>
                <w:szCs w:val="21"/>
              </w:rPr>
              <w:t>原料药收入的</w:t>
            </w:r>
            <w:r w:rsidR="005746FB">
              <w:rPr>
                <w:rFonts w:ascii="宋体" w:eastAsia="宋体" w:hAnsi="宋体"/>
                <w:szCs w:val="21"/>
              </w:rPr>
              <w:t>比</w:t>
            </w:r>
            <w:r w:rsidR="00104FB8">
              <w:rPr>
                <w:rFonts w:ascii="宋体" w:eastAsia="宋体" w:hAnsi="宋体" w:hint="eastAsia"/>
                <w:szCs w:val="21"/>
              </w:rPr>
              <w:t>例</w:t>
            </w:r>
            <w:r w:rsidR="005746FB">
              <w:rPr>
                <w:rFonts w:ascii="宋体" w:eastAsia="宋体" w:hAnsi="宋体"/>
                <w:szCs w:val="21"/>
              </w:rPr>
              <w:t>达</w:t>
            </w:r>
            <w:r w:rsidR="00104FB8">
              <w:rPr>
                <w:rFonts w:ascii="宋体" w:eastAsia="宋体" w:hAnsi="宋体"/>
                <w:szCs w:val="21"/>
              </w:rPr>
              <w:t>7</w:t>
            </w:r>
            <w:r w:rsidR="00D5672E">
              <w:rPr>
                <w:rFonts w:ascii="宋体" w:eastAsia="宋体" w:hAnsi="宋体" w:hint="eastAsia"/>
                <w:szCs w:val="21"/>
              </w:rPr>
              <w:t>0</w:t>
            </w:r>
            <w:r w:rsidR="00D5672E">
              <w:rPr>
                <w:rFonts w:ascii="宋体" w:eastAsia="宋体" w:hAnsi="宋体"/>
                <w:szCs w:val="21"/>
              </w:rPr>
              <w:t>%</w:t>
            </w:r>
            <w:r w:rsidR="005746FB">
              <w:rPr>
                <w:rFonts w:ascii="宋体" w:eastAsia="宋体" w:hAnsi="宋体" w:hint="eastAsia"/>
                <w:szCs w:val="21"/>
              </w:rPr>
              <w:t>，</w:t>
            </w:r>
            <w:r w:rsidR="005746FB">
              <w:rPr>
                <w:rFonts w:ascii="宋体" w:eastAsia="宋体" w:hAnsi="宋体"/>
                <w:szCs w:val="21"/>
              </w:rPr>
              <w:t>因此</w:t>
            </w:r>
            <w:r w:rsidR="00C11807">
              <w:rPr>
                <w:rFonts w:ascii="宋体" w:eastAsia="宋体" w:hAnsi="宋体" w:hint="eastAsia"/>
                <w:szCs w:val="21"/>
              </w:rPr>
              <w:t>沙坦类</w:t>
            </w:r>
            <w:r w:rsidR="00C11807">
              <w:rPr>
                <w:rFonts w:ascii="宋体" w:eastAsia="宋体" w:hAnsi="宋体"/>
                <w:szCs w:val="21"/>
              </w:rPr>
              <w:t>原料药</w:t>
            </w:r>
            <w:r w:rsidR="005746FB">
              <w:rPr>
                <w:rFonts w:ascii="宋体" w:eastAsia="宋体" w:hAnsi="宋体"/>
                <w:szCs w:val="21"/>
              </w:rPr>
              <w:t>产品毛利提升较快</w:t>
            </w:r>
            <w:r w:rsidR="00C11807">
              <w:rPr>
                <w:rFonts w:ascii="宋体" w:eastAsia="宋体" w:hAnsi="宋体" w:hint="eastAsia"/>
                <w:szCs w:val="21"/>
              </w:rPr>
              <w:t>；</w:t>
            </w:r>
          </w:p>
          <w:p w14:paraId="7C2B10EF" w14:textId="10B0860F" w:rsidR="007B1FF4" w:rsidRDefault="007B1FF4" w:rsidP="00C1180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（2）</w:t>
            </w:r>
            <w:r w:rsidR="005511F7">
              <w:rPr>
                <w:rFonts w:ascii="宋体" w:eastAsia="宋体" w:hAnsi="宋体" w:hint="eastAsia"/>
                <w:szCs w:val="21"/>
              </w:rPr>
              <w:t>受益于公司规模效应和管理</w:t>
            </w:r>
            <w:r>
              <w:rPr>
                <w:rFonts w:ascii="宋体" w:eastAsia="宋体" w:hAnsi="宋体" w:hint="eastAsia"/>
                <w:szCs w:val="21"/>
              </w:rPr>
              <w:t>水平</w:t>
            </w:r>
            <w:r w:rsidR="005511F7">
              <w:rPr>
                <w:rFonts w:ascii="宋体" w:eastAsia="宋体" w:hAnsi="宋体" w:hint="eastAsia"/>
                <w:szCs w:val="21"/>
              </w:rPr>
              <w:t>进步，产品</w:t>
            </w:r>
            <w:r>
              <w:rPr>
                <w:rFonts w:ascii="宋体" w:eastAsia="宋体" w:hAnsi="宋体" w:hint="eastAsia"/>
                <w:szCs w:val="21"/>
              </w:rPr>
              <w:t>成本</w:t>
            </w:r>
            <w:r w:rsidR="004B048F">
              <w:rPr>
                <w:rFonts w:ascii="宋体" w:eastAsia="宋体" w:hAnsi="宋体" w:hint="eastAsia"/>
                <w:szCs w:val="21"/>
              </w:rPr>
              <w:t>更具市场</w:t>
            </w:r>
            <w:r w:rsidR="004B048F">
              <w:rPr>
                <w:rFonts w:ascii="宋体" w:eastAsia="宋体" w:hAnsi="宋体"/>
                <w:szCs w:val="21"/>
              </w:rPr>
              <w:t>竞争力</w:t>
            </w:r>
            <w:r w:rsidR="005511F7">
              <w:rPr>
                <w:rFonts w:ascii="宋体" w:eastAsia="宋体" w:hAnsi="宋体" w:hint="eastAsia"/>
                <w:szCs w:val="21"/>
              </w:rPr>
              <w:t>；</w:t>
            </w:r>
          </w:p>
          <w:p w14:paraId="137FD1EA" w14:textId="1B35A3F4" w:rsidR="00C11807" w:rsidRDefault="007B1FF4" w:rsidP="00C11807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（3）</w:t>
            </w:r>
            <w:r w:rsidR="00C11807">
              <w:rPr>
                <w:rFonts w:ascii="宋体" w:eastAsia="宋体" w:hAnsi="宋体" w:hint="eastAsia"/>
                <w:szCs w:val="21"/>
              </w:rPr>
              <w:t>2019年度</w:t>
            </w:r>
            <w:r w:rsidR="00C11807">
              <w:rPr>
                <w:rFonts w:ascii="宋体" w:eastAsia="宋体" w:hAnsi="宋体"/>
                <w:szCs w:val="21"/>
              </w:rPr>
              <w:t>公司根据</w:t>
            </w:r>
            <w:r w:rsidR="00C11807">
              <w:rPr>
                <w:rFonts w:ascii="宋体" w:eastAsia="宋体" w:hAnsi="宋体" w:hint="eastAsia"/>
                <w:szCs w:val="21"/>
              </w:rPr>
              <w:t>市场情况变化</w:t>
            </w:r>
            <w:r w:rsidR="00C11807">
              <w:rPr>
                <w:rFonts w:ascii="宋体" w:eastAsia="宋体" w:hAnsi="宋体"/>
                <w:szCs w:val="21"/>
              </w:rPr>
              <w:t>调整</w:t>
            </w:r>
            <w:r w:rsidR="005511F7">
              <w:rPr>
                <w:rFonts w:ascii="宋体" w:eastAsia="宋体" w:hAnsi="宋体" w:hint="eastAsia"/>
                <w:szCs w:val="21"/>
              </w:rPr>
              <w:t>产品结构</w:t>
            </w:r>
            <w:r w:rsidR="00C11807">
              <w:rPr>
                <w:rFonts w:ascii="宋体" w:eastAsia="宋体" w:hAnsi="宋体"/>
                <w:szCs w:val="21"/>
              </w:rPr>
              <w:t>，降低</w:t>
            </w:r>
            <w:r w:rsidR="005511F7">
              <w:rPr>
                <w:rFonts w:ascii="宋体" w:eastAsia="宋体" w:hAnsi="宋体" w:hint="eastAsia"/>
                <w:szCs w:val="21"/>
              </w:rPr>
              <w:t>了</w:t>
            </w:r>
            <w:r w:rsidR="00C11807">
              <w:rPr>
                <w:rFonts w:ascii="宋体" w:eastAsia="宋体" w:hAnsi="宋体"/>
                <w:szCs w:val="21"/>
              </w:rPr>
              <w:t>低毛利率抗病毒</w:t>
            </w:r>
            <w:r w:rsidR="00C11807">
              <w:rPr>
                <w:rFonts w:ascii="宋体" w:eastAsia="宋体" w:hAnsi="宋体" w:hint="eastAsia"/>
                <w:szCs w:val="21"/>
              </w:rPr>
              <w:t>种类</w:t>
            </w:r>
            <w:r w:rsidR="00C11807">
              <w:rPr>
                <w:rFonts w:ascii="宋体" w:eastAsia="宋体" w:hAnsi="宋体"/>
                <w:szCs w:val="21"/>
              </w:rPr>
              <w:t>中间体</w:t>
            </w:r>
            <w:r w:rsidR="00C11807">
              <w:rPr>
                <w:rFonts w:ascii="宋体" w:eastAsia="宋体" w:hAnsi="宋体" w:hint="eastAsia"/>
                <w:szCs w:val="21"/>
              </w:rPr>
              <w:t>生产</w:t>
            </w:r>
            <w:r w:rsidR="00C11807">
              <w:rPr>
                <w:rFonts w:ascii="宋体" w:eastAsia="宋体" w:hAnsi="宋体"/>
                <w:szCs w:val="21"/>
              </w:rPr>
              <w:t>比例</w:t>
            </w:r>
            <w:r w:rsidR="00C11807">
              <w:rPr>
                <w:rFonts w:ascii="宋体" w:eastAsia="宋体" w:hAnsi="宋体" w:hint="eastAsia"/>
                <w:szCs w:val="21"/>
              </w:rPr>
              <w:t>，中间体</w:t>
            </w:r>
            <w:r w:rsidR="00C11807">
              <w:rPr>
                <w:rFonts w:ascii="宋体" w:eastAsia="宋体" w:hAnsi="宋体"/>
                <w:szCs w:val="21"/>
              </w:rPr>
              <w:t>整体毛利率提升</w:t>
            </w:r>
            <w:r w:rsidR="00C11807">
              <w:rPr>
                <w:rFonts w:ascii="宋体" w:eastAsia="宋体" w:hAnsi="宋体" w:hint="eastAsia"/>
                <w:szCs w:val="21"/>
              </w:rPr>
              <w:t>较大</w:t>
            </w:r>
            <w:r w:rsidR="00C11807">
              <w:rPr>
                <w:rFonts w:ascii="宋体" w:eastAsia="宋体" w:hAnsi="宋体"/>
                <w:szCs w:val="21"/>
              </w:rPr>
              <w:t>。</w:t>
            </w:r>
          </w:p>
          <w:p w14:paraId="29A4AD97" w14:textId="77777777" w:rsidR="001B4205" w:rsidRPr="005511F7" w:rsidRDefault="001B4205" w:rsidP="00A5438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2DA43A72" w14:textId="77777777" w:rsidR="00CC28E5" w:rsidRPr="004067F4" w:rsidRDefault="00CC28E5" w:rsidP="00CC28E5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3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</w:rPr>
              <w:t>印度疫情</w:t>
            </w:r>
            <w:r>
              <w:rPr>
                <w:rFonts w:ascii="宋体" w:eastAsia="宋体" w:hAnsi="宋体"/>
                <w:b/>
                <w:szCs w:val="21"/>
              </w:rPr>
              <w:t>对公司的影响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1062F0EC" w14:textId="69DD93BC" w:rsidR="00CC28E5" w:rsidRDefault="00CC28E5" w:rsidP="00CC28E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整体而言</w:t>
            </w:r>
            <w:r>
              <w:rPr>
                <w:rFonts w:ascii="宋体" w:eastAsia="宋体" w:hAnsi="宋体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印度疫情</w:t>
            </w:r>
            <w:r>
              <w:rPr>
                <w:rFonts w:ascii="宋体" w:eastAsia="宋体" w:hAnsi="宋体"/>
                <w:szCs w:val="21"/>
              </w:rPr>
              <w:t>对公司</w:t>
            </w:r>
            <w:r>
              <w:rPr>
                <w:rFonts w:ascii="宋体" w:eastAsia="宋体" w:hAnsi="宋体" w:hint="eastAsia"/>
                <w:szCs w:val="21"/>
              </w:rPr>
              <w:t>业绩</w:t>
            </w:r>
            <w:r>
              <w:rPr>
                <w:rFonts w:ascii="宋体" w:eastAsia="宋体" w:hAnsi="宋体"/>
                <w:szCs w:val="21"/>
              </w:rPr>
              <w:t>影响较小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一方面</w:t>
            </w:r>
            <w:r>
              <w:rPr>
                <w:rFonts w:ascii="宋体" w:eastAsia="宋体" w:hAnsi="宋体" w:hint="eastAsia"/>
                <w:szCs w:val="21"/>
              </w:rPr>
              <w:t>，公司</w:t>
            </w:r>
            <w:r w:rsidR="00104FB8">
              <w:rPr>
                <w:rFonts w:ascii="宋体" w:eastAsia="宋体" w:hAnsi="宋体" w:hint="eastAsia"/>
                <w:szCs w:val="21"/>
              </w:rPr>
              <w:t>在与客户充分沟通确认后</w:t>
            </w:r>
            <w:r>
              <w:rPr>
                <w:rFonts w:ascii="宋体" w:eastAsia="宋体" w:hAnsi="宋体"/>
                <w:szCs w:val="21"/>
              </w:rPr>
              <w:t>通过海运</w:t>
            </w:r>
            <w:r w:rsidR="00104FB8">
              <w:rPr>
                <w:rFonts w:ascii="宋体" w:eastAsia="宋体" w:hAnsi="宋体" w:hint="eastAsia"/>
                <w:szCs w:val="21"/>
              </w:rPr>
              <w:t>保持正常销售</w:t>
            </w:r>
            <w:r>
              <w:rPr>
                <w:rFonts w:ascii="宋体" w:eastAsia="宋体" w:hAnsi="宋体" w:hint="eastAsia"/>
                <w:szCs w:val="21"/>
              </w:rPr>
              <w:t>；另一方面</w:t>
            </w:r>
            <w:r>
              <w:rPr>
                <w:rFonts w:ascii="宋体" w:eastAsia="宋体" w:hAnsi="宋体"/>
                <w:szCs w:val="21"/>
              </w:rPr>
              <w:t>，由于印度疫情的</w:t>
            </w:r>
            <w:r>
              <w:rPr>
                <w:rFonts w:ascii="宋体" w:eastAsia="宋体" w:hAnsi="宋体" w:hint="eastAsia"/>
                <w:szCs w:val="21"/>
              </w:rPr>
              <w:t>持续</w:t>
            </w:r>
            <w:r>
              <w:rPr>
                <w:rFonts w:ascii="宋体" w:eastAsia="宋体" w:hAnsi="宋体"/>
                <w:szCs w:val="21"/>
              </w:rPr>
              <w:t>发展，制剂产商在选择供应商</w:t>
            </w:r>
            <w:r>
              <w:rPr>
                <w:rFonts w:ascii="宋体" w:eastAsia="宋体" w:hAnsi="宋体" w:hint="eastAsia"/>
                <w:szCs w:val="21"/>
              </w:rPr>
              <w:t>时可能</w:t>
            </w:r>
            <w:r>
              <w:rPr>
                <w:rFonts w:ascii="宋体" w:eastAsia="宋体" w:hAnsi="宋体"/>
                <w:szCs w:val="21"/>
              </w:rPr>
              <w:t>更偏向于</w:t>
            </w:r>
            <w:r w:rsidR="005511F7">
              <w:rPr>
                <w:rFonts w:ascii="宋体" w:eastAsia="宋体" w:hAnsi="宋体" w:hint="eastAsia"/>
                <w:szCs w:val="21"/>
              </w:rPr>
              <w:t>中国产品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/>
                <w:szCs w:val="21"/>
              </w:rPr>
              <w:t>公司</w:t>
            </w:r>
            <w:r>
              <w:rPr>
                <w:rFonts w:ascii="宋体" w:eastAsia="宋体" w:hAnsi="宋体" w:hint="eastAsia"/>
                <w:szCs w:val="21"/>
              </w:rPr>
              <w:t>将</w:t>
            </w:r>
            <w:r w:rsidR="0009016C">
              <w:rPr>
                <w:rFonts w:ascii="宋体" w:eastAsia="宋体" w:hAnsi="宋体" w:hint="eastAsia"/>
                <w:szCs w:val="21"/>
              </w:rPr>
              <w:t>持续</w:t>
            </w:r>
            <w:r>
              <w:rPr>
                <w:rFonts w:ascii="宋体" w:eastAsia="宋体" w:hAnsi="宋体"/>
                <w:szCs w:val="21"/>
              </w:rPr>
              <w:t>关注印度疫情变化</w:t>
            </w:r>
            <w:r w:rsidR="0009016C">
              <w:rPr>
                <w:rFonts w:ascii="宋体" w:eastAsia="宋体" w:hAnsi="宋体" w:hint="eastAsia"/>
                <w:szCs w:val="21"/>
              </w:rPr>
              <w:t>。</w:t>
            </w:r>
          </w:p>
          <w:p w14:paraId="3EC1487B" w14:textId="77777777" w:rsidR="001B4205" w:rsidRPr="00CC28E5" w:rsidRDefault="001B4205" w:rsidP="00A5438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180659BF" w14:textId="77777777" w:rsidR="0009016C" w:rsidRPr="004067F4" w:rsidRDefault="0009016C" w:rsidP="0009016C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</w:rPr>
              <w:t>公司CMO业务</w:t>
            </w:r>
            <w:r>
              <w:rPr>
                <w:rFonts w:ascii="宋体" w:eastAsia="宋体" w:hAnsi="宋体"/>
                <w:b/>
                <w:szCs w:val="21"/>
              </w:rPr>
              <w:t>发展</w:t>
            </w:r>
            <w:r>
              <w:rPr>
                <w:rFonts w:ascii="宋体" w:eastAsia="宋体" w:hAnsi="宋体" w:hint="eastAsia"/>
                <w:b/>
                <w:szCs w:val="21"/>
              </w:rPr>
              <w:t>展望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46ADBDAB" w14:textId="77777777" w:rsidR="0009016C" w:rsidRDefault="0009016C" w:rsidP="0009016C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CMO业务</w:t>
            </w:r>
            <w:r>
              <w:rPr>
                <w:rFonts w:ascii="宋体" w:eastAsia="宋体" w:hAnsi="宋体"/>
                <w:szCs w:val="21"/>
              </w:rPr>
              <w:t>为公司重点布局领域，</w:t>
            </w:r>
            <w:r>
              <w:rPr>
                <w:rFonts w:ascii="宋体" w:eastAsia="宋体" w:hAnsi="宋体" w:hint="eastAsia"/>
                <w:szCs w:val="21"/>
              </w:rPr>
              <w:t>公司2019年CMO业务</w:t>
            </w:r>
            <w:r>
              <w:rPr>
                <w:rFonts w:ascii="宋体" w:eastAsia="宋体" w:hAnsi="宋体"/>
                <w:szCs w:val="21"/>
              </w:rPr>
              <w:t>收入</w:t>
            </w:r>
            <w:r>
              <w:rPr>
                <w:szCs w:val="24"/>
              </w:rPr>
              <w:t>38,688,546.52</w:t>
            </w:r>
            <w:r>
              <w:rPr>
                <w:rFonts w:hint="eastAsia"/>
                <w:szCs w:val="24"/>
              </w:rPr>
              <w:t>元</w:t>
            </w:r>
            <w:r>
              <w:rPr>
                <w:szCs w:val="24"/>
              </w:rPr>
              <w:t>，同比</w:t>
            </w:r>
            <w:r>
              <w:rPr>
                <w:rFonts w:hint="eastAsia"/>
                <w:szCs w:val="24"/>
              </w:rPr>
              <w:t>增长</w:t>
            </w:r>
            <w:r>
              <w:rPr>
                <w:rFonts w:hint="eastAsia"/>
                <w:szCs w:val="24"/>
              </w:rPr>
              <w:t>15.23</w:t>
            </w:r>
            <w:r>
              <w:rPr>
                <w:szCs w:val="24"/>
              </w:rPr>
              <w:t>%</w:t>
            </w:r>
            <w:r>
              <w:rPr>
                <w:szCs w:val="24"/>
              </w:rPr>
              <w:t>，整体涨幅较小。但</w:t>
            </w:r>
            <w:r>
              <w:rPr>
                <w:rFonts w:hint="eastAsia"/>
                <w:szCs w:val="24"/>
              </w:rPr>
              <w:t>随着</w:t>
            </w:r>
            <w:r>
              <w:rPr>
                <w:szCs w:val="24"/>
              </w:rPr>
              <w:t>公司几个大客户创新药持续</w:t>
            </w:r>
            <w:r>
              <w:rPr>
                <w:rFonts w:hint="eastAsia"/>
                <w:szCs w:val="24"/>
              </w:rPr>
              <w:t>放量</w:t>
            </w:r>
            <w:r>
              <w:rPr>
                <w:szCs w:val="24"/>
              </w:rPr>
              <w:t>，</w:t>
            </w:r>
            <w:r>
              <w:rPr>
                <w:rFonts w:hint="eastAsia"/>
                <w:szCs w:val="24"/>
              </w:rPr>
              <w:t>根据目前</w:t>
            </w:r>
            <w:r>
              <w:rPr>
                <w:szCs w:val="24"/>
              </w:rPr>
              <w:t>在手订单预计公司</w:t>
            </w:r>
            <w:r>
              <w:rPr>
                <w:rFonts w:hint="eastAsia"/>
                <w:szCs w:val="24"/>
              </w:rPr>
              <w:t>2020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CMO</w:t>
            </w:r>
            <w:r>
              <w:rPr>
                <w:rFonts w:hint="eastAsia"/>
                <w:szCs w:val="24"/>
              </w:rPr>
              <w:t>业务</w:t>
            </w:r>
            <w:r>
              <w:rPr>
                <w:szCs w:val="24"/>
              </w:rPr>
              <w:t>收入</w:t>
            </w:r>
            <w:r w:rsidR="00C11807">
              <w:rPr>
                <w:rFonts w:hint="eastAsia"/>
                <w:szCs w:val="24"/>
              </w:rPr>
              <w:t>有望</w:t>
            </w:r>
            <w:r>
              <w:rPr>
                <w:szCs w:val="24"/>
              </w:rPr>
              <w:t>大</w:t>
            </w:r>
            <w:r w:rsidR="00C11807">
              <w:rPr>
                <w:szCs w:val="24"/>
              </w:rPr>
              <w:t>幅</w:t>
            </w:r>
            <w:r>
              <w:rPr>
                <w:szCs w:val="24"/>
              </w:rPr>
              <w:t>增长</w:t>
            </w:r>
            <w:r>
              <w:rPr>
                <w:rFonts w:hint="eastAsia"/>
                <w:szCs w:val="24"/>
              </w:rPr>
              <w:t>。</w:t>
            </w:r>
          </w:p>
          <w:p w14:paraId="12521554" w14:textId="77777777" w:rsidR="001B4205" w:rsidRDefault="001B4205" w:rsidP="00A5438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7208E093" w14:textId="77777777" w:rsidR="004A37B4" w:rsidRPr="004067F4" w:rsidRDefault="004A37B4" w:rsidP="004A37B4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、公司</w:t>
            </w:r>
            <w:r>
              <w:rPr>
                <w:rFonts w:ascii="宋体" w:eastAsia="宋体" w:hAnsi="宋体" w:hint="eastAsia"/>
                <w:b/>
                <w:szCs w:val="21"/>
              </w:rPr>
              <w:t>目前</w:t>
            </w:r>
            <w:r>
              <w:rPr>
                <w:rFonts w:ascii="宋体" w:eastAsia="宋体" w:hAnsi="宋体"/>
                <w:b/>
                <w:szCs w:val="21"/>
              </w:rPr>
              <w:t>还有哪些研发储备项目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599C55EC" w14:textId="51172069" w:rsidR="004A37B4" w:rsidRDefault="004A37B4" w:rsidP="004A37B4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公司历来</w:t>
            </w:r>
            <w:r>
              <w:rPr>
                <w:rFonts w:ascii="宋体" w:eastAsia="宋体" w:hAnsi="宋体"/>
                <w:szCs w:val="21"/>
              </w:rPr>
              <w:t>重视研发</w:t>
            </w:r>
            <w:r>
              <w:rPr>
                <w:rFonts w:ascii="宋体" w:eastAsia="宋体" w:hAnsi="宋体" w:hint="eastAsia"/>
                <w:szCs w:val="21"/>
              </w:rPr>
              <w:t>投入</w:t>
            </w:r>
            <w:r>
              <w:rPr>
                <w:rFonts w:ascii="宋体" w:eastAsia="宋体" w:hAnsi="宋体"/>
                <w:szCs w:val="21"/>
              </w:rPr>
              <w:t>，</w:t>
            </w:r>
            <w:r w:rsidR="005511F7">
              <w:rPr>
                <w:rFonts w:ascii="宋体" w:eastAsia="宋体" w:hAnsi="宋体" w:hint="eastAsia"/>
                <w:szCs w:val="21"/>
              </w:rPr>
              <w:t>2</w:t>
            </w:r>
            <w:r w:rsidR="005511F7">
              <w:rPr>
                <w:rFonts w:ascii="宋体" w:eastAsia="宋体" w:hAnsi="宋体"/>
                <w:szCs w:val="21"/>
              </w:rPr>
              <w:t>019</w:t>
            </w:r>
            <w:r w:rsidR="005511F7">
              <w:rPr>
                <w:rFonts w:ascii="宋体" w:eastAsia="宋体" w:hAnsi="宋体" w:hint="eastAsia"/>
                <w:szCs w:val="21"/>
              </w:rPr>
              <w:t>年研发投入1</w:t>
            </w:r>
            <w:r w:rsidR="005511F7">
              <w:rPr>
                <w:rFonts w:ascii="宋体" w:eastAsia="宋体" w:hAnsi="宋体"/>
                <w:szCs w:val="21"/>
              </w:rPr>
              <w:t>.12</w:t>
            </w:r>
            <w:r w:rsidR="005511F7">
              <w:rPr>
                <w:rFonts w:ascii="宋体" w:eastAsia="宋体" w:hAnsi="宋体" w:hint="eastAsia"/>
                <w:szCs w:val="21"/>
              </w:rPr>
              <w:t>亿元，</w:t>
            </w:r>
            <w:r w:rsidRPr="004A37B4">
              <w:rPr>
                <w:rFonts w:ascii="宋体" w:eastAsia="宋体" w:hAnsi="宋体" w:hint="eastAsia"/>
                <w:szCs w:val="21"/>
              </w:rPr>
              <w:t>积极研发储备抗高血脂、抗高血糖、抗心衰和抗凝血等等药物原料药项目</w:t>
            </w:r>
            <w:r>
              <w:rPr>
                <w:rFonts w:ascii="宋体" w:eastAsia="宋体" w:hAnsi="宋体" w:hint="eastAsia"/>
                <w:szCs w:val="21"/>
              </w:rPr>
              <w:t>，包括</w:t>
            </w:r>
            <w:r w:rsidRPr="004A37B4">
              <w:rPr>
                <w:rFonts w:ascii="宋体" w:eastAsia="宋体" w:hAnsi="宋体" w:hint="eastAsia"/>
                <w:szCs w:val="21"/>
              </w:rPr>
              <w:t>阿齐沙坦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4A37B4">
              <w:rPr>
                <w:rFonts w:ascii="宋体" w:eastAsia="宋体" w:hAnsi="宋体" w:hint="eastAsia"/>
                <w:szCs w:val="21"/>
              </w:rPr>
              <w:t>达比加群酯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4A37B4">
              <w:rPr>
                <w:rFonts w:ascii="宋体" w:eastAsia="宋体" w:hAnsi="宋体" w:hint="eastAsia"/>
                <w:szCs w:val="21"/>
              </w:rPr>
              <w:t>依折麦布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4A37B4">
              <w:rPr>
                <w:rFonts w:ascii="宋体" w:eastAsia="宋体" w:hAnsi="宋体" w:hint="eastAsia"/>
                <w:szCs w:val="21"/>
              </w:rPr>
              <w:t>替格瑞洛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4A37B4">
              <w:rPr>
                <w:rFonts w:ascii="宋体" w:eastAsia="宋体" w:hAnsi="宋体" w:hint="eastAsia"/>
                <w:szCs w:val="21"/>
              </w:rPr>
              <w:t>艾瑞昔布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4A37B4">
              <w:rPr>
                <w:rFonts w:ascii="宋体" w:eastAsia="宋体" w:hAnsi="宋体" w:hint="eastAsia"/>
                <w:szCs w:val="21"/>
              </w:rPr>
              <w:t>西格列汀</w:t>
            </w:r>
            <w:r>
              <w:rPr>
                <w:rFonts w:ascii="宋体" w:eastAsia="宋体" w:hAnsi="宋体" w:hint="eastAsia"/>
                <w:szCs w:val="21"/>
              </w:rPr>
              <w:t>等等</w:t>
            </w:r>
            <w:r w:rsidRPr="004A37B4">
              <w:rPr>
                <w:rFonts w:ascii="宋体" w:eastAsia="宋体" w:hAnsi="宋体" w:hint="eastAsia"/>
                <w:szCs w:val="21"/>
              </w:rPr>
              <w:t>，有望成为未来业绩的新增长点。</w:t>
            </w:r>
          </w:p>
          <w:p w14:paraId="5D991593" w14:textId="77777777" w:rsidR="001B4205" w:rsidRPr="00C11807" w:rsidRDefault="001B4205" w:rsidP="00A54385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14:paraId="54DD963F" w14:textId="77777777" w:rsidR="004A37B4" w:rsidRPr="004067F4" w:rsidRDefault="004A37B4" w:rsidP="004A37B4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6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szCs w:val="21"/>
              </w:rPr>
              <w:t>公司近期核心沙坦</w:t>
            </w:r>
            <w:r>
              <w:rPr>
                <w:rFonts w:ascii="宋体" w:eastAsia="宋体" w:hAnsi="宋体"/>
                <w:b/>
                <w:szCs w:val="21"/>
              </w:rPr>
              <w:t>产品</w:t>
            </w:r>
            <w:r>
              <w:rPr>
                <w:rFonts w:ascii="宋体" w:eastAsia="宋体" w:hAnsi="宋体" w:hint="eastAsia"/>
                <w:b/>
                <w:szCs w:val="21"/>
              </w:rPr>
              <w:t>价格</w:t>
            </w:r>
            <w:r>
              <w:rPr>
                <w:rFonts w:ascii="宋体" w:eastAsia="宋体" w:hAnsi="宋体"/>
                <w:b/>
                <w:szCs w:val="21"/>
              </w:rPr>
              <w:t>情况</w:t>
            </w:r>
            <w:r>
              <w:rPr>
                <w:rFonts w:ascii="宋体" w:eastAsia="宋体" w:hAnsi="宋体" w:hint="eastAsia"/>
                <w:b/>
                <w:szCs w:val="21"/>
              </w:rPr>
              <w:t>以及</w:t>
            </w:r>
            <w:r>
              <w:rPr>
                <w:rFonts w:ascii="宋体" w:eastAsia="宋体" w:hAnsi="宋体"/>
                <w:b/>
                <w:szCs w:val="21"/>
              </w:rPr>
              <w:t>未来价格预计</w:t>
            </w:r>
            <w:r w:rsidRPr="004067F4">
              <w:rPr>
                <w:rFonts w:ascii="宋体" w:eastAsia="宋体" w:hAnsi="宋体" w:hint="eastAsia"/>
                <w:b/>
                <w:szCs w:val="21"/>
              </w:rPr>
              <w:t>？</w:t>
            </w:r>
          </w:p>
          <w:p w14:paraId="53D9D3AA" w14:textId="77777777" w:rsidR="004A37B4" w:rsidRDefault="004A37B4" w:rsidP="004A37B4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目前市场沙坦</w:t>
            </w:r>
            <w:r>
              <w:rPr>
                <w:rFonts w:ascii="宋体" w:eastAsia="宋体" w:hAnsi="宋体"/>
                <w:szCs w:val="21"/>
              </w:rPr>
              <w:t>原料药</w:t>
            </w:r>
            <w:r>
              <w:rPr>
                <w:rFonts w:ascii="宋体" w:eastAsia="宋体" w:hAnsi="宋体" w:hint="eastAsia"/>
                <w:szCs w:val="21"/>
              </w:rPr>
              <w:t>需求</w:t>
            </w:r>
            <w:r>
              <w:rPr>
                <w:rFonts w:ascii="宋体" w:eastAsia="宋体" w:hAnsi="宋体"/>
                <w:szCs w:val="21"/>
              </w:rPr>
              <w:t>旺盛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价格稳定</w:t>
            </w:r>
            <w:r w:rsidRPr="004A37B4">
              <w:rPr>
                <w:rFonts w:ascii="宋体" w:eastAsia="宋体" w:hAnsi="宋体" w:hint="eastAsia"/>
                <w:szCs w:val="21"/>
              </w:rPr>
              <w:t>。</w:t>
            </w:r>
            <w:r>
              <w:rPr>
                <w:rFonts w:ascii="宋体" w:eastAsia="宋体" w:hAnsi="宋体" w:hint="eastAsia"/>
                <w:szCs w:val="21"/>
              </w:rPr>
              <w:t>由于NDMA杂质</w:t>
            </w:r>
            <w:r>
              <w:rPr>
                <w:rFonts w:ascii="宋体" w:eastAsia="宋体" w:hAnsi="宋体"/>
                <w:szCs w:val="21"/>
              </w:rPr>
              <w:t>事件后缬沙坦原料药价格涨幅较大，未来不排除有逐渐</w:t>
            </w:r>
            <w:r>
              <w:rPr>
                <w:rFonts w:ascii="宋体" w:eastAsia="宋体" w:hAnsi="宋体" w:hint="eastAsia"/>
                <w:szCs w:val="21"/>
              </w:rPr>
              <w:t>跌价</w:t>
            </w:r>
            <w:r>
              <w:rPr>
                <w:rFonts w:ascii="宋体" w:eastAsia="宋体" w:hAnsi="宋体"/>
                <w:szCs w:val="21"/>
              </w:rPr>
              <w:t>风险。</w:t>
            </w:r>
            <w:r w:rsidRPr="004A37B4">
              <w:rPr>
                <w:rFonts w:ascii="宋体" w:eastAsia="宋体" w:hAnsi="宋体" w:hint="eastAsia"/>
                <w:szCs w:val="21"/>
              </w:rPr>
              <w:t>随着</w:t>
            </w:r>
            <w:r>
              <w:rPr>
                <w:rFonts w:ascii="宋体" w:eastAsia="宋体" w:hAnsi="宋体" w:hint="eastAsia"/>
                <w:szCs w:val="21"/>
              </w:rPr>
              <w:t>今年</w:t>
            </w:r>
            <w:r>
              <w:rPr>
                <w:rFonts w:ascii="宋体" w:eastAsia="宋体" w:hAnsi="宋体"/>
                <w:szCs w:val="21"/>
              </w:rPr>
              <w:t>原料药</w:t>
            </w:r>
            <w:r w:rsidRPr="004A37B4">
              <w:rPr>
                <w:rFonts w:ascii="宋体" w:eastAsia="宋体" w:hAnsi="宋体" w:hint="eastAsia"/>
                <w:szCs w:val="21"/>
              </w:rPr>
              <w:t>销量提升，即使</w:t>
            </w:r>
            <w:r>
              <w:rPr>
                <w:rFonts w:ascii="宋体" w:eastAsia="宋体" w:hAnsi="宋体" w:hint="eastAsia"/>
                <w:szCs w:val="21"/>
              </w:rPr>
              <w:t>产品</w:t>
            </w:r>
            <w:r w:rsidRPr="004A37B4">
              <w:rPr>
                <w:rFonts w:ascii="宋体" w:eastAsia="宋体" w:hAnsi="宋体" w:hint="eastAsia"/>
                <w:szCs w:val="21"/>
              </w:rPr>
              <w:t>价格略有下降，公司有信心以销量的增长弥补价格波动产生的影响。</w:t>
            </w:r>
          </w:p>
          <w:p w14:paraId="3DF2DCF3" w14:textId="77777777" w:rsidR="000554E9" w:rsidRPr="00FC4D13" w:rsidRDefault="000554E9" w:rsidP="007B1F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260706" w14:paraId="01A658F7" w14:textId="77777777" w:rsidTr="004067F4">
        <w:tc>
          <w:tcPr>
            <w:tcW w:w="2243" w:type="dxa"/>
          </w:tcPr>
          <w:p w14:paraId="60DED86C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附件清单（如有）</w:t>
            </w:r>
          </w:p>
        </w:tc>
        <w:tc>
          <w:tcPr>
            <w:tcW w:w="6229" w:type="dxa"/>
          </w:tcPr>
          <w:p w14:paraId="6021898A" w14:textId="77777777" w:rsidR="00260706" w:rsidRDefault="0094142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见附件1</w:t>
            </w:r>
          </w:p>
        </w:tc>
      </w:tr>
      <w:tr w:rsidR="00260706" w14:paraId="777C705E" w14:textId="77777777" w:rsidTr="004067F4">
        <w:tc>
          <w:tcPr>
            <w:tcW w:w="2243" w:type="dxa"/>
          </w:tcPr>
          <w:p w14:paraId="65AFA96F" w14:textId="77777777" w:rsidR="00260706" w:rsidRDefault="002D79A1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6229" w:type="dxa"/>
          </w:tcPr>
          <w:p w14:paraId="1F03FFE3" w14:textId="77777777" w:rsidR="00260706" w:rsidRDefault="002D79A1" w:rsidP="00D5672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  <w:r w:rsidR="00D5672E">
              <w:rPr>
                <w:rFonts w:ascii="宋体" w:eastAsia="宋体" w:hAnsi="宋体"/>
                <w:szCs w:val="21"/>
              </w:rPr>
              <w:t>20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="00D5672E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C07566">
              <w:rPr>
                <w:rFonts w:ascii="宋体" w:eastAsia="宋体" w:hAnsi="宋体" w:hint="eastAsia"/>
                <w:szCs w:val="21"/>
              </w:rPr>
              <w:t>2</w:t>
            </w:r>
            <w:r w:rsidR="00D5672E">
              <w:rPr>
                <w:rFonts w:ascii="宋体" w:eastAsia="宋体" w:hAnsi="宋体"/>
                <w:szCs w:val="21"/>
              </w:rPr>
              <w:t>7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7BEFBC3B" w14:textId="77777777" w:rsidR="00260706" w:rsidRDefault="00260706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37152DD4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428BE460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0BC4FFDC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1F984B41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308BB629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7AD8098C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4CF34B13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2C9404A0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4582371B" w14:textId="77777777" w:rsidR="00941429" w:rsidRDefault="00941429">
      <w:pPr>
        <w:spacing w:line="360" w:lineRule="auto"/>
        <w:jc w:val="right"/>
        <w:rPr>
          <w:rFonts w:ascii="黑体" w:eastAsia="黑体" w:hAnsi="黑体"/>
          <w:b/>
          <w:sz w:val="24"/>
          <w:szCs w:val="24"/>
        </w:rPr>
      </w:pPr>
    </w:p>
    <w:p w14:paraId="62D32ADF" w14:textId="77777777" w:rsidR="00941429" w:rsidRDefault="00941429" w:rsidP="00941429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lastRenderedPageBreak/>
        <w:t>附件1：</w:t>
      </w:r>
      <w:r w:rsidRPr="00941429">
        <w:rPr>
          <w:rFonts w:ascii="黑体" w:eastAsia="黑体" w:hAnsi="黑体" w:hint="eastAsia"/>
          <w:b/>
          <w:sz w:val="24"/>
          <w:szCs w:val="24"/>
        </w:rPr>
        <w:t>参会单位名称及人员</w:t>
      </w:r>
    </w:p>
    <w:tbl>
      <w:tblPr>
        <w:tblW w:w="9120" w:type="dxa"/>
        <w:tblInd w:w="108" w:type="dxa"/>
        <w:tblLook w:val="04A0" w:firstRow="1" w:lastRow="0" w:firstColumn="1" w:lastColumn="0" w:noHBand="0" w:noVBand="1"/>
      </w:tblPr>
      <w:tblGrid>
        <w:gridCol w:w="1060"/>
        <w:gridCol w:w="1980"/>
        <w:gridCol w:w="1300"/>
        <w:gridCol w:w="1756"/>
        <w:gridCol w:w="1124"/>
        <w:gridCol w:w="1900"/>
      </w:tblGrid>
      <w:tr w:rsidR="00C252FD" w:rsidRPr="00C252FD" w14:paraId="2A16BFF1" w14:textId="77777777" w:rsidTr="0047678D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C5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25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公司名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16A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80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公司名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8F9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E6F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公司名</w:t>
            </w:r>
          </w:p>
        </w:tc>
      </w:tr>
      <w:tr w:rsidR="00C252FD" w:rsidRPr="00C252FD" w14:paraId="0AEBA5E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401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安福廷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D6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永赢基金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9C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林崇平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286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BD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辛大伟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76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国君自营</w:t>
            </w:r>
          </w:p>
        </w:tc>
      </w:tr>
      <w:tr w:rsidR="00C252FD" w:rsidRPr="00C252FD" w14:paraId="3415C46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B7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白伊贝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542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途灵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CCD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林君杰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81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弋江投资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FD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邢连云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BDE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江西铜业</w:t>
            </w:r>
          </w:p>
        </w:tc>
      </w:tr>
      <w:tr w:rsidR="00C252FD" w:rsidRPr="00C252FD" w14:paraId="7582FB6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9B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蔡春根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06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人保资产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AA3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林启姜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8F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鑫元基金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C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徐路鹏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C8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中泰证券研究所</w:t>
            </w:r>
          </w:p>
        </w:tc>
      </w:tr>
      <w:tr w:rsidR="00C252FD" w:rsidRPr="00C252FD" w14:paraId="34B9B3EC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84E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曹建飞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1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金辇投资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15B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C3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滚石投资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C4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徐晓杰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95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华泰柏瑞</w:t>
            </w:r>
          </w:p>
        </w:tc>
      </w:tr>
      <w:tr w:rsidR="00C252FD" w:rsidRPr="00C252FD" w14:paraId="2EB8FC33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2B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曹姗姗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338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盘京投资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DA9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林小聪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C6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国泰基金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D6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徐星月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8BE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</w:tr>
      <w:tr w:rsidR="00C252FD" w:rsidRPr="00C252FD" w14:paraId="76DDC44C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F29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柴胜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52D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进门财经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F75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林志宗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8F2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温莎资本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E78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徐稚涵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CA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中泰证券研究所</w:t>
            </w:r>
          </w:p>
        </w:tc>
      </w:tr>
      <w:tr w:rsidR="00C252FD" w:rsidRPr="00C252FD" w14:paraId="7975419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27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陈金伟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D3E" w14:textId="77777777" w:rsidR="00C252FD" w:rsidRPr="00C252FD" w:rsidRDefault="00C252FD" w:rsidP="00D5672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宝盈基金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2C1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CA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BC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7E7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华林证券</w:t>
            </w:r>
          </w:p>
        </w:tc>
      </w:tr>
      <w:tr w:rsidR="00C252FD" w:rsidRPr="00C252FD" w14:paraId="45B9ABB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17F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陈林海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32E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海富通基金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48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51D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兴聚投资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AE0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C42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世真投资</w:t>
            </w:r>
          </w:p>
        </w:tc>
      </w:tr>
      <w:tr w:rsidR="00C252FD" w:rsidRPr="00C252FD" w14:paraId="2C27FAC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510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陈茜茜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CF8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海宸投资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BF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刘盟盟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3F2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天弘基金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18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767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睿亿投资</w:t>
            </w:r>
          </w:p>
        </w:tc>
      </w:tr>
      <w:tr w:rsidR="00C252FD" w:rsidRPr="00C252FD" w14:paraId="5A5C354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FFE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9E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B5C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刘瑞雯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5C9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65B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许蕾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512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南华基金</w:t>
            </w:r>
          </w:p>
        </w:tc>
      </w:tr>
      <w:tr w:rsidR="00C252FD" w:rsidRPr="00C252FD" w14:paraId="4F29836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4C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E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百年保险资管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E3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刘诗瑶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56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浦银安盛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8A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薛莉丽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8DB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淳厚基金</w:t>
            </w:r>
          </w:p>
        </w:tc>
      </w:tr>
      <w:tr w:rsidR="00C252FD" w:rsidRPr="00C252FD" w14:paraId="7CD9F5A8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14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陈友章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69D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中信建投资管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7E8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刘潇潇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D81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607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FF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太平资产</w:t>
            </w:r>
          </w:p>
        </w:tc>
      </w:tr>
      <w:tr w:rsidR="00C252FD" w:rsidRPr="00C252FD" w14:paraId="65E6B6F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22B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D97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52B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刘小瑛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D6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源乘投资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30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严安定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A7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鹏扬基金</w:t>
            </w:r>
          </w:p>
        </w:tc>
      </w:tr>
      <w:tr w:rsidR="00C252FD" w:rsidRPr="00C252FD" w14:paraId="7CEFAB3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0A1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8A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金信基金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1B4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CC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海富通基金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A4A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严洋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6C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于翼投资</w:t>
            </w:r>
          </w:p>
        </w:tc>
      </w:tr>
      <w:tr w:rsidR="00C252FD" w:rsidRPr="00C252FD" w14:paraId="6F8D7DAB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9E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EC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国泰基金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50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刘伊霞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33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纽富斯投资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ED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8D1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金鹰基金</w:t>
            </w:r>
          </w:p>
        </w:tc>
      </w:tr>
      <w:tr w:rsidR="00C252FD" w:rsidRPr="00C252FD" w14:paraId="4F97BC9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7D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池陈森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097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安信基金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01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刘迎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680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4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45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东海基金</w:t>
            </w:r>
          </w:p>
        </w:tc>
      </w:tr>
      <w:tr w:rsidR="00C252FD" w:rsidRPr="00C252FD" w14:paraId="5C9142F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82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仇海鹏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C3A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驭秉投资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DA0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C4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辰阳投资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B8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CE9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国信证券</w:t>
            </w:r>
          </w:p>
        </w:tc>
      </w:tr>
      <w:tr w:rsidR="00C252FD" w:rsidRPr="00C252FD" w14:paraId="46A48E6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C3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储乐延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9B2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兴证自营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E9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DF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565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杨建楠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3CF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建信资产</w:t>
            </w:r>
          </w:p>
        </w:tc>
      </w:tr>
      <w:tr w:rsidR="00C252FD" w:rsidRPr="00C252FD" w14:paraId="46B20F9D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CC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崔宁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B89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东吴人寿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66B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C5C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海通资管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56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杨淋滟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F3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上海农商资管</w:t>
            </w:r>
          </w:p>
        </w:tc>
      </w:tr>
      <w:tr w:rsidR="00C252FD" w:rsidRPr="00C252FD" w14:paraId="66CD19B5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E3A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戴亦舒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8EC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雪石投资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8EA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罗会礼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79C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趣时资产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EB6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C0A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国寿资管</w:t>
            </w:r>
          </w:p>
        </w:tc>
      </w:tr>
      <w:tr w:rsidR="00C252FD" w:rsidRPr="00C252FD" w14:paraId="552E4568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58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戴颖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BA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浙商资管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15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罗垲霖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E0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伏明资产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D8A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杨梦朝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FF1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东方阿尔法基金</w:t>
            </w:r>
          </w:p>
        </w:tc>
      </w:tr>
      <w:tr w:rsidR="00C252FD" w:rsidRPr="00C252FD" w14:paraId="680741E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7E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F8E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华商基金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0C2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A3F" w14:textId="4B7DD6A9" w:rsidR="00C252FD" w:rsidRPr="00C252FD" w:rsidRDefault="00C252FD" w:rsidP="0047678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中信证券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4E5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杨钟男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61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国泰基金</w:t>
            </w:r>
          </w:p>
        </w:tc>
      </w:tr>
      <w:tr w:rsidR="00C252FD" w:rsidRPr="00C252FD" w14:paraId="46825B5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344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邓文强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51B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北信瑞丰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373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8A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江海自营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77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BC2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宝盈</w:t>
            </w:r>
          </w:p>
        </w:tc>
      </w:tr>
      <w:tr w:rsidR="00C252FD" w:rsidRPr="00C252FD" w14:paraId="67A9581D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35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邓韵阳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BA1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永诚财险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882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罗彦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0A6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华宝基金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F18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3B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平安养老保险</w:t>
            </w:r>
          </w:p>
        </w:tc>
      </w:tr>
      <w:tr w:rsidR="00C252FD" w:rsidRPr="00C252FD" w14:paraId="07A2340C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01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82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信泰人寿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EE2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282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淡水泉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662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43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敦和资产</w:t>
            </w:r>
          </w:p>
        </w:tc>
      </w:tr>
      <w:tr w:rsidR="00C252FD" w:rsidRPr="00C252FD" w14:paraId="4D484BAB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51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丁志远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FCA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长江养老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0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吕泽楠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D6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平安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69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叶宇泽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69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北大方正人寿</w:t>
            </w:r>
          </w:p>
        </w:tc>
      </w:tr>
      <w:tr w:rsidR="00C252FD" w:rsidRPr="00C252FD" w14:paraId="39D10F5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4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38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中融基金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98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马成骥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70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九泰基金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24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4F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中信资本</w:t>
            </w:r>
          </w:p>
        </w:tc>
      </w:tr>
      <w:tr w:rsidR="00C252FD" w:rsidRPr="00C252FD" w14:paraId="7342161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6C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段越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30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晟盟资产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FF5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马牧青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F7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建信基金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A81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叶铮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8E1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中信资本</w:t>
            </w:r>
          </w:p>
        </w:tc>
      </w:tr>
      <w:tr w:rsidR="00C252FD" w:rsidRPr="00C252FD" w14:paraId="6B3AACC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A1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樊晓猛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521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申九资产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DF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422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泰达宏利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88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殷萌萌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C92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千合资本</w:t>
            </w:r>
          </w:p>
        </w:tc>
      </w:tr>
      <w:tr w:rsidR="00C252FD" w:rsidRPr="00C252FD" w14:paraId="6A2715B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84E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范晶伟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1F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鹏华基金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1E1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莫小海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92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万家基金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37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应帅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A0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南方</w:t>
            </w:r>
          </w:p>
        </w:tc>
      </w:tr>
      <w:tr w:rsidR="00C252FD" w:rsidRPr="00C252FD" w14:paraId="587611CA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52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方程嫣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A87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D7C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牛品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009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工银安盛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F1D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於震騋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42B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兆天</w:t>
            </w:r>
          </w:p>
        </w:tc>
      </w:tr>
      <w:tr w:rsidR="00C252FD" w:rsidRPr="00C252FD" w14:paraId="4F7648E2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4B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B92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银河基金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F4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欧阳娟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5F7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金鹰基金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C0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余梦珂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D05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华夏基金</w:t>
            </w:r>
          </w:p>
        </w:tc>
      </w:tr>
      <w:tr w:rsidR="00C252FD" w:rsidRPr="00C252FD" w14:paraId="5C80276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78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方溢涵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97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重阳投资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9A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932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阳光资产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AB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余梦珂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96A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华夏基金</w:t>
            </w:r>
          </w:p>
        </w:tc>
      </w:tr>
      <w:tr w:rsidR="00C252FD" w:rsidRPr="00C252FD" w14:paraId="1EA0919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1F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B54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华安资产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F1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钱玲玲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6C9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海通资管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32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余自然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316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中银资管</w:t>
            </w:r>
          </w:p>
        </w:tc>
      </w:tr>
      <w:tr w:rsidR="00C252FD" w:rsidRPr="00C252FD" w14:paraId="1C52D6A8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1EC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冯皓琪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98B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西部利得基金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E8A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钱正昊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CA1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浦银安盛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7D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俞天甲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6B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华泰资管</w:t>
            </w:r>
          </w:p>
        </w:tc>
      </w:tr>
      <w:tr w:rsidR="00C252FD" w:rsidRPr="00C252FD" w14:paraId="4BA13A91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9E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冯时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9F3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汐泰投资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DA5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2F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银华基金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E4E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翟淑星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E52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东方衍生品</w:t>
            </w:r>
          </w:p>
        </w:tc>
      </w:tr>
      <w:tr w:rsidR="00C252FD" w:rsidRPr="00C252FD" w14:paraId="29231DA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82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付鹏飞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93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汇添富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2D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秦苗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52D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中泰证券研究所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887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4A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华泰柏瑞</w:t>
            </w:r>
          </w:p>
        </w:tc>
      </w:tr>
      <w:tr w:rsidR="00C252FD" w:rsidRPr="00C252FD" w14:paraId="1FC6ABB3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957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付禹璇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C3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中泰证券研究所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64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任绍聪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F6D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招商基金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9E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CD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华泰柏瑞</w:t>
            </w:r>
          </w:p>
        </w:tc>
      </w:tr>
      <w:tr w:rsidR="00C252FD" w:rsidRPr="00C252FD" w14:paraId="35CD18C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2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傅晟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612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华富基金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4B3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阮千格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723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DED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张剑鑫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2BB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长江资管</w:t>
            </w:r>
          </w:p>
        </w:tc>
      </w:tr>
      <w:tr w:rsidR="00C252FD" w:rsidRPr="00C252FD" w14:paraId="78D44AE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59F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高靖瑜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096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华富基金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9E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阮帅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00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广州金控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7DC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4CC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</w:tr>
      <w:tr w:rsidR="00C252FD" w:rsidRPr="00C252FD" w14:paraId="31C9CEFB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935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高兰君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BE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国联安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09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申坤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3F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国泰基金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879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张树声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46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国寿养老</w:t>
            </w:r>
          </w:p>
        </w:tc>
      </w:tr>
      <w:tr w:rsidR="00C252FD" w:rsidRPr="00C252FD" w14:paraId="7586B862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2A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2B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5FA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盛夏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30B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凯石基金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1A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A8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神农投资</w:t>
            </w:r>
          </w:p>
        </w:tc>
      </w:tr>
      <w:tr w:rsidR="00C252FD" w:rsidRPr="00C252FD" w14:paraId="6183F5A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B6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56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中信产业基金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FE3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施跃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63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弘毅远方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C1C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99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神农投资</w:t>
            </w:r>
          </w:p>
        </w:tc>
      </w:tr>
      <w:tr w:rsidR="00C252FD" w:rsidRPr="00C252FD" w14:paraId="09E39D0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0FC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顾旭俊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C03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中融汇信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30E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孙慧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51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艾志工业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5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张伟光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EF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长盛基金</w:t>
            </w:r>
          </w:p>
        </w:tc>
      </w:tr>
      <w:tr w:rsidR="00C252FD" w:rsidRPr="00C252FD" w14:paraId="033D9B3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AED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39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华商基金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B70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孙明达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9C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新华基金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3CE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张文平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D47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永安国富</w:t>
            </w:r>
          </w:p>
        </w:tc>
      </w:tr>
      <w:tr w:rsidR="00C252FD" w:rsidRPr="00C252FD" w14:paraId="12C255F1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A8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郭世凯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14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农银汇理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762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孙伟娜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83D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光大永明资管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9D4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B1C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于翼资产</w:t>
            </w:r>
          </w:p>
        </w:tc>
      </w:tr>
      <w:tr w:rsidR="00C252FD" w:rsidRPr="00C252FD" w14:paraId="7672E8B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B8B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郭思捷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5CB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银华基金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4FA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孙卫党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FC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融通基金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74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张贤亮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C2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WT财富管理</w:t>
            </w:r>
          </w:p>
        </w:tc>
      </w:tr>
      <w:tr w:rsidR="00C252FD" w:rsidRPr="00C252FD" w14:paraId="38D92B1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F0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郭相博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F0E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905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孙蔚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916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华商基金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BE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张亚华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E4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鼎锋</w:t>
            </w:r>
          </w:p>
        </w:tc>
      </w:tr>
      <w:tr w:rsidR="00C252FD" w:rsidRPr="00C252FD" w14:paraId="3AC4A83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257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郝晓婧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0A3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燕园资本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F01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孙瑶瑶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A16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5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98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广发基金（上海）</w:t>
            </w:r>
          </w:p>
        </w:tc>
      </w:tr>
      <w:tr w:rsidR="00C252FD" w:rsidRPr="00C252FD" w14:paraId="149D4302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7D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20E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弘毅资管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4D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孙中浩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E9D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博时基金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E8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张亚辉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6B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盛宇投资</w:t>
            </w:r>
          </w:p>
        </w:tc>
      </w:tr>
      <w:tr w:rsidR="00C252FD" w:rsidRPr="00C252FD" w14:paraId="095614F8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6F1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贺佳瑶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2E4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玄元投资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BE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谭飞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602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博远基金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34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张宇麟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8F8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玄卜投资</w:t>
            </w:r>
          </w:p>
        </w:tc>
      </w:tr>
      <w:tr w:rsidR="00C252FD" w:rsidRPr="00C252FD" w14:paraId="07FEA83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E0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洪俊骅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5C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希瓦资产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41A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谭玮康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39E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中睿合银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A8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89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华泰资管固收</w:t>
            </w:r>
          </w:p>
        </w:tc>
      </w:tr>
      <w:tr w:rsidR="00C252FD" w:rsidRPr="00C252FD" w14:paraId="48938F9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3CF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洪喆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0B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慈阳投资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DEA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唐嘉奕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E6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58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赵东宇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85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光大信托</w:t>
            </w:r>
          </w:p>
        </w:tc>
      </w:tr>
      <w:tr w:rsidR="00C252FD" w:rsidRPr="00C252FD" w14:paraId="7473F99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78F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呼荣权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6A0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国联安基金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87A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陶歆蔚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F35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平安养老保险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3D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赵慧妍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60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长江证券</w:t>
            </w:r>
          </w:p>
        </w:tc>
      </w:tr>
      <w:tr w:rsidR="00C252FD" w:rsidRPr="00C252FD" w14:paraId="6A17B5C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37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CBA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红筹投资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C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田川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E0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中欧基金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F8C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赵梅玲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4AB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东吴基金</w:t>
            </w:r>
          </w:p>
        </w:tc>
      </w:tr>
      <w:tr w:rsidR="00C252FD" w:rsidRPr="00C252FD" w14:paraId="7CBCFAB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93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胡德军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4C7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东海基金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0F2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童立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47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华商基金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4F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C1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远策投资</w:t>
            </w:r>
          </w:p>
        </w:tc>
      </w:tr>
      <w:tr w:rsidR="00C252FD" w:rsidRPr="00C252FD" w14:paraId="56610E88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F1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胡云川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71F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恒泰证券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CFE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汪萍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2C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圆信永丰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426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赵晓媛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584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中融信托</w:t>
            </w:r>
          </w:p>
        </w:tc>
      </w:tr>
      <w:tr w:rsidR="00C252FD" w:rsidRPr="00C252FD" w14:paraId="4043A54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B7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黄成扬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598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00C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A3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国泰基金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34C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307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浙商资管</w:t>
            </w:r>
          </w:p>
        </w:tc>
      </w:tr>
      <w:tr w:rsidR="00C252FD" w:rsidRPr="00C252FD" w14:paraId="43AB13FD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FB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DE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翼虎投资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60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086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富国基金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88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赵子华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B9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进门财经</w:t>
            </w:r>
          </w:p>
        </w:tc>
      </w:tr>
      <w:tr w:rsidR="00C252FD" w:rsidRPr="00C252FD" w14:paraId="070BF29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EB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黄向前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29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尚诚资产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9D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王广群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C1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聚鸣投资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C1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赵子淇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C2A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东海基金</w:t>
            </w:r>
          </w:p>
        </w:tc>
      </w:tr>
      <w:tr w:rsidR="00C252FD" w:rsidRPr="00C252FD" w14:paraId="5C835E8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86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黄鋆浩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00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道仁资产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3C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40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广发银行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0D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赵梓峰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50B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途灵</w:t>
            </w:r>
          </w:p>
        </w:tc>
      </w:tr>
      <w:tr w:rsidR="00C252FD" w:rsidRPr="00C252FD" w14:paraId="0415DDA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8B3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黄宗炎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D3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弘毅资管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718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03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广发基金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D6A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郑安国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73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乘安资产</w:t>
            </w:r>
          </w:p>
        </w:tc>
      </w:tr>
      <w:tr w:rsidR="00C252FD" w:rsidRPr="00C252FD" w14:paraId="785FB7DB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BE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季亮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C6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森锦投资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9AE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王瑞冬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549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广发基金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B3D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258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</w:t>
            </w:r>
          </w:p>
        </w:tc>
      </w:tr>
      <w:tr w:rsidR="00C252FD" w:rsidRPr="00C252FD" w14:paraId="2E1C9605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4AA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2A3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华西证券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13E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王瑞杰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B7C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盛宇投资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08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钟贇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37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招商基金</w:t>
            </w:r>
          </w:p>
        </w:tc>
      </w:tr>
      <w:tr w:rsidR="00C252FD" w:rsidRPr="00C252FD" w14:paraId="4C09F91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F3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姜恩铸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3D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富国基金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4F6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王睿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CFC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4B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C7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博时</w:t>
            </w:r>
          </w:p>
        </w:tc>
      </w:tr>
      <w:tr w:rsidR="00C252FD" w:rsidRPr="00C252FD" w14:paraId="47B1415A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61B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解茹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199" w14:textId="78250078" w:rsidR="00C252FD" w:rsidRPr="00C252FD" w:rsidRDefault="00C252FD" w:rsidP="0047678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上海善照投资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E6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F4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A6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周思聪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17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长盛基金</w:t>
            </w:r>
          </w:p>
        </w:tc>
      </w:tr>
      <w:tr w:rsidR="00C252FD" w:rsidRPr="00C252FD" w14:paraId="6BC4810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48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金宏伟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BA5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E7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王晓锋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1C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泰康资产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0E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周思捷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12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国投瑞银基金</w:t>
            </w:r>
          </w:p>
        </w:tc>
      </w:tr>
      <w:tr w:rsidR="00C252FD" w:rsidRPr="00C252FD" w14:paraId="41CDF8E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6A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景莹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9C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民生信托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E2C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EB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长安信托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734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周小新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5D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泽升投资</w:t>
            </w:r>
          </w:p>
        </w:tc>
      </w:tr>
      <w:tr w:rsidR="00C252FD" w:rsidRPr="00C252FD" w14:paraId="6CCD63B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9B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兰兰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8D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中金基金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5B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王雪刚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36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星石投资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AA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周笑雯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F2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泰达宏利</w:t>
            </w:r>
          </w:p>
        </w:tc>
      </w:tr>
      <w:tr w:rsidR="00C252FD" w:rsidRPr="00C252FD" w14:paraId="3AEE5792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17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兰水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BC1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磐厚动量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3EA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王漪昆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826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天治基金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AC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周旭驰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E2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中泰证券资管</w:t>
            </w:r>
          </w:p>
        </w:tc>
      </w:tr>
      <w:tr w:rsidR="00C252FD" w:rsidRPr="00C252FD" w14:paraId="61F31271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421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郎超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C8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鹏华基金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46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王玉英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B7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嘉合基金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D8F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周彦希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30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华融</w:t>
            </w:r>
          </w:p>
        </w:tc>
      </w:tr>
      <w:tr w:rsidR="00C252FD" w:rsidRPr="00C252FD" w14:paraId="398E8D0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42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李柏汗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A44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华宸未来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FE0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D8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财通自营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043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735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财通资管</w:t>
            </w:r>
          </w:p>
        </w:tc>
      </w:tr>
      <w:tr w:rsidR="00C252FD" w:rsidRPr="00C252FD" w14:paraId="6967BE60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221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李柄桦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3F9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由榕资产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6EE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王卓琳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AFD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兴证自营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A4F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朱成凯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635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光大资管</w:t>
            </w:r>
          </w:p>
        </w:tc>
      </w:tr>
      <w:tr w:rsidR="00C252FD" w:rsidRPr="00C252FD" w14:paraId="2322D6F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4F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61A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国寿安保基金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28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卫雯清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47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方正自营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94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62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富国基金</w:t>
            </w:r>
          </w:p>
        </w:tc>
      </w:tr>
      <w:tr w:rsidR="00C252FD" w:rsidRPr="00C252FD" w14:paraId="15E542ED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80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李根林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25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西南自营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AC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魏晓康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BF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中欧基金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20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0F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光大保德信基金</w:t>
            </w:r>
          </w:p>
        </w:tc>
      </w:tr>
      <w:tr w:rsidR="00C252FD" w:rsidRPr="00C252FD" w14:paraId="68866914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DD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李明蔚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10D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D65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温燕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6CB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中加基金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53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朱明睿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AAC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国金资管</w:t>
            </w:r>
          </w:p>
        </w:tc>
      </w:tr>
      <w:tr w:rsidR="00C252FD" w:rsidRPr="00C252FD" w14:paraId="31B3541B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29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李平祝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47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华夏基金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6FD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文惠霞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CE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国都证券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47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F7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中英人寿</w:t>
            </w:r>
          </w:p>
        </w:tc>
      </w:tr>
      <w:tr w:rsidR="00C252FD" w:rsidRPr="00C252FD" w14:paraId="1563E4D1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502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李善欣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2F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工银瑞信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B6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吴秉韬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6E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泰信基金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FC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CF9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兴全基金</w:t>
            </w:r>
          </w:p>
        </w:tc>
      </w:tr>
      <w:tr w:rsidR="00C252FD" w:rsidRPr="00C252FD" w14:paraId="70A5440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20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李石玉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62C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国寿资管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07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吴任昊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EB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中金资管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CAA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庄琰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09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彤源投资</w:t>
            </w:r>
          </w:p>
        </w:tc>
      </w:tr>
      <w:tr w:rsidR="00C252FD" w:rsidRPr="00C252FD" w14:paraId="03B3D6F7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349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BE4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源乘投资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149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吴晓雯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54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中信资管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E38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61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华泰柏瑞</w:t>
            </w:r>
          </w:p>
        </w:tc>
      </w:tr>
      <w:tr w:rsidR="00C252FD" w:rsidRPr="00C252FD" w14:paraId="2BA424AE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1F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李文广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EDF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中银基金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5E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吴雅春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01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杉树资产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56B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12B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观富资产</w:t>
            </w:r>
          </w:p>
        </w:tc>
      </w:tr>
      <w:tr w:rsidR="00C252FD" w:rsidRPr="00C252FD" w14:paraId="54AAE563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FAA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C6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江海自营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D060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吴颖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C79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国寿养老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2F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谢译庆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42F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DZX CAPITAL</w:t>
            </w:r>
          </w:p>
        </w:tc>
      </w:tr>
      <w:tr w:rsidR="00C252FD" w:rsidRPr="00C252FD" w14:paraId="37E452A1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C0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李晓宇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8CA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中科沃土基金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AB9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吴雨静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2A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DZX CAPITAL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14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梁振霆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A1B5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中金资管</w:t>
            </w:r>
          </w:p>
        </w:tc>
      </w:tr>
      <w:tr w:rsidR="00C252FD" w:rsidRPr="00C252FD" w14:paraId="56E294C9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B4F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李欣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6B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中欧基金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B3E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夏芳芳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77AD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于翼资产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CA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廖思特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D2F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东方港湾</w:t>
            </w:r>
          </w:p>
        </w:tc>
      </w:tr>
      <w:tr w:rsidR="00C252FD" w:rsidRPr="00C252FD" w14:paraId="59D43606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B0F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8B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华商基金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543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夏天宇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4708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天风资管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174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肖爱华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6E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平安资产</w:t>
            </w:r>
          </w:p>
        </w:tc>
      </w:tr>
      <w:tr w:rsidR="00C252FD" w:rsidRPr="00C252FD" w14:paraId="540F699F" w14:textId="77777777" w:rsidTr="0047678D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94C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梁静静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9FA2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中海基金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00B1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向秋静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D13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大成基金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D346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谢博涛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3C7" w14:textId="77777777" w:rsidR="00C252FD" w:rsidRPr="00C252FD" w:rsidRDefault="00C252FD" w:rsidP="00C252F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C252F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观富资产</w:t>
            </w:r>
          </w:p>
        </w:tc>
      </w:tr>
    </w:tbl>
    <w:p w14:paraId="6E53D8AB" w14:textId="77777777" w:rsidR="00941429" w:rsidRDefault="00941429" w:rsidP="00941429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</w:p>
    <w:sectPr w:rsidR="009414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8F3D" w14:textId="77777777" w:rsidR="00DD5165" w:rsidRDefault="00DD5165">
      <w:r>
        <w:separator/>
      </w:r>
    </w:p>
  </w:endnote>
  <w:endnote w:type="continuationSeparator" w:id="0">
    <w:p w14:paraId="062507BB" w14:textId="77777777" w:rsidR="00DD5165" w:rsidRDefault="00D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426334"/>
    </w:sdtPr>
    <w:sdtContent>
      <w:sdt>
        <w:sdtPr>
          <w:id w:val="98381352"/>
        </w:sdtPr>
        <w:sdtContent>
          <w:p w14:paraId="3FD0F94E" w14:textId="77777777" w:rsidR="00824B3A" w:rsidRDefault="00824B3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4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0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8E94C" w14:textId="77777777" w:rsidR="00824B3A" w:rsidRDefault="00824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5104" w14:textId="77777777" w:rsidR="00DD5165" w:rsidRDefault="00DD5165">
      <w:r>
        <w:separator/>
      </w:r>
    </w:p>
  </w:footnote>
  <w:footnote w:type="continuationSeparator" w:id="0">
    <w:p w14:paraId="3D0FDCC2" w14:textId="77777777" w:rsidR="00DD5165" w:rsidRDefault="00DD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C"/>
    <w:rsid w:val="00052F36"/>
    <w:rsid w:val="000554E9"/>
    <w:rsid w:val="00056536"/>
    <w:rsid w:val="000701F2"/>
    <w:rsid w:val="00081172"/>
    <w:rsid w:val="00085028"/>
    <w:rsid w:val="0009016C"/>
    <w:rsid w:val="00091B16"/>
    <w:rsid w:val="0009292B"/>
    <w:rsid w:val="000A0B7D"/>
    <w:rsid w:val="000B088F"/>
    <w:rsid w:val="000C33BA"/>
    <w:rsid w:val="000D2A16"/>
    <w:rsid w:val="00104FB8"/>
    <w:rsid w:val="001177BF"/>
    <w:rsid w:val="00126700"/>
    <w:rsid w:val="00140461"/>
    <w:rsid w:val="001404C1"/>
    <w:rsid w:val="00151407"/>
    <w:rsid w:val="0015748D"/>
    <w:rsid w:val="00163870"/>
    <w:rsid w:val="001644F3"/>
    <w:rsid w:val="001703CE"/>
    <w:rsid w:val="00171247"/>
    <w:rsid w:val="00187B5F"/>
    <w:rsid w:val="00187F61"/>
    <w:rsid w:val="001A15A9"/>
    <w:rsid w:val="001A2CC0"/>
    <w:rsid w:val="001B4205"/>
    <w:rsid w:val="001B5A7A"/>
    <w:rsid w:val="001B6B8F"/>
    <w:rsid w:val="001B6EC7"/>
    <w:rsid w:val="001C2F4E"/>
    <w:rsid w:val="001D136F"/>
    <w:rsid w:val="001D4A64"/>
    <w:rsid w:val="001F242B"/>
    <w:rsid w:val="0022544C"/>
    <w:rsid w:val="00226993"/>
    <w:rsid w:val="00235853"/>
    <w:rsid w:val="002514A5"/>
    <w:rsid w:val="00260706"/>
    <w:rsid w:val="00265474"/>
    <w:rsid w:val="00274E44"/>
    <w:rsid w:val="002B4941"/>
    <w:rsid w:val="002C4A9A"/>
    <w:rsid w:val="002D700A"/>
    <w:rsid w:val="002D79A1"/>
    <w:rsid w:val="002E51A5"/>
    <w:rsid w:val="002E78FB"/>
    <w:rsid w:val="002F1D12"/>
    <w:rsid w:val="002F1EA0"/>
    <w:rsid w:val="00340136"/>
    <w:rsid w:val="00355B54"/>
    <w:rsid w:val="003606E0"/>
    <w:rsid w:val="00396CCE"/>
    <w:rsid w:val="003C0B07"/>
    <w:rsid w:val="003D4EA2"/>
    <w:rsid w:val="003D7F3F"/>
    <w:rsid w:val="00403763"/>
    <w:rsid w:val="004067F4"/>
    <w:rsid w:val="004324D6"/>
    <w:rsid w:val="00443EED"/>
    <w:rsid w:val="0044535E"/>
    <w:rsid w:val="00445C40"/>
    <w:rsid w:val="00456001"/>
    <w:rsid w:val="00462206"/>
    <w:rsid w:val="00465029"/>
    <w:rsid w:val="00471704"/>
    <w:rsid w:val="0047678D"/>
    <w:rsid w:val="00481B42"/>
    <w:rsid w:val="00487A1A"/>
    <w:rsid w:val="00494DB8"/>
    <w:rsid w:val="004A37B4"/>
    <w:rsid w:val="004B048F"/>
    <w:rsid w:val="004B3CA7"/>
    <w:rsid w:val="004B4C03"/>
    <w:rsid w:val="004B57DC"/>
    <w:rsid w:val="004E1CBB"/>
    <w:rsid w:val="004E4141"/>
    <w:rsid w:val="004E5DD9"/>
    <w:rsid w:val="004E6A3D"/>
    <w:rsid w:val="004F1376"/>
    <w:rsid w:val="004F7891"/>
    <w:rsid w:val="00503348"/>
    <w:rsid w:val="00544A55"/>
    <w:rsid w:val="005511F7"/>
    <w:rsid w:val="005663C1"/>
    <w:rsid w:val="005746FB"/>
    <w:rsid w:val="00592907"/>
    <w:rsid w:val="0059799A"/>
    <w:rsid w:val="005A541C"/>
    <w:rsid w:val="005B5EC3"/>
    <w:rsid w:val="005C4514"/>
    <w:rsid w:val="005C76A0"/>
    <w:rsid w:val="005F7A4E"/>
    <w:rsid w:val="0060009A"/>
    <w:rsid w:val="0060200B"/>
    <w:rsid w:val="00611AF1"/>
    <w:rsid w:val="006140A7"/>
    <w:rsid w:val="00635656"/>
    <w:rsid w:val="00635B9F"/>
    <w:rsid w:val="00656ECA"/>
    <w:rsid w:val="006626C2"/>
    <w:rsid w:val="00677C9A"/>
    <w:rsid w:val="006818D6"/>
    <w:rsid w:val="00691D6B"/>
    <w:rsid w:val="006C2699"/>
    <w:rsid w:val="006D142D"/>
    <w:rsid w:val="006D19F5"/>
    <w:rsid w:val="006D24A8"/>
    <w:rsid w:val="006D729F"/>
    <w:rsid w:val="00702156"/>
    <w:rsid w:val="00710622"/>
    <w:rsid w:val="00717A05"/>
    <w:rsid w:val="00723C3E"/>
    <w:rsid w:val="00723DE3"/>
    <w:rsid w:val="00730CA2"/>
    <w:rsid w:val="00762642"/>
    <w:rsid w:val="00773204"/>
    <w:rsid w:val="00776DE6"/>
    <w:rsid w:val="00785613"/>
    <w:rsid w:val="007A40FE"/>
    <w:rsid w:val="007B0196"/>
    <w:rsid w:val="007B1FF4"/>
    <w:rsid w:val="007B3286"/>
    <w:rsid w:val="007B6205"/>
    <w:rsid w:val="007D1CB1"/>
    <w:rsid w:val="007E0E38"/>
    <w:rsid w:val="007F162A"/>
    <w:rsid w:val="007F7BEC"/>
    <w:rsid w:val="008015F7"/>
    <w:rsid w:val="008037C8"/>
    <w:rsid w:val="00807ACC"/>
    <w:rsid w:val="00813430"/>
    <w:rsid w:val="00814EEA"/>
    <w:rsid w:val="00816390"/>
    <w:rsid w:val="00823306"/>
    <w:rsid w:val="00824357"/>
    <w:rsid w:val="00824B3A"/>
    <w:rsid w:val="0082553C"/>
    <w:rsid w:val="00853695"/>
    <w:rsid w:val="00863028"/>
    <w:rsid w:val="0087371B"/>
    <w:rsid w:val="00877E29"/>
    <w:rsid w:val="008B1B57"/>
    <w:rsid w:val="008B4A16"/>
    <w:rsid w:val="008B671E"/>
    <w:rsid w:val="008C0AEE"/>
    <w:rsid w:val="008C206E"/>
    <w:rsid w:val="008C73E6"/>
    <w:rsid w:val="008E2CEA"/>
    <w:rsid w:val="00941429"/>
    <w:rsid w:val="00957097"/>
    <w:rsid w:val="00963A10"/>
    <w:rsid w:val="009669D8"/>
    <w:rsid w:val="00975C1B"/>
    <w:rsid w:val="00977C9C"/>
    <w:rsid w:val="009A23F2"/>
    <w:rsid w:val="009A760A"/>
    <w:rsid w:val="009C0AFF"/>
    <w:rsid w:val="009C74C1"/>
    <w:rsid w:val="009D28F2"/>
    <w:rsid w:val="009D57B4"/>
    <w:rsid w:val="00A17384"/>
    <w:rsid w:val="00A21A18"/>
    <w:rsid w:val="00A3008D"/>
    <w:rsid w:val="00A4402A"/>
    <w:rsid w:val="00A51F71"/>
    <w:rsid w:val="00A54385"/>
    <w:rsid w:val="00A54785"/>
    <w:rsid w:val="00A54D37"/>
    <w:rsid w:val="00A5696C"/>
    <w:rsid w:val="00A56F56"/>
    <w:rsid w:val="00A677BD"/>
    <w:rsid w:val="00A70258"/>
    <w:rsid w:val="00A72968"/>
    <w:rsid w:val="00AB1EB2"/>
    <w:rsid w:val="00AC6CFD"/>
    <w:rsid w:val="00AD0852"/>
    <w:rsid w:val="00AD0F5C"/>
    <w:rsid w:val="00AE2C54"/>
    <w:rsid w:val="00AE3CE8"/>
    <w:rsid w:val="00B379C5"/>
    <w:rsid w:val="00B40F14"/>
    <w:rsid w:val="00B42C07"/>
    <w:rsid w:val="00B5115A"/>
    <w:rsid w:val="00B51280"/>
    <w:rsid w:val="00B61F52"/>
    <w:rsid w:val="00B61F94"/>
    <w:rsid w:val="00B65EB7"/>
    <w:rsid w:val="00B701B2"/>
    <w:rsid w:val="00B73227"/>
    <w:rsid w:val="00B73FCC"/>
    <w:rsid w:val="00B935F0"/>
    <w:rsid w:val="00B9769B"/>
    <w:rsid w:val="00BA0861"/>
    <w:rsid w:val="00BA1C45"/>
    <w:rsid w:val="00BB1D0C"/>
    <w:rsid w:val="00BB3828"/>
    <w:rsid w:val="00BB5883"/>
    <w:rsid w:val="00BC0238"/>
    <w:rsid w:val="00BC76E9"/>
    <w:rsid w:val="00BC7737"/>
    <w:rsid w:val="00BD430C"/>
    <w:rsid w:val="00BE26F6"/>
    <w:rsid w:val="00BE47D5"/>
    <w:rsid w:val="00BF1E7C"/>
    <w:rsid w:val="00C02965"/>
    <w:rsid w:val="00C04DD5"/>
    <w:rsid w:val="00C07566"/>
    <w:rsid w:val="00C11807"/>
    <w:rsid w:val="00C206B2"/>
    <w:rsid w:val="00C2513C"/>
    <w:rsid w:val="00C252FD"/>
    <w:rsid w:val="00C33E7B"/>
    <w:rsid w:val="00C63A60"/>
    <w:rsid w:val="00C652B3"/>
    <w:rsid w:val="00C66D0C"/>
    <w:rsid w:val="00C73FAD"/>
    <w:rsid w:val="00C84D79"/>
    <w:rsid w:val="00CB24B7"/>
    <w:rsid w:val="00CB3478"/>
    <w:rsid w:val="00CC28E5"/>
    <w:rsid w:val="00CC2A02"/>
    <w:rsid w:val="00CC5B5B"/>
    <w:rsid w:val="00CD0690"/>
    <w:rsid w:val="00CE4C44"/>
    <w:rsid w:val="00CF5514"/>
    <w:rsid w:val="00CF642A"/>
    <w:rsid w:val="00D0786D"/>
    <w:rsid w:val="00D1369D"/>
    <w:rsid w:val="00D27800"/>
    <w:rsid w:val="00D44336"/>
    <w:rsid w:val="00D537B6"/>
    <w:rsid w:val="00D5672E"/>
    <w:rsid w:val="00D63106"/>
    <w:rsid w:val="00D831AA"/>
    <w:rsid w:val="00D918D6"/>
    <w:rsid w:val="00DA1C1F"/>
    <w:rsid w:val="00DA1F69"/>
    <w:rsid w:val="00DA583E"/>
    <w:rsid w:val="00DA5B5C"/>
    <w:rsid w:val="00DB2AEE"/>
    <w:rsid w:val="00DB3507"/>
    <w:rsid w:val="00DD2FE0"/>
    <w:rsid w:val="00DD5165"/>
    <w:rsid w:val="00DE3988"/>
    <w:rsid w:val="00DE664E"/>
    <w:rsid w:val="00DE71A2"/>
    <w:rsid w:val="00E00C45"/>
    <w:rsid w:val="00E02C94"/>
    <w:rsid w:val="00E110AE"/>
    <w:rsid w:val="00E30AC2"/>
    <w:rsid w:val="00E35A23"/>
    <w:rsid w:val="00E42D95"/>
    <w:rsid w:val="00E462D2"/>
    <w:rsid w:val="00E54841"/>
    <w:rsid w:val="00E563E9"/>
    <w:rsid w:val="00E6047D"/>
    <w:rsid w:val="00E71683"/>
    <w:rsid w:val="00E7284D"/>
    <w:rsid w:val="00E829D6"/>
    <w:rsid w:val="00E94192"/>
    <w:rsid w:val="00EA601A"/>
    <w:rsid w:val="00ED0A50"/>
    <w:rsid w:val="00ED2590"/>
    <w:rsid w:val="00ED3EBF"/>
    <w:rsid w:val="00ED695E"/>
    <w:rsid w:val="00EE34FC"/>
    <w:rsid w:val="00EE585F"/>
    <w:rsid w:val="00EF526C"/>
    <w:rsid w:val="00F1547A"/>
    <w:rsid w:val="00F22D1B"/>
    <w:rsid w:val="00F24388"/>
    <w:rsid w:val="00F251BA"/>
    <w:rsid w:val="00F25D03"/>
    <w:rsid w:val="00F314C8"/>
    <w:rsid w:val="00F35A3C"/>
    <w:rsid w:val="00F42198"/>
    <w:rsid w:val="00F469BB"/>
    <w:rsid w:val="00F563A7"/>
    <w:rsid w:val="00F63323"/>
    <w:rsid w:val="00F74968"/>
    <w:rsid w:val="00F8647D"/>
    <w:rsid w:val="00F919B9"/>
    <w:rsid w:val="00F9258C"/>
    <w:rsid w:val="00FA2D27"/>
    <w:rsid w:val="00FA6BE3"/>
    <w:rsid w:val="00FA72A1"/>
    <w:rsid w:val="00FC334A"/>
    <w:rsid w:val="00FC4D13"/>
    <w:rsid w:val="00FC5674"/>
    <w:rsid w:val="00FD2509"/>
    <w:rsid w:val="00FD57F3"/>
    <w:rsid w:val="00FE4EDE"/>
    <w:rsid w:val="02411627"/>
    <w:rsid w:val="08477959"/>
    <w:rsid w:val="0AB86089"/>
    <w:rsid w:val="130B1B2E"/>
    <w:rsid w:val="137A5FA4"/>
    <w:rsid w:val="17DE5B91"/>
    <w:rsid w:val="19227465"/>
    <w:rsid w:val="1C26729B"/>
    <w:rsid w:val="24841B2E"/>
    <w:rsid w:val="2F7E78D6"/>
    <w:rsid w:val="2FCE63E2"/>
    <w:rsid w:val="399E05EF"/>
    <w:rsid w:val="3AB504E7"/>
    <w:rsid w:val="56F27ECE"/>
    <w:rsid w:val="5C047A2B"/>
    <w:rsid w:val="5EB76DFD"/>
    <w:rsid w:val="600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15B0"/>
  <w15:docId w15:val="{9996FB07-59AF-4FDD-A264-F44AB94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C3A51-D832-400D-A8E1-962D426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</dc:creator>
  <cp:lastModifiedBy>ty</cp:lastModifiedBy>
  <cp:revision>6</cp:revision>
  <cp:lastPrinted>2020-04-27T07:17:00Z</cp:lastPrinted>
  <dcterms:created xsi:type="dcterms:W3CDTF">2020-04-27T08:22:00Z</dcterms:created>
  <dcterms:modified xsi:type="dcterms:W3CDTF">2020-04-27T09:02:00Z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