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66B" w:rsidRDefault="00D1169D" w:rsidP="00F9442F">
      <w:pPr>
        <w:spacing w:beforeLines="50" w:afterLines="50" w:line="400" w:lineRule="exact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宋体" w:hint="eastAsia"/>
          <w:bCs/>
          <w:iCs/>
          <w:color w:val="000000"/>
          <w:sz w:val="24"/>
        </w:rPr>
        <w:t>证券代码：</w:t>
      </w:r>
      <w:r>
        <w:rPr>
          <w:rFonts w:ascii="Times New Roman" w:hAnsi="Times New Roman" w:hint="eastAsia"/>
          <w:bCs/>
          <w:iCs/>
          <w:color w:val="000000"/>
          <w:sz w:val="24"/>
        </w:rPr>
        <w:t xml:space="preserve">002036                                   </w:t>
      </w:r>
      <w:r>
        <w:rPr>
          <w:rFonts w:ascii="Times New Roman" w:hAnsi="宋体" w:hint="eastAsia"/>
          <w:bCs/>
          <w:iCs/>
          <w:color w:val="000000"/>
          <w:sz w:val="24"/>
        </w:rPr>
        <w:t>证券简称：联创电子</w:t>
      </w:r>
    </w:p>
    <w:p w:rsidR="0047366B" w:rsidRDefault="00D1169D" w:rsidP="00F9442F">
      <w:pPr>
        <w:spacing w:beforeLines="50" w:afterLines="50" w:line="400" w:lineRule="exact"/>
        <w:rPr>
          <w:rFonts w:ascii="Times New Roman" w:hAnsi="宋体"/>
          <w:bCs/>
          <w:iCs/>
          <w:color w:val="000000"/>
          <w:sz w:val="24"/>
        </w:rPr>
      </w:pPr>
      <w:r>
        <w:rPr>
          <w:rFonts w:ascii="Times New Roman" w:hAnsi="宋体" w:hint="eastAsia"/>
          <w:bCs/>
          <w:iCs/>
          <w:color w:val="000000"/>
          <w:sz w:val="24"/>
        </w:rPr>
        <w:t>债券代码：</w:t>
      </w:r>
      <w:r>
        <w:rPr>
          <w:rFonts w:ascii="Times New Roman" w:hAnsi="宋体" w:hint="eastAsia"/>
          <w:bCs/>
          <w:iCs/>
          <w:color w:val="000000"/>
          <w:sz w:val="24"/>
        </w:rPr>
        <w:t xml:space="preserve">112684                                   </w:t>
      </w:r>
      <w:r>
        <w:rPr>
          <w:rFonts w:ascii="Times New Roman" w:hAnsi="宋体" w:hint="eastAsia"/>
          <w:bCs/>
          <w:iCs/>
          <w:color w:val="000000"/>
          <w:sz w:val="24"/>
        </w:rPr>
        <w:t>债券简称：</w:t>
      </w:r>
      <w:r>
        <w:rPr>
          <w:rFonts w:ascii="Times New Roman" w:hAnsi="宋体" w:hint="eastAsia"/>
          <w:bCs/>
          <w:iCs/>
          <w:color w:val="000000"/>
          <w:sz w:val="24"/>
        </w:rPr>
        <w:t>18</w:t>
      </w:r>
      <w:r>
        <w:rPr>
          <w:rFonts w:ascii="Times New Roman" w:hAnsi="宋体" w:hint="eastAsia"/>
          <w:bCs/>
          <w:iCs/>
          <w:color w:val="000000"/>
          <w:sz w:val="24"/>
        </w:rPr>
        <w:t>联创债</w:t>
      </w:r>
      <w:r>
        <w:rPr>
          <w:rFonts w:ascii="Times New Roman" w:hAnsi="宋体" w:hint="eastAsia"/>
          <w:bCs/>
          <w:iCs/>
          <w:color w:val="000000"/>
          <w:sz w:val="24"/>
        </w:rPr>
        <w:t xml:space="preserve"> </w:t>
      </w:r>
    </w:p>
    <w:p w:rsidR="0047366B" w:rsidRDefault="00D1169D" w:rsidP="00F9442F">
      <w:pPr>
        <w:spacing w:beforeLines="50" w:afterLines="50" w:line="400" w:lineRule="exact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宋体" w:hint="eastAsia"/>
          <w:bCs/>
          <w:iCs/>
          <w:color w:val="000000"/>
          <w:sz w:val="24"/>
        </w:rPr>
        <w:t>债券代码：</w:t>
      </w:r>
      <w:r>
        <w:rPr>
          <w:rFonts w:ascii="Times New Roman" w:hAnsi="宋体" w:hint="eastAsia"/>
          <w:bCs/>
          <w:iCs/>
          <w:color w:val="000000"/>
          <w:sz w:val="24"/>
        </w:rPr>
        <w:t xml:space="preserve">128101                                   </w:t>
      </w:r>
      <w:r>
        <w:rPr>
          <w:rFonts w:ascii="Times New Roman" w:hAnsi="宋体" w:hint="eastAsia"/>
          <w:bCs/>
          <w:iCs/>
          <w:color w:val="000000"/>
          <w:sz w:val="24"/>
        </w:rPr>
        <w:t>债券简称：联创转债</w:t>
      </w:r>
    </w:p>
    <w:p w:rsidR="0047366B" w:rsidRDefault="00D1169D" w:rsidP="00F9442F">
      <w:pPr>
        <w:spacing w:beforeLines="50" w:afterLines="50" w:line="400" w:lineRule="exact"/>
        <w:jc w:val="center"/>
        <w:rPr>
          <w:rFonts w:ascii="Times New Roman" w:eastAsia="微软雅黑" w:hAnsi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微软雅黑" w:hAnsi="微软雅黑" w:hint="eastAsia"/>
          <w:b/>
          <w:bCs/>
          <w:iCs/>
          <w:color w:val="000000"/>
          <w:sz w:val="32"/>
          <w:szCs w:val="32"/>
        </w:rPr>
        <w:t>联创电子科技股份有限公司</w:t>
      </w:r>
    </w:p>
    <w:p w:rsidR="0047366B" w:rsidRDefault="00D1169D" w:rsidP="00F9442F">
      <w:pPr>
        <w:spacing w:beforeLines="50" w:afterLines="50" w:line="400" w:lineRule="exact"/>
        <w:jc w:val="center"/>
        <w:rPr>
          <w:rFonts w:ascii="Times New Roman" w:eastAsia="微软雅黑" w:hAnsi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微软雅黑" w:hAnsi="微软雅黑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47366B" w:rsidRDefault="00D1169D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宋体" w:hint="eastAsia"/>
          <w:bCs/>
          <w:iCs/>
          <w:color w:val="000000"/>
          <w:sz w:val="24"/>
        </w:rPr>
        <w:t>编号：</w:t>
      </w:r>
      <w:r>
        <w:rPr>
          <w:rFonts w:ascii="Times New Roman" w:hAnsi="Times New Roman" w:hint="eastAsia"/>
          <w:bCs/>
          <w:iCs/>
          <w:color w:val="000000"/>
          <w:sz w:val="24"/>
        </w:rPr>
        <w:t>2020-004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6614"/>
      </w:tblGrid>
      <w:tr w:rsidR="0047366B">
        <w:tc>
          <w:tcPr>
            <w:tcW w:w="1908" w:type="dxa"/>
          </w:tcPr>
          <w:p w:rsidR="0047366B" w:rsidRDefault="00D1169D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47366B" w:rsidRDefault="0047366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47366B" w:rsidRDefault="00D11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特定对象调研</w:t>
            </w:r>
            <w:r>
              <w:rPr>
                <w:rFonts w:ascii="Times New Roman" w:hAnsi="宋体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分析师会议</w:t>
            </w:r>
          </w:p>
          <w:p w:rsidR="0047366B" w:rsidRDefault="00D1169D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媒体采访</w:t>
            </w:r>
            <w:r>
              <w:rPr>
                <w:rFonts w:ascii="Times New Roman" w:hAnsi="宋体" w:hint="eastAsia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业绩说明会</w:t>
            </w:r>
          </w:p>
          <w:p w:rsidR="0047366B" w:rsidRDefault="00D1169D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新闻发布会</w:t>
            </w:r>
            <w:r>
              <w:rPr>
                <w:rFonts w:ascii="Times New Roman" w:hAnsi="宋体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路演活动</w:t>
            </w:r>
          </w:p>
          <w:p w:rsidR="0047366B" w:rsidRDefault="00D1169D">
            <w:pPr>
              <w:tabs>
                <w:tab w:val="left" w:pos="2925"/>
                <w:tab w:val="center" w:pos="3199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现场参观</w:t>
            </w:r>
          </w:p>
          <w:p w:rsidR="0047366B" w:rsidRDefault="00D1169D">
            <w:pPr>
              <w:tabs>
                <w:tab w:val="center" w:pos="3199"/>
              </w:tabs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sym w:font="Wingdings 2" w:char="0052"/>
            </w:r>
            <w:r>
              <w:rPr>
                <w:rFonts w:ascii="Times New Roman" w:hAnsi="宋体" w:hint="eastAsia"/>
                <w:b/>
                <w:sz w:val="24"/>
              </w:rPr>
              <w:t>其他（</w:t>
            </w:r>
            <w:r>
              <w:rPr>
                <w:rFonts w:ascii="Times New Roman" w:hAnsi="宋体" w:hint="eastAsia"/>
                <w:b/>
                <w:sz w:val="24"/>
                <w:u w:val="single"/>
              </w:rPr>
              <w:t>电话会议）</w:t>
            </w:r>
          </w:p>
        </w:tc>
      </w:tr>
      <w:tr w:rsidR="0047366B">
        <w:tc>
          <w:tcPr>
            <w:tcW w:w="1908" w:type="dxa"/>
          </w:tcPr>
          <w:p w:rsidR="0047366B" w:rsidRDefault="00D1169D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参与单位名称、国家和地区</w:t>
            </w:r>
          </w:p>
        </w:tc>
        <w:tc>
          <w:tcPr>
            <w:tcW w:w="6614" w:type="dxa"/>
          </w:tcPr>
          <w:tbl>
            <w:tblPr>
              <w:tblW w:w="5000" w:type="pct"/>
              <w:tblLook w:val="04A0"/>
            </w:tblPr>
            <w:tblGrid>
              <w:gridCol w:w="781"/>
              <w:gridCol w:w="2126"/>
              <w:gridCol w:w="3481"/>
            </w:tblGrid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27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公司名称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王芳、</w:t>
                  </w:r>
                  <w:r>
                    <w:rPr>
                      <w:rFonts w:asciiTheme="minorEastAsia" w:eastAsiaTheme="minorEastAsia" w:hAnsiTheme="minorEastAsia" w:cs="Arial" w:hint="eastAsia"/>
                      <w:kern w:val="0"/>
                      <w:szCs w:val="21"/>
                    </w:rPr>
                    <w:t>陈海进、</w:t>
                  </w: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胡独巍、陈海进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民生证券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孙恺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上海侏罗纪资产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刘玥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上海铭深资产管理有限公司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吴琳娜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东吴人寿保险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杨红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东海基金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刘一隆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银华基金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吴若宗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淳厚基金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鲁嘉琪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中国人寿养老保险股份有限公司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李荣庆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中泰证券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周梦婕、王泉涌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中海基金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陶星言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信诚基金管理有限公司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会议室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兴业基金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高鹏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兴银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胡毅发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前海联合基金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刘书峻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北京擎天普瑞明投资管理有限公司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单河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北京泽铭投资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魏玉波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华夏久盈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王帅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华富基金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颜媛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嘉实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张伟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国华人寿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魏博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塔基资产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周楷宁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天弘基金管理有限公司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祁禾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易方达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朱剑胜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汇丰晋信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张东华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泰山保险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秦闻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浦银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及晶晶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海通自营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王莉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盘京投资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霍衍桥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矩阵投资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孙小明、朱红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诺德基金</w:t>
                  </w:r>
                </w:p>
              </w:tc>
            </w:tr>
            <w:tr w:rsidR="0047366B">
              <w:trPr>
                <w:trHeight w:val="20"/>
              </w:trPr>
              <w:tc>
                <w:tcPr>
                  <w:tcW w:w="6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366B" w:rsidRDefault="00D1169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1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何增华</w:t>
                  </w:r>
                </w:p>
              </w:tc>
              <w:tc>
                <w:tcPr>
                  <w:tcW w:w="2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366B" w:rsidRDefault="00D1169D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Arial"/>
                      <w:kern w:val="0"/>
                      <w:szCs w:val="21"/>
                    </w:rPr>
                    <w:t>长安基金管理有限公司</w:t>
                  </w:r>
                </w:p>
              </w:tc>
            </w:tr>
          </w:tbl>
          <w:p w:rsidR="0047366B" w:rsidRDefault="0047366B">
            <w:pP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</w:p>
          <w:p w:rsidR="0047366B" w:rsidRDefault="00D1169D"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/>
                <w:bCs/>
                <w:i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int="eastAsia"/>
                <w:bCs/>
                <w:iCs/>
                <w:color w:val="000000"/>
                <w:kern w:val="0"/>
                <w:sz w:val="24"/>
              </w:rPr>
              <w:t>以上</w:t>
            </w:r>
            <w:r>
              <w:rPr>
                <w:rFonts w:ascii="Times New Roman"/>
                <w:bCs/>
                <w:iCs/>
                <w:color w:val="000000"/>
                <w:kern w:val="0"/>
                <w:sz w:val="24"/>
              </w:rPr>
              <w:t>排名不分先后）</w:t>
            </w:r>
          </w:p>
        </w:tc>
      </w:tr>
      <w:tr w:rsidR="0047366B">
        <w:tc>
          <w:tcPr>
            <w:tcW w:w="1908" w:type="dxa"/>
          </w:tcPr>
          <w:p w:rsidR="0047366B" w:rsidRDefault="00D1169D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</w:tcPr>
          <w:p w:rsidR="0047366B" w:rsidRDefault="00D1169D">
            <w:pPr>
              <w:spacing w:line="4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2020</w:t>
            </w:r>
            <w:r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28</w:t>
            </w:r>
            <w:r>
              <w:rPr>
                <w:rFonts w:ascii="Times New Roman" w:hAnsi="宋体" w:hint="eastAsia"/>
                <w:sz w:val="24"/>
              </w:rPr>
              <w:t>日</w:t>
            </w:r>
            <w:r>
              <w:rPr>
                <w:rFonts w:ascii="Times New Roman" w:hAnsi="Times New Roman" w:hint="eastAsia"/>
                <w:sz w:val="24"/>
              </w:rPr>
              <w:t>10</w:t>
            </w:r>
            <w:r>
              <w:rPr>
                <w:rFonts w:ascii="Times New Roman" w:hAnsi="宋体" w:hint="eastAsia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00-11</w:t>
            </w:r>
            <w:r>
              <w:rPr>
                <w:rFonts w:ascii="Times New Roman" w:hAnsi="宋体" w:hint="eastAsia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00</w:t>
            </w:r>
          </w:p>
        </w:tc>
      </w:tr>
      <w:tr w:rsidR="0047366B">
        <w:trPr>
          <w:trHeight w:val="455"/>
        </w:trPr>
        <w:tc>
          <w:tcPr>
            <w:tcW w:w="1908" w:type="dxa"/>
          </w:tcPr>
          <w:p w:rsidR="0047366B" w:rsidRDefault="00D1169D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47366B" w:rsidRDefault="00D1169D">
            <w:pPr>
              <w:spacing w:line="4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联创电子总部办公室</w:t>
            </w:r>
          </w:p>
        </w:tc>
      </w:tr>
      <w:tr w:rsidR="0047366B">
        <w:trPr>
          <w:trHeight w:val="965"/>
        </w:trPr>
        <w:tc>
          <w:tcPr>
            <w:tcW w:w="1908" w:type="dxa"/>
          </w:tcPr>
          <w:p w:rsidR="0047366B" w:rsidRDefault="00D1169D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47366B" w:rsidRDefault="00D1169D">
            <w:pPr>
              <w:spacing w:line="4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曾吉勇（联席总裁）、罗顺根（副总裁、财务总监）、饶威（副总裁、董事会秘书）</w:t>
            </w:r>
          </w:p>
        </w:tc>
      </w:tr>
      <w:tr w:rsidR="0047366B">
        <w:trPr>
          <w:trHeight w:val="547"/>
        </w:trPr>
        <w:tc>
          <w:tcPr>
            <w:tcW w:w="1908" w:type="dxa"/>
            <w:vAlign w:val="center"/>
          </w:tcPr>
          <w:p w:rsidR="0047366B" w:rsidRDefault="00D1169D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7366B" w:rsidRDefault="0047366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47366B" w:rsidRDefault="00D1169D">
            <w:pPr>
              <w:spacing w:line="360" w:lineRule="auto"/>
              <w:ind w:right="-70" w:firstLineChars="200" w:firstLine="480"/>
              <w:rPr>
                <w:rFonts w:ascii="Times New Roman" w:hAnsi="宋体" w:cs="宋体"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</w:rPr>
              <w:t>副总裁、董事会秘书饶威先生主持本次活动，与会人员采用电话会议形式进行了沟通，具体内容如下：</w:t>
            </w:r>
          </w:p>
          <w:p w:rsidR="0047366B" w:rsidRDefault="0047366B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  <w:p w:rsidR="0047366B" w:rsidRDefault="00D1169D">
            <w:pPr>
              <w:spacing w:line="360" w:lineRule="auto"/>
              <w:ind w:right="-70"/>
              <w:rPr>
                <w:rFonts w:ascii="Times New Roman" w:hAnsi="宋体" w:cs="宋体"/>
                <w:b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一、联创电子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2019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年年报及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2020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年一季报情况</w:t>
            </w:r>
          </w:p>
          <w:p w:rsidR="0047366B" w:rsidRDefault="00D1169D">
            <w:pPr>
              <w:spacing w:line="360" w:lineRule="auto"/>
              <w:ind w:right="-68" w:firstLineChars="200" w:firstLine="482"/>
              <w:rPr>
                <w:rFonts w:ascii="Times New Roman" w:hAnsi="宋体" w:cs="宋体"/>
                <w:b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1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2019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年光学收入大幅上升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联创电子</w:t>
            </w:r>
            <w:r>
              <w:rPr>
                <w:rFonts w:ascii="Times New Roman" w:hAnsi="Times New Roman" w:hint="eastAsia"/>
                <w:sz w:val="24"/>
              </w:rPr>
              <w:t>2019</w:t>
            </w:r>
            <w:r>
              <w:rPr>
                <w:rFonts w:ascii="Times New Roman" w:hAnsi="Times New Roman" w:hint="eastAsia"/>
                <w:sz w:val="24"/>
              </w:rPr>
              <w:t>年实现营业收入</w:t>
            </w:r>
            <w:r>
              <w:rPr>
                <w:rFonts w:ascii="Times New Roman" w:hAnsi="Times New Roman" w:hint="eastAsia"/>
                <w:sz w:val="24"/>
              </w:rPr>
              <w:t>60.82</w:t>
            </w:r>
            <w:r>
              <w:rPr>
                <w:rFonts w:ascii="Times New Roman" w:hAnsi="Times New Roman" w:hint="eastAsia"/>
                <w:sz w:val="24"/>
              </w:rPr>
              <w:t>亿元，同比增长</w:t>
            </w:r>
            <w:r>
              <w:rPr>
                <w:rFonts w:ascii="Times New Roman" w:hAnsi="Times New Roman" w:hint="eastAsia"/>
                <w:sz w:val="24"/>
              </w:rPr>
              <w:t>26.65%</w:t>
            </w:r>
            <w:r>
              <w:rPr>
                <w:rFonts w:ascii="Times New Roman" w:hAnsi="Times New Roman" w:hint="eastAsia"/>
                <w:sz w:val="24"/>
              </w:rPr>
              <w:t>；实现归母净利润</w:t>
            </w:r>
            <w:r>
              <w:rPr>
                <w:rFonts w:ascii="Times New Roman" w:hAnsi="Times New Roman" w:hint="eastAsia"/>
                <w:sz w:val="24"/>
              </w:rPr>
              <w:t>2.67</w:t>
            </w:r>
            <w:r>
              <w:rPr>
                <w:rFonts w:ascii="Times New Roman" w:hAnsi="Times New Roman" w:hint="eastAsia"/>
                <w:sz w:val="24"/>
              </w:rPr>
              <w:t>亿元，同比增长</w:t>
            </w:r>
            <w:r>
              <w:rPr>
                <w:rFonts w:ascii="Times New Roman" w:hAnsi="Times New Roman" w:hint="eastAsia"/>
                <w:sz w:val="24"/>
              </w:rPr>
              <w:t>8.81%</w:t>
            </w:r>
            <w:r>
              <w:rPr>
                <w:rFonts w:ascii="Times New Roman" w:hAnsi="Times New Roman" w:hint="eastAsia"/>
                <w:sz w:val="24"/>
              </w:rPr>
              <w:t>。其中</w:t>
            </w:r>
            <w:r>
              <w:rPr>
                <w:rFonts w:ascii="Times New Roman" w:hAnsi="Times New Roman" w:hint="eastAsia"/>
                <w:b/>
                <w:sz w:val="24"/>
              </w:rPr>
              <w:t>光学产业收入同比上升</w:t>
            </w:r>
            <w:r>
              <w:rPr>
                <w:rFonts w:ascii="Times New Roman" w:hAnsi="Times New Roman" w:hint="eastAsia"/>
                <w:b/>
                <w:sz w:val="24"/>
              </w:rPr>
              <w:t>92%</w:t>
            </w:r>
            <w:r>
              <w:rPr>
                <w:rFonts w:ascii="Times New Roman" w:hAnsi="Times New Roman" w:hint="eastAsia"/>
                <w:sz w:val="24"/>
              </w:rPr>
              <w:t>，触控显示产业收入同比上升</w:t>
            </w:r>
            <w:r>
              <w:rPr>
                <w:rFonts w:ascii="Times New Roman" w:hAnsi="Times New Roman" w:hint="eastAsia"/>
                <w:sz w:val="24"/>
              </w:rPr>
              <w:t>38%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研发投入</w:t>
            </w:r>
            <w:r>
              <w:rPr>
                <w:rFonts w:ascii="Times New Roman" w:hAnsi="Times New Roman" w:hint="eastAsia"/>
                <w:sz w:val="24"/>
              </w:rPr>
              <w:t>2.88</w:t>
            </w:r>
            <w:r>
              <w:rPr>
                <w:rFonts w:ascii="Times New Roman" w:hAnsi="Times New Roman" w:hint="eastAsia"/>
                <w:sz w:val="24"/>
              </w:rPr>
              <w:t>亿元，同比上升</w:t>
            </w:r>
            <w:r>
              <w:rPr>
                <w:rFonts w:ascii="Times New Roman" w:hAnsi="Times New Roman" w:hint="eastAsia"/>
                <w:sz w:val="24"/>
              </w:rPr>
              <w:t>47%</w:t>
            </w:r>
            <w:r>
              <w:rPr>
                <w:rFonts w:ascii="Times New Roman" w:hAnsi="Times New Roman" w:hint="eastAsia"/>
                <w:sz w:val="24"/>
              </w:rPr>
              <w:t>，与核心客户联系紧密，联合开发新产品。财务费用</w:t>
            </w:r>
            <w:r>
              <w:rPr>
                <w:rFonts w:ascii="Times New Roman" w:hAnsi="Times New Roman" w:hint="eastAsia"/>
                <w:sz w:val="24"/>
              </w:rPr>
              <w:t>1.74</w:t>
            </w:r>
            <w:r>
              <w:rPr>
                <w:rFonts w:ascii="Times New Roman" w:hAnsi="Times New Roman" w:hint="eastAsia"/>
                <w:sz w:val="24"/>
              </w:rPr>
              <w:t>亿元，同比增加</w:t>
            </w:r>
            <w:r>
              <w:rPr>
                <w:rFonts w:ascii="Times New Roman" w:hAnsi="Times New Roman" w:hint="eastAsia"/>
                <w:sz w:val="24"/>
              </w:rPr>
              <w:t>0.86</w:t>
            </w:r>
            <w:r>
              <w:rPr>
                <w:rFonts w:ascii="Times New Roman" w:hAnsi="Times New Roman" w:hint="eastAsia"/>
                <w:sz w:val="24"/>
              </w:rPr>
              <w:t>亿元。研发费用和财务费用的增加，影响了</w:t>
            </w:r>
            <w:r>
              <w:rPr>
                <w:rFonts w:ascii="Times New Roman" w:hAnsi="Times New Roman" w:hint="eastAsia"/>
                <w:sz w:val="24"/>
              </w:rPr>
              <w:t>2019</w:t>
            </w:r>
            <w:r>
              <w:rPr>
                <w:rFonts w:ascii="Times New Roman" w:hAnsi="Times New Roman" w:hint="eastAsia"/>
                <w:sz w:val="24"/>
              </w:rPr>
              <w:t>年的业绩情况。</w:t>
            </w:r>
          </w:p>
          <w:p w:rsidR="0047366B" w:rsidRDefault="00D1169D">
            <w:pPr>
              <w:spacing w:line="360" w:lineRule="auto"/>
              <w:ind w:right="-68" w:firstLineChars="200" w:firstLine="482"/>
              <w:rPr>
                <w:rFonts w:ascii="Times New Roman" w:hAnsi="宋体" w:cs="宋体"/>
                <w:b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2020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年一季度受疫情影响有限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2020</w:t>
            </w:r>
            <w:r>
              <w:rPr>
                <w:rFonts w:ascii="Times New Roman" w:hAnsi="Times New Roman" w:hint="eastAsia"/>
                <w:sz w:val="24"/>
              </w:rPr>
              <w:t>年一季度虽然受疫情影响，但营业收入和扣非后的净利润同比下降较小。一季度实现营业收入</w:t>
            </w:r>
            <w:r>
              <w:rPr>
                <w:rFonts w:ascii="Times New Roman" w:hAnsi="Times New Roman" w:hint="eastAsia"/>
                <w:sz w:val="24"/>
              </w:rPr>
              <w:t>9.75</w:t>
            </w:r>
            <w:r>
              <w:rPr>
                <w:rFonts w:ascii="Times New Roman" w:hAnsi="Times New Roman" w:hint="eastAsia"/>
                <w:sz w:val="24"/>
              </w:rPr>
              <w:t>亿元，同比下降</w:t>
            </w:r>
            <w:r>
              <w:rPr>
                <w:rFonts w:ascii="Times New Roman" w:hAnsi="Times New Roman" w:hint="eastAsia"/>
                <w:sz w:val="24"/>
              </w:rPr>
              <w:t>6.69%</w:t>
            </w:r>
            <w:r>
              <w:rPr>
                <w:rFonts w:ascii="Times New Roman" w:hAnsi="Times New Roman" w:hint="eastAsia"/>
                <w:sz w:val="24"/>
              </w:rPr>
              <w:t>；实现扣非净利润</w:t>
            </w:r>
            <w:r>
              <w:rPr>
                <w:rFonts w:ascii="Times New Roman" w:hAnsi="Times New Roman" w:hint="eastAsia"/>
                <w:sz w:val="24"/>
              </w:rPr>
              <w:t>1520</w:t>
            </w:r>
            <w:r>
              <w:rPr>
                <w:rFonts w:ascii="Times New Roman" w:hAnsi="Times New Roman" w:hint="eastAsia"/>
                <w:sz w:val="24"/>
              </w:rPr>
              <w:t>万元，同比下降</w:t>
            </w:r>
            <w:r>
              <w:rPr>
                <w:rFonts w:ascii="Times New Roman" w:hAnsi="Times New Roman" w:hint="eastAsia"/>
                <w:sz w:val="24"/>
              </w:rPr>
              <w:t>18.93</w:t>
            </w:r>
            <w:r w:rsidR="00BB1215">
              <w:rPr>
                <w:rFonts w:ascii="Times New Roman" w:hAnsi="Times New Roman" w:hint="eastAsia"/>
                <w:sz w:val="24"/>
              </w:rPr>
              <w:t>%</w:t>
            </w:r>
            <w:r w:rsidR="00BB1215"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主要原因是疫情停产时间长，劳动效率下降。归母净利润</w:t>
            </w:r>
            <w:r>
              <w:rPr>
                <w:rFonts w:ascii="Times New Roman" w:hAnsi="Times New Roman" w:hint="eastAsia"/>
                <w:sz w:val="24"/>
              </w:rPr>
              <w:t>2415</w:t>
            </w:r>
            <w:r>
              <w:rPr>
                <w:rFonts w:ascii="Times New Roman" w:hAnsi="Times New Roman" w:hint="eastAsia"/>
                <w:sz w:val="24"/>
              </w:rPr>
              <w:t>万元，同比下降</w:t>
            </w:r>
            <w:r>
              <w:rPr>
                <w:rFonts w:ascii="Times New Roman" w:hAnsi="Times New Roman" w:hint="eastAsia"/>
                <w:sz w:val="24"/>
              </w:rPr>
              <w:t>40.40%</w:t>
            </w:r>
            <w:r>
              <w:rPr>
                <w:rFonts w:ascii="Times New Roman" w:hAnsi="Times New Roman" w:hint="eastAsia"/>
                <w:sz w:val="24"/>
              </w:rPr>
              <w:t>，主要是因为政府补助确认延后。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公司拟入股韩国美法思，成为其第一大股东，整合国际芯片、客户及产业资源。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公司光学镜头和模组现有产能已经全部满产，公司原定的扩产计划不变。基于对未来</w:t>
            </w:r>
            <w:r>
              <w:rPr>
                <w:rFonts w:ascii="Times New Roman" w:hAnsi="Times New Roman" w:hint="eastAsia"/>
                <w:sz w:val="24"/>
              </w:rPr>
              <w:t>5G</w:t>
            </w:r>
            <w:r>
              <w:rPr>
                <w:rFonts w:ascii="Times New Roman" w:hAnsi="Times New Roman" w:hint="eastAsia"/>
                <w:sz w:val="24"/>
              </w:rPr>
              <w:t>发展的信心，公司拟通过定增募集资金不超过</w:t>
            </w:r>
            <w:r>
              <w:rPr>
                <w:rFonts w:ascii="Times New Roman" w:hAnsi="Times New Roman" w:hint="eastAsia"/>
                <w:sz w:val="24"/>
              </w:rPr>
              <w:t>22</w:t>
            </w:r>
            <w:r>
              <w:rPr>
                <w:rFonts w:ascii="Times New Roman" w:hAnsi="Times New Roman" w:hint="eastAsia"/>
                <w:sz w:val="24"/>
              </w:rPr>
              <w:t>亿元，投入于高清手机镜头、车载镜头及影像模组核心赛道。</w:t>
            </w:r>
          </w:p>
          <w:p w:rsidR="0047366B" w:rsidRDefault="0047366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47366B" w:rsidRDefault="00D1169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二、光学产业近况</w:t>
            </w: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1</w:t>
            </w:r>
            <w:r>
              <w:rPr>
                <w:rFonts w:ascii="Times New Roman" w:hAnsi="Times New Roman" w:hint="eastAsia"/>
                <w:b/>
                <w:sz w:val="24"/>
              </w:rPr>
              <w:t>、整体情况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一季度光学产业部分受疫情影响，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月同比影响</w:t>
            </w:r>
            <w:r>
              <w:rPr>
                <w:rFonts w:ascii="Times New Roman" w:hAnsi="Times New Roman" w:hint="eastAsia"/>
                <w:sz w:val="24"/>
              </w:rPr>
              <w:t>10%</w:t>
            </w:r>
            <w:r>
              <w:rPr>
                <w:rFonts w:ascii="Times New Roman" w:hAnsi="Times New Roman" w:hint="eastAsia"/>
                <w:sz w:val="24"/>
              </w:rPr>
              <w:t>左右。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月手机镜头、影像模组满产。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本年手机镜头、模组产能将继续按计划扩充。公司对手机领域有信心，会继续开发品牌客户。</w:t>
            </w: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sz w:val="24"/>
              </w:rPr>
              <w:t>、车载领域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已有十多款车载镜头获得了国际知名汽车电子厂商</w:t>
            </w:r>
            <w:r>
              <w:rPr>
                <w:rFonts w:ascii="Times New Roman" w:hAnsi="Times New Roman" w:hint="eastAsia"/>
                <w:sz w:val="24"/>
              </w:rPr>
              <w:t>Valeo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 w:hint="eastAsia"/>
                <w:sz w:val="24"/>
              </w:rPr>
              <w:t>Conti</w:t>
            </w:r>
            <w:r>
              <w:rPr>
                <w:rFonts w:ascii="Times New Roman" w:hAnsi="Times New Roman" w:hint="eastAsia"/>
                <w:sz w:val="24"/>
              </w:rPr>
              <w:t>等的认可，已量产出货，并持续开发新的客户。车载影像模组之前供货较少，近期开始逐步起量。目标是形成</w:t>
            </w:r>
            <w:r>
              <w:rPr>
                <w:rFonts w:ascii="Times New Roman" w:hAnsi="Times New Roman" w:hint="eastAsia"/>
                <w:sz w:val="24"/>
              </w:rPr>
              <w:t>2400</w:t>
            </w:r>
            <w:r>
              <w:rPr>
                <w:rFonts w:ascii="Times New Roman" w:hAnsi="Times New Roman" w:hint="eastAsia"/>
                <w:sz w:val="24"/>
              </w:rPr>
              <w:t>万颗车载镜头，</w:t>
            </w:r>
            <w:r>
              <w:rPr>
                <w:rFonts w:ascii="Times New Roman" w:hAnsi="Times New Roman" w:hint="eastAsia"/>
                <w:sz w:val="24"/>
              </w:rPr>
              <w:t>600</w:t>
            </w:r>
            <w:r>
              <w:rPr>
                <w:rFonts w:ascii="Times New Roman" w:hAnsi="Times New Roman" w:hint="eastAsia"/>
                <w:sz w:val="24"/>
              </w:rPr>
              <w:t>万颗影像模组生产能力。</w:t>
            </w: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sz w:val="24"/>
              </w:rPr>
              <w:t>、安防领域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公司积极开发安防领域新客户。因在线会议系统需求提升，安防领域受疫情影响不大，甚至有所提升。</w:t>
            </w:r>
          </w:p>
          <w:p w:rsidR="0047366B" w:rsidRDefault="0047366B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  <w:p w:rsidR="0047366B" w:rsidRDefault="00D1169D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三、问答环节</w:t>
            </w: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1</w:t>
            </w:r>
            <w:r>
              <w:rPr>
                <w:rFonts w:ascii="Times New Roman" w:hAnsi="Times New Roman" w:hint="eastAsia"/>
                <w:b/>
                <w:sz w:val="24"/>
              </w:rPr>
              <w:t>、一季度受疫情大概影响到什么程度？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一季度销售收入下降</w:t>
            </w:r>
            <w:r>
              <w:rPr>
                <w:rFonts w:ascii="Times New Roman" w:hAnsi="Times New Roman" w:hint="eastAsia"/>
                <w:sz w:val="24"/>
              </w:rPr>
              <w:t>6.69%</w:t>
            </w:r>
            <w:r>
              <w:rPr>
                <w:rFonts w:ascii="Times New Roman" w:hAnsi="Times New Roman" w:hint="eastAsia"/>
                <w:sz w:val="24"/>
              </w:rPr>
              <w:t>，光学销售收入同比基本上持平，触控显示略有下降。扣非净利润下降</w:t>
            </w:r>
            <w:r>
              <w:rPr>
                <w:rFonts w:ascii="Times New Roman" w:hAnsi="Times New Roman" w:hint="eastAsia"/>
                <w:sz w:val="24"/>
              </w:rPr>
              <w:t>18.93%</w:t>
            </w:r>
            <w:r>
              <w:rPr>
                <w:rFonts w:ascii="Times New Roman" w:hAnsi="Times New Roman" w:hint="eastAsia"/>
                <w:sz w:val="24"/>
              </w:rPr>
              <w:t>，主要是整体毛利率有所下降。毛利率下降是因为疫情期间，特别是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月份，人均劳动效率下降。</w:t>
            </w: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sz w:val="24"/>
              </w:rPr>
              <w:t>、一季度光学镜头模组这一块的情况是？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一季度的疫情对高清广角镜头影响比较大一些，户外活动减少，运动相机镜头销量有所下降。手机镜头和模组整个的产能比去年是要大的。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月公司基本是满产生产，订单需求是大于我们产能的，但是也没有达到设备设计产能，因为员工复工后工作时间比原来要少，效率并不是很高。所以我们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月份虽然订单很多，但疫情影响产出并没有达到预期。</w:t>
            </w:r>
          </w:p>
          <w:p w:rsidR="0047366B" w:rsidRDefault="0047366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sz w:val="24"/>
              </w:rPr>
              <w:t>、一些手机厂商可能是面临砍单情况，公司情况如何？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10</w:t>
            </w:r>
            <w:r>
              <w:rPr>
                <w:rFonts w:ascii="Times New Roman" w:hAnsi="Times New Roman" w:hint="eastAsia"/>
                <w:sz w:val="24"/>
              </w:rPr>
              <w:t>日就开始复工，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月底恢复大部分产能，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月基本全面复工。复工比较早，客户对我们依赖比较大，把未复工厂商的订单交给公司做。虽然有些砍单，但总体需求还是比较高的，对我们影响不大。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月份疫情困难的时候帮了客户，客户也不会砍我们的单。今年扩产计划没有改变，预计</w:t>
            </w: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 w:hint="eastAsia"/>
                <w:sz w:val="24"/>
              </w:rPr>
              <w:t>月份影像模组产能可以达到</w:t>
            </w:r>
            <w:r>
              <w:rPr>
                <w:rFonts w:ascii="Times New Roman" w:hAnsi="Times New Roman" w:hint="eastAsia"/>
                <w:sz w:val="24"/>
              </w:rPr>
              <w:t>10KK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 w:hint="eastAsia"/>
                <w:sz w:val="24"/>
              </w:rPr>
              <w:t>月份镜头产能可以达到</w:t>
            </w:r>
            <w:r>
              <w:rPr>
                <w:rFonts w:ascii="Times New Roman" w:hAnsi="Times New Roman" w:hint="eastAsia"/>
                <w:sz w:val="24"/>
              </w:rPr>
              <w:t>16~18KK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47366B" w:rsidRDefault="0047366B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4</w:t>
            </w:r>
            <w:r>
              <w:rPr>
                <w:rFonts w:ascii="Times New Roman" w:hAnsi="Times New Roman" w:hint="eastAsia"/>
                <w:b/>
                <w:sz w:val="24"/>
              </w:rPr>
              <w:t>、今年光学做的主要是哪一类产品？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今年跟去年的结构不一样的，有些差异化产品。我们手机模组和镜头，不是原来常规的塑料镜头，主要是广角镜头等，毛利率较高。而且形成这样的产能以后，客户对我们比较依赖，因为差异化产品不是一般镜头厂商能生产出来，需要早期的研发积累，保证产品良率。今年导入了新的客户，车载领域多个车企订单确定，特斯拉今年导入镜头数量增加，需求量增大，大疆也跟公司开展了合作，主要是无人机和机器视觉领域，预计</w:t>
            </w:r>
            <w:r>
              <w:rPr>
                <w:rFonts w:ascii="Times New Roman" w:hAnsi="Times New Roman" w:hint="eastAsia"/>
                <w:sz w:val="24"/>
              </w:rPr>
              <w:t>7~8</w:t>
            </w:r>
            <w:r>
              <w:rPr>
                <w:rFonts w:ascii="Times New Roman" w:hAnsi="Times New Roman" w:hint="eastAsia"/>
                <w:sz w:val="24"/>
              </w:rPr>
              <w:t>月份开始下订单。大疆的合作基于对公司高清广角镜头技术的认可。</w:t>
            </w:r>
          </w:p>
          <w:p w:rsidR="0047366B" w:rsidRDefault="0047366B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5</w:t>
            </w:r>
            <w:r>
              <w:rPr>
                <w:rFonts w:ascii="Times New Roman" w:hAnsi="Times New Roman" w:hint="eastAsia"/>
                <w:b/>
                <w:sz w:val="24"/>
              </w:rPr>
              <w:t>、玻塑混合镜头进度怎么样？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手机领域布局方面，</w:t>
            </w:r>
            <w:r>
              <w:rPr>
                <w:rFonts w:ascii="Times New Roman" w:hAnsi="Times New Roman" w:hint="eastAsia"/>
                <w:sz w:val="24"/>
              </w:rPr>
              <w:t>1300</w:t>
            </w:r>
            <w:r>
              <w:rPr>
                <w:rFonts w:ascii="Times New Roman" w:hAnsi="Times New Roman" w:hint="eastAsia"/>
                <w:sz w:val="24"/>
              </w:rPr>
              <w:t>万像素</w:t>
            </w:r>
            <w:r>
              <w:rPr>
                <w:rFonts w:ascii="Times New Roman" w:hAnsi="Times New Roman"/>
                <w:sz w:val="24"/>
              </w:rPr>
              <w:t>以下</w:t>
            </w:r>
            <w:r>
              <w:rPr>
                <w:rFonts w:ascii="Times New Roman" w:hAnsi="Times New Roman" w:hint="eastAsia"/>
                <w:sz w:val="24"/>
              </w:rPr>
              <w:t>以</w:t>
            </w:r>
            <w:r>
              <w:rPr>
                <w:rFonts w:ascii="Times New Roman" w:hAnsi="Times New Roman"/>
                <w:sz w:val="24"/>
              </w:rPr>
              <w:t>差异化</w:t>
            </w:r>
            <w:r>
              <w:rPr>
                <w:rFonts w:ascii="Times New Roman" w:hAnsi="Times New Roman" w:hint="eastAsia"/>
                <w:sz w:val="24"/>
              </w:rPr>
              <w:t>产品为主，</w:t>
            </w:r>
            <w:r>
              <w:rPr>
                <w:rFonts w:ascii="Times New Roman" w:hAnsi="Times New Roman"/>
                <w:sz w:val="24"/>
              </w:rPr>
              <w:lastRenderedPageBreak/>
              <w:t>高端产品也在持续推进，</w:t>
            </w:r>
            <w:r>
              <w:rPr>
                <w:rFonts w:ascii="Times New Roman" w:hAnsi="Times New Roman" w:hint="eastAsia"/>
                <w:sz w:val="24"/>
              </w:rPr>
              <w:t>包括玻塑混合，与品牌</w:t>
            </w:r>
            <w:r>
              <w:rPr>
                <w:rFonts w:ascii="Times New Roman" w:hAnsi="Times New Roman"/>
                <w:sz w:val="24"/>
              </w:rPr>
              <w:t>客户合作</w:t>
            </w:r>
            <w:r>
              <w:rPr>
                <w:rFonts w:ascii="Times New Roman" w:hAnsi="Times New Roman" w:hint="eastAsia"/>
                <w:sz w:val="24"/>
              </w:rPr>
              <w:t>开发</w:t>
            </w:r>
            <w:r>
              <w:rPr>
                <w:rFonts w:ascii="Times New Roman" w:hAnsi="Times New Roman"/>
                <w:sz w:val="24"/>
              </w:rPr>
              <w:t>新技术</w:t>
            </w:r>
            <w:r>
              <w:rPr>
                <w:rFonts w:ascii="Times New Roman" w:hAnsi="Times New Roman" w:hint="eastAsia"/>
                <w:sz w:val="24"/>
              </w:rPr>
              <w:t>等</w:t>
            </w:r>
            <w:r>
              <w:rPr>
                <w:rFonts w:ascii="Times New Roman" w:hAnsi="Times New Roman"/>
                <w:sz w:val="24"/>
              </w:rPr>
              <w:t>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7366B" w:rsidRDefault="0047366B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6</w:t>
            </w:r>
            <w:r>
              <w:rPr>
                <w:rFonts w:ascii="Times New Roman" w:hAnsi="Times New Roman" w:hint="eastAsia"/>
                <w:b/>
                <w:sz w:val="24"/>
              </w:rPr>
              <w:t>、目前受限于需求方面还是产能方面？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产能增长何时能反映在报表里面？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分两个领域来谈，手机领域和车载领域，两个领域情况不一样。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在手机领域，手机镜头一直是需求大于产能，去年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 w:hint="eastAsia"/>
                <w:sz w:val="24"/>
              </w:rPr>
              <w:t>月到今年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月，需求大于产能。去年整体产能</w:t>
            </w:r>
            <w:r>
              <w:rPr>
                <w:rFonts w:ascii="Times New Roman" w:hAnsi="Times New Roman" w:hint="eastAsia"/>
                <w:sz w:val="24"/>
              </w:rPr>
              <w:t>5kk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10</w:t>
            </w:r>
            <w:r>
              <w:rPr>
                <w:rFonts w:ascii="Times New Roman" w:hAnsi="Times New Roman" w:hint="eastAsia"/>
                <w:sz w:val="24"/>
              </w:rPr>
              <w:t>月产能打满，现在一直在扩。手机影像模组去年产能</w:t>
            </w:r>
            <w:r>
              <w:rPr>
                <w:rFonts w:ascii="Times New Roman" w:hAnsi="Times New Roman" w:hint="eastAsia"/>
                <w:sz w:val="24"/>
              </w:rPr>
              <w:t>5kk</w:t>
            </w:r>
            <w:r>
              <w:rPr>
                <w:rFonts w:ascii="Times New Roman" w:hAnsi="Times New Roman" w:hint="eastAsia"/>
                <w:sz w:val="24"/>
              </w:rPr>
              <w:t>，需求是远大于产能。手机领域需要扩产到一定规模，才有可能达到品牌手机客户的门槛。扩产以后，我们就有可能去做品牌客户的一些大量产品开发。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车载我们其实一直没有扩产，花了</w:t>
            </w:r>
            <w:r>
              <w:rPr>
                <w:rFonts w:ascii="Times New Roman" w:hAnsi="Times New Roman" w:hint="eastAsia"/>
                <w:sz w:val="24"/>
              </w:rPr>
              <w:t>4~5</w:t>
            </w:r>
            <w:r>
              <w:rPr>
                <w:rFonts w:ascii="Times New Roman" w:hAnsi="Times New Roman" w:hint="eastAsia"/>
                <w:sz w:val="24"/>
              </w:rPr>
              <w:t>年的时间进行车载镜头的认证、路测。很多客户的案子已经定点了，属于长期订单，可以预计未来的订单需求。基于此，我们才会扩产车载镜头，满足未来订单需求。</w:t>
            </w:r>
          </w:p>
          <w:p w:rsidR="0047366B" w:rsidRDefault="0047366B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7</w:t>
            </w:r>
            <w:r>
              <w:rPr>
                <w:rFonts w:ascii="Times New Roman" w:hAnsi="Times New Roman" w:hint="eastAsia"/>
                <w:b/>
                <w:sz w:val="24"/>
              </w:rPr>
              <w:t>、研发费用增长快的原因？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发费用光学这块占大部分，近几年车载和高清广角镜头研发投入是巨大的，特别是高端产品的研发，投入很大，这在当期没有销售收入，甚至后面的一两年也没有，属于前期技术积累。手机方面比如玻塑混合、长焦、屏下指纹、大光圈都在做大量的研发，为未来扩产做准备。</w:t>
            </w:r>
          </w:p>
          <w:p w:rsidR="0047366B" w:rsidRDefault="0047366B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8</w:t>
            </w:r>
            <w:r>
              <w:rPr>
                <w:rFonts w:ascii="Times New Roman" w:hAnsi="Times New Roman" w:hint="eastAsia"/>
                <w:b/>
                <w:sz w:val="24"/>
              </w:rPr>
              <w:t>、玻塑混合镜头是否出货，这个产品主要是应用在哪些领域？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G+P</w:t>
            </w:r>
            <w:r>
              <w:rPr>
                <w:rFonts w:ascii="Times New Roman" w:hAnsi="Times New Roman" w:hint="eastAsia"/>
                <w:sz w:val="24"/>
              </w:rPr>
              <w:t>我们的确在出货，在高端手机里应用，会不会大量的采用不敢预测。但</w:t>
            </w:r>
            <w:r>
              <w:rPr>
                <w:rFonts w:ascii="Times New Roman" w:hAnsi="Times New Roman" w:hint="eastAsia"/>
                <w:sz w:val="24"/>
              </w:rPr>
              <w:t>G+P</w:t>
            </w:r>
            <w:r>
              <w:rPr>
                <w:rFonts w:ascii="Times New Roman" w:hAnsi="Times New Roman" w:hint="eastAsia"/>
                <w:sz w:val="24"/>
              </w:rPr>
              <w:t>肯定是一个方向。未来会不会大量采</w:t>
            </w:r>
            <w:r>
              <w:rPr>
                <w:rFonts w:ascii="Times New Roman" w:hAnsi="Times New Roman" w:hint="eastAsia"/>
                <w:sz w:val="24"/>
              </w:rPr>
              <w:lastRenderedPageBreak/>
              <w:t>用的主要是供应的问题。假设只有联创能供应</w:t>
            </w:r>
            <w:r>
              <w:rPr>
                <w:rFonts w:ascii="Times New Roman" w:hAnsi="Times New Roman" w:hint="eastAsia"/>
                <w:sz w:val="24"/>
              </w:rPr>
              <w:t>G+P</w:t>
            </w:r>
            <w:r>
              <w:rPr>
                <w:rFonts w:ascii="Times New Roman" w:hAnsi="Times New Roman" w:hint="eastAsia"/>
                <w:sz w:val="24"/>
              </w:rPr>
              <w:t>，估计也不可能大量的采用。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在非手机领域，包括监控、安防都有新的量产。所以我们对</w:t>
            </w:r>
            <w:r>
              <w:rPr>
                <w:rFonts w:ascii="Times New Roman" w:hAnsi="Times New Roman" w:hint="eastAsia"/>
                <w:sz w:val="24"/>
              </w:rPr>
              <w:t>G+P</w:t>
            </w:r>
            <w:r>
              <w:rPr>
                <w:rFonts w:ascii="Times New Roman" w:hAnsi="Times New Roman" w:hint="eastAsia"/>
                <w:sz w:val="24"/>
              </w:rPr>
              <w:t>很乐观。</w:t>
            </w:r>
          </w:p>
          <w:p w:rsidR="0047366B" w:rsidRDefault="0047366B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47366B" w:rsidRDefault="00D1169D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9</w:t>
            </w:r>
            <w:r>
              <w:rPr>
                <w:rFonts w:ascii="Times New Roman" w:hAnsi="Times New Roman" w:hint="eastAsia"/>
                <w:b/>
                <w:sz w:val="24"/>
              </w:rPr>
              <w:t>、监控用的</w:t>
            </w:r>
            <w:r>
              <w:rPr>
                <w:rFonts w:ascii="Times New Roman" w:hAnsi="Times New Roman" w:hint="eastAsia"/>
                <w:b/>
                <w:sz w:val="24"/>
              </w:rPr>
              <w:t>G+P</w:t>
            </w:r>
            <w:r>
              <w:rPr>
                <w:rFonts w:ascii="Times New Roman" w:hAnsi="Times New Roman" w:hint="eastAsia"/>
                <w:b/>
                <w:sz w:val="24"/>
              </w:rPr>
              <w:t>产品，它的价值量跟手机</w:t>
            </w:r>
            <w:r>
              <w:rPr>
                <w:rFonts w:ascii="Times New Roman" w:hAnsi="Times New Roman" w:hint="eastAsia"/>
                <w:b/>
                <w:sz w:val="24"/>
              </w:rPr>
              <w:t>G+P</w:t>
            </w:r>
            <w:r>
              <w:rPr>
                <w:rFonts w:ascii="Times New Roman" w:hAnsi="Times New Roman" w:hint="eastAsia"/>
                <w:b/>
                <w:sz w:val="24"/>
              </w:rPr>
              <w:t>的价值量相比是什么一个情况？</w:t>
            </w: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监控的价值量大于手机，因为毕竟监控有更大的芯片，体积也大，难度也大，要承受户外的一些高低温的测试，设计难度比手机要高很多。</w:t>
            </w:r>
          </w:p>
          <w:p w:rsidR="0047366B" w:rsidRDefault="0047366B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47366B" w:rsidRDefault="00D1169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感谢各位投资者的交流。</w:t>
            </w:r>
          </w:p>
        </w:tc>
      </w:tr>
      <w:tr w:rsidR="0047366B">
        <w:tc>
          <w:tcPr>
            <w:tcW w:w="1908" w:type="dxa"/>
            <w:vAlign w:val="center"/>
          </w:tcPr>
          <w:p w:rsidR="0047366B" w:rsidRDefault="00D1169D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:rsidR="0047366B" w:rsidRDefault="00D1169D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无</w:t>
            </w:r>
          </w:p>
        </w:tc>
      </w:tr>
      <w:tr w:rsidR="0047366B">
        <w:tc>
          <w:tcPr>
            <w:tcW w:w="1908" w:type="dxa"/>
            <w:vAlign w:val="center"/>
          </w:tcPr>
          <w:p w:rsidR="0047366B" w:rsidRDefault="00D1169D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vAlign w:val="center"/>
          </w:tcPr>
          <w:p w:rsidR="0047366B" w:rsidRDefault="00D1169D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2020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28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7366B" w:rsidRDefault="0047366B">
      <w:pPr>
        <w:rPr>
          <w:rFonts w:ascii="Times New Roman" w:hAnsi="Times New Roman"/>
          <w:sz w:val="24"/>
        </w:rPr>
      </w:pPr>
    </w:p>
    <w:sectPr w:rsidR="0047366B" w:rsidSect="004736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C5" w:rsidRDefault="00FA7DC5" w:rsidP="00BB1215">
      <w:r>
        <w:separator/>
      </w:r>
    </w:p>
  </w:endnote>
  <w:endnote w:type="continuationSeparator" w:id="1">
    <w:p w:rsidR="00FA7DC5" w:rsidRDefault="00FA7DC5" w:rsidP="00BB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C5" w:rsidRDefault="00FA7DC5" w:rsidP="00BB1215">
      <w:r>
        <w:separator/>
      </w:r>
    </w:p>
  </w:footnote>
  <w:footnote w:type="continuationSeparator" w:id="1">
    <w:p w:rsidR="00FA7DC5" w:rsidRDefault="00FA7DC5" w:rsidP="00BB121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饶威">
    <w15:presenceInfo w15:providerId="WPS Office" w15:userId="28985286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0EC"/>
    <w:rsid w:val="00006F08"/>
    <w:rsid w:val="00015731"/>
    <w:rsid w:val="000160D3"/>
    <w:rsid w:val="00023DD9"/>
    <w:rsid w:val="0003200E"/>
    <w:rsid w:val="000635C9"/>
    <w:rsid w:val="00066607"/>
    <w:rsid w:val="00076C8E"/>
    <w:rsid w:val="00080A58"/>
    <w:rsid w:val="00085608"/>
    <w:rsid w:val="00086409"/>
    <w:rsid w:val="000A1D32"/>
    <w:rsid w:val="000A2211"/>
    <w:rsid w:val="000A37C3"/>
    <w:rsid w:val="000A40E7"/>
    <w:rsid w:val="000A76BD"/>
    <w:rsid w:val="000B7C94"/>
    <w:rsid w:val="000C3B0D"/>
    <w:rsid w:val="000D3863"/>
    <w:rsid w:val="000E1627"/>
    <w:rsid w:val="000F57A4"/>
    <w:rsid w:val="001023AA"/>
    <w:rsid w:val="00104F1B"/>
    <w:rsid w:val="00105A84"/>
    <w:rsid w:val="0012463D"/>
    <w:rsid w:val="0013001C"/>
    <w:rsid w:val="0013349D"/>
    <w:rsid w:val="00136069"/>
    <w:rsid w:val="00140954"/>
    <w:rsid w:val="00151A0C"/>
    <w:rsid w:val="00162FA9"/>
    <w:rsid w:val="00162FF9"/>
    <w:rsid w:val="00163D6D"/>
    <w:rsid w:val="00164543"/>
    <w:rsid w:val="00166EE0"/>
    <w:rsid w:val="00167B2A"/>
    <w:rsid w:val="001712C7"/>
    <w:rsid w:val="00172A27"/>
    <w:rsid w:val="001875A3"/>
    <w:rsid w:val="00187E40"/>
    <w:rsid w:val="001A2C30"/>
    <w:rsid w:val="001A2FA9"/>
    <w:rsid w:val="001A3284"/>
    <w:rsid w:val="001B6384"/>
    <w:rsid w:val="001C0CFF"/>
    <w:rsid w:val="001C6295"/>
    <w:rsid w:val="001D5E8A"/>
    <w:rsid w:val="001E3D63"/>
    <w:rsid w:val="001E5E2F"/>
    <w:rsid w:val="001E60FF"/>
    <w:rsid w:val="001F5A34"/>
    <w:rsid w:val="00202314"/>
    <w:rsid w:val="002050B5"/>
    <w:rsid w:val="00217C53"/>
    <w:rsid w:val="00224D62"/>
    <w:rsid w:val="00233ED2"/>
    <w:rsid w:val="00243537"/>
    <w:rsid w:val="002449A3"/>
    <w:rsid w:val="00250BE7"/>
    <w:rsid w:val="00251008"/>
    <w:rsid w:val="00255761"/>
    <w:rsid w:val="00263DF1"/>
    <w:rsid w:val="00271682"/>
    <w:rsid w:val="00277AD9"/>
    <w:rsid w:val="00295EDD"/>
    <w:rsid w:val="002A1DF2"/>
    <w:rsid w:val="002A2DE2"/>
    <w:rsid w:val="002B0AA3"/>
    <w:rsid w:val="002B26F2"/>
    <w:rsid w:val="002B31CD"/>
    <w:rsid w:val="002B5B58"/>
    <w:rsid w:val="002B7AB9"/>
    <w:rsid w:val="002C47D7"/>
    <w:rsid w:val="002C79B1"/>
    <w:rsid w:val="002D00FA"/>
    <w:rsid w:val="002D02EA"/>
    <w:rsid w:val="002D0FB6"/>
    <w:rsid w:val="002D3A25"/>
    <w:rsid w:val="002D50BE"/>
    <w:rsid w:val="002E4B37"/>
    <w:rsid w:val="002E7B29"/>
    <w:rsid w:val="002F7918"/>
    <w:rsid w:val="0031103D"/>
    <w:rsid w:val="003249E2"/>
    <w:rsid w:val="003336F3"/>
    <w:rsid w:val="00336B72"/>
    <w:rsid w:val="0034313E"/>
    <w:rsid w:val="00343548"/>
    <w:rsid w:val="00350FAA"/>
    <w:rsid w:val="0035310A"/>
    <w:rsid w:val="0035517F"/>
    <w:rsid w:val="003567F6"/>
    <w:rsid w:val="00357590"/>
    <w:rsid w:val="00360102"/>
    <w:rsid w:val="00380694"/>
    <w:rsid w:val="00386744"/>
    <w:rsid w:val="00387C80"/>
    <w:rsid w:val="003914C8"/>
    <w:rsid w:val="0039422D"/>
    <w:rsid w:val="0039790F"/>
    <w:rsid w:val="003A1732"/>
    <w:rsid w:val="003B538A"/>
    <w:rsid w:val="003B6955"/>
    <w:rsid w:val="003C2FF5"/>
    <w:rsid w:val="003C3F35"/>
    <w:rsid w:val="003C60CD"/>
    <w:rsid w:val="003D1D2A"/>
    <w:rsid w:val="003D4A96"/>
    <w:rsid w:val="003D5B45"/>
    <w:rsid w:val="003E0D9F"/>
    <w:rsid w:val="003F6161"/>
    <w:rsid w:val="003F70D4"/>
    <w:rsid w:val="00404E41"/>
    <w:rsid w:val="00405EAA"/>
    <w:rsid w:val="00406092"/>
    <w:rsid w:val="00413B03"/>
    <w:rsid w:val="00415AFF"/>
    <w:rsid w:val="004239A7"/>
    <w:rsid w:val="004255CC"/>
    <w:rsid w:val="00425FAC"/>
    <w:rsid w:val="00453566"/>
    <w:rsid w:val="0047295D"/>
    <w:rsid w:val="0047366B"/>
    <w:rsid w:val="004A7494"/>
    <w:rsid w:val="004B3CAD"/>
    <w:rsid w:val="004C713A"/>
    <w:rsid w:val="004D0FC8"/>
    <w:rsid w:val="004D48BD"/>
    <w:rsid w:val="004D7F44"/>
    <w:rsid w:val="004E1090"/>
    <w:rsid w:val="004E22DA"/>
    <w:rsid w:val="004E71FD"/>
    <w:rsid w:val="004F19F2"/>
    <w:rsid w:val="004F3D36"/>
    <w:rsid w:val="00511549"/>
    <w:rsid w:val="00520198"/>
    <w:rsid w:val="00520EA7"/>
    <w:rsid w:val="00521709"/>
    <w:rsid w:val="00525F08"/>
    <w:rsid w:val="00531E3A"/>
    <w:rsid w:val="00535A17"/>
    <w:rsid w:val="00540C57"/>
    <w:rsid w:val="00545019"/>
    <w:rsid w:val="005455F7"/>
    <w:rsid w:val="00546614"/>
    <w:rsid w:val="0055182C"/>
    <w:rsid w:val="00553A46"/>
    <w:rsid w:val="00567BFF"/>
    <w:rsid w:val="00571EE6"/>
    <w:rsid w:val="00572D86"/>
    <w:rsid w:val="0058276A"/>
    <w:rsid w:val="005829A6"/>
    <w:rsid w:val="00583067"/>
    <w:rsid w:val="005849FB"/>
    <w:rsid w:val="00592B66"/>
    <w:rsid w:val="00595761"/>
    <w:rsid w:val="0059635A"/>
    <w:rsid w:val="005A3230"/>
    <w:rsid w:val="005A6BE4"/>
    <w:rsid w:val="005B3439"/>
    <w:rsid w:val="005B7453"/>
    <w:rsid w:val="005D57BB"/>
    <w:rsid w:val="005D7240"/>
    <w:rsid w:val="005E46A3"/>
    <w:rsid w:val="005E783A"/>
    <w:rsid w:val="005F0D60"/>
    <w:rsid w:val="00600706"/>
    <w:rsid w:val="00604B2A"/>
    <w:rsid w:val="006055F1"/>
    <w:rsid w:val="00606F5B"/>
    <w:rsid w:val="0061034F"/>
    <w:rsid w:val="006119B9"/>
    <w:rsid w:val="00621E64"/>
    <w:rsid w:val="00622B36"/>
    <w:rsid w:val="00625B68"/>
    <w:rsid w:val="00632A0F"/>
    <w:rsid w:val="0063379E"/>
    <w:rsid w:val="00646C2B"/>
    <w:rsid w:val="00652503"/>
    <w:rsid w:val="0066598F"/>
    <w:rsid w:val="0066622C"/>
    <w:rsid w:val="00682D81"/>
    <w:rsid w:val="00683297"/>
    <w:rsid w:val="00683906"/>
    <w:rsid w:val="0068522A"/>
    <w:rsid w:val="006924A8"/>
    <w:rsid w:val="006A0529"/>
    <w:rsid w:val="006A1D20"/>
    <w:rsid w:val="006A23E0"/>
    <w:rsid w:val="006A3FB0"/>
    <w:rsid w:val="006A5570"/>
    <w:rsid w:val="006B3449"/>
    <w:rsid w:val="006C087A"/>
    <w:rsid w:val="006C2BBB"/>
    <w:rsid w:val="006C2C6D"/>
    <w:rsid w:val="006C328D"/>
    <w:rsid w:val="006D1418"/>
    <w:rsid w:val="006D5DBF"/>
    <w:rsid w:val="006D63A1"/>
    <w:rsid w:val="006E07BA"/>
    <w:rsid w:val="006E2563"/>
    <w:rsid w:val="006F4985"/>
    <w:rsid w:val="006F501D"/>
    <w:rsid w:val="006F5286"/>
    <w:rsid w:val="0070035D"/>
    <w:rsid w:val="0070677D"/>
    <w:rsid w:val="00711F42"/>
    <w:rsid w:val="00712CC0"/>
    <w:rsid w:val="007158D7"/>
    <w:rsid w:val="00717A21"/>
    <w:rsid w:val="007208A9"/>
    <w:rsid w:val="00725F97"/>
    <w:rsid w:val="00752BF7"/>
    <w:rsid w:val="00754051"/>
    <w:rsid w:val="007710EA"/>
    <w:rsid w:val="00771623"/>
    <w:rsid w:val="007760C3"/>
    <w:rsid w:val="00776900"/>
    <w:rsid w:val="00785936"/>
    <w:rsid w:val="007859E1"/>
    <w:rsid w:val="0079751E"/>
    <w:rsid w:val="007A2E79"/>
    <w:rsid w:val="007A434E"/>
    <w:rsid w:val="007B2226"/>
    <w:rsid w:val="007B5693"/>
    <w:rsid w:val="007C10F9"/>
    <w:rsid w:val="007C4EDA"/>
    <w:rsid w:val="00801247"/>
    <w:rsid w:val="00803FF6"/>
    <w:rsid w:val="008172C1"/>
    <w:rsid w:val="0082288B"/>
    <w:rsid w:val="00823008"/>
    <w:rsid w:val="00824EF2"/>
    <w:rsid w:val="00831303"/>
    <w:rsid w:val="00841E9B"/>
    <w:rsid w:val="00845EB3"/>
    <w:rsid w:val="008477D1"/>
    <w:rsid w:val="00854834"/>
    <w:rsid w:val="00866304"/>
    <w:rsid w:val="008700A9"/>
    <w:rsid w:val="00881C5E"/>
    <w:rsid w:val="0089354F"/>
    <w:rsid w:val="0089496B"/>
    <w:rsid w:val="008A2851"/>
    <w:rsid w:val="008B700D"/>
    <w:rsid w:val="008C432A"/>
    <w:rsid w:val="008D4B8A"/>
    <w:rsid w:val="008D4F56"/>
    <w:rsid w:val="008D69EE"/>
    <w:rsid w:val="008E4519"/>
    <w:rsid w:val="008E6BB9"/>
    <w:rsid w:val="00900690"/>
    <w:rsid w:val="0090279B"/>
    <w:rsid w:val="0090371E"/>
    <w:rsid w:val="009126B9"/>
    <w:rsid w:val="00914A11"/>
    <w:rsid w:val="00917226"/>
    <w:rsid w:val="00924E0E"/>
    <w:rsid w:val="0092753D"/>
    <w:rsid w:val="00927F5F"/>
    <w:rsid w:val="00936E66"/>
    <w:rsid w:val="0093752B"/>
    <w:rsid w:val="00942F5C"/>
    <w:rsid w:val="0095506D"/>
    <w:rsid w:val="00955C4D"/>
    <w:rsid w:val="00965024"/>
    <w:rsid w:val="00965566"/>
    <w:rsid w:val="0097055D"/>
    <w:rsid w:val="009709E7"/>
    <w:rsid w:val="00973B75"/>
    <w:rsid w:val="00975185"/>
    <w:rsid w:val="00977769"/>
    <w:rsid w:val="00995806"/>
    <w:rsid w:val="009B13A3"/>
    <w:rsid w:val="009B2092"/>
    <w:rsid w:val="009C126D"/>
    <w:rsid w:val="009C461D"/>
    <w:rsid w:val="009C6DB8"/>
    <w:rsid w:val="009C7ECC"/>
    <w:rsid w:val="009D1211"/>
    <w:rsid w:val="009D5A35"/>
    <w:rsid w:val="009D706A"/>
    <w:rsid w:val="009E6DE9"/>
    <w:rsid w:val="009F1755"/>
    <w:rsid w:val="009F22A5"/>
    <w:rsid w:val="009F2BE6"/>
    <w:rsid w:val="009F327F"/>
    <w:rsid w:val="009F4A3F"/>
    <w:rsid w:val="009F4CFB"/>
    <w:rsid w:val="009F7504"/>
    <w:rsid w:val="00A023D9"/>
    <w:rsid w:val="00A02ED0"/>
    <w:rsid w:val="00A16836"/>
    <w:rsid w:val="00A17EDC"/>
    <w:rsid w:val="00A23AC7"/>
    <w:rsid w:val="00A26B37"/>
    <w:rsid w:val="00A3428A"/>
    <w:rsid w:val="00A379CA"/>
    <w:rsid w:val="00A4034D"/>
    <w:rsid w:val="00A51055"/>
    <w:rsid w:val="00A73229"/>
    <w:rsid w:val="00A73D55"/>
    <w:rsid w:val="00A75F21"/>
    <w:rsid w:val="00A773A3"/>
    <w:rsid w:val="00A77DA3"/>
    <w:rsid w:val="00A81717"/>
    <w:rsid w:val="00A864B6"/>
    <w:rsid w:val="00A86C70"/>
    <w:rsid w:val="00A93C30"/>
    <w:rsid w:val="00AB0F90"/>
    <w:rsid w:val="00AD23BE"/>
    <w:rsid w:val="00AD75F6"/>
    <w:rsid w:val="00B0313B"/>
    <w:rsid w:val="00B1543F"/>
    <w:rsid w:val="00B23431"/>
    <w:rsid w:val="00B27A5E"/>
    <w:rsid w:val="00B27D1A"/>
    <w:rsid w:val="00B30FC6"/>
    <w:rsid w:val="00B442AF"/>
    <w:rsid w:val="00B641F7"/>
    <w:rsid w:val="00B66B07"/>
    <w:rsid w:val="00B74D96"/>
    <w:rsid w:val="00B764A5"/>
    <w:rsid w:val="00B91162"/>
    <w:rsid w:val="00B94557"/>
    <w:rsid w:val="00BA0FA9"/>
    <w:rsid w:val="00BA66DE"/>
    <w:rsid w:val="00BB1215"/>
    <w:rsid w:val="00BB2EE5"/>
    <w:rsid w:val="00BC5D13"/>
    <w:rsid w:val="00BD066C"/>
    <w:rsid w:val="00BD24F4"/>
    <w:rsid w:val="00BD58CB"/>
    <w:rsid w:val="00BE05E5"/>
    <w:rsid w:val="00BF0F53"/>
    <w:rsid w:val="00BF1601"/>
    <w:rsid w:val="00C12E5A"/>
    <w:rsid w:val="00C15531"/>
    <w:rsid w:val="00C16883"/>
    <w:rsid w:val="00C2256D"/>
    <w:rsid w:val="00C262D5"/>
    <w:rsid w:val="00C3702C"/>
    <w:rsid w:val="00C52BC4"/>
    <w:rsid w:val="00C62645"/>
    <w:rsid w:val="00C712F5"/>
    <w:rsid w:val="00C73CFB"/>
    <w:rsid w:val="00C75904"/>
    <w:rsid w:val="00CA2C95"/>
    <w:rsid w:val="00CA4EF6"/>
    <w:rsid w:val="00CC5ABA"/>
    <w:rsid w:val="00CD4C5F"/>
    <w:rsid w:val="00CF0E69"/>
    <w:rsid w:val="00CF1AA1"/>
    <w:rsid w:val="00CF3F0B"/>
    <w:rsid w:val="00CF4B4C"/>
    <w:rsid w:val="00CF5C18"/>
    <w:rsid w:val="00CF79B6"/>
    <w:rsid w:val="00D0001D"/>
    <w:rsid w:val="00D1169D"/>
    <w:rsid w:val="00D200E2"/>
    <w:rsid w:val="00D206FE"/>
    <w:rsid w:val="00D217C1"/>
    <w:rsid w:val="00D2641C"/>
    <w:rsid w:val="00D27C41"/>
    <w:rsid w:val="00D30DD2"/>
    <w:rsid w:val="00D40786"/>
    <w:rsid w:val="00D42A15"/>
    <w:rsid w:val="00D471D2"/>
    <w:rsid w:val="00D6043B"/>
    <w:rsid w:val="00D614B9"/>
    <w:rsid w:val="00D6238B"/>
    <w:rsid w:val="00D64D11"/>
    <w:rsid w:val="00D82692"/>
    <w:rsid w:val="00D85FBB"/>
    <w:rsid w:val="00D87CF1"/>
    <w:rsid w:val="00D96B45"/>
    <w:rsid w:val="00DA1B06"/>
    <w:rsid w:val="00DA3535"/>
    <w:rsid w:val="00DA6634"/>
    <w:rsid w:val="00DB2202"/>
    <w:rsid w:val="00DB2C13"/>
    <w:rsid w:val="00DB78F3"/>
    <w:rsid w:val="00DC2788"/>
    <w:rsid w:val="00DC3E47"/>
    <w:rsid w:val="00DC6EBB"/>
    <w:rsid w:val="00DD3792"/>
    <w:rsid w:val="00DD495D"/>
    <w:rsid w:val="00DD7723"/>
    <w:rsid w:val="00DE4A0D"/>
    <w:rsid w:val="00DE7047"/>
    <w:rsid w:val="00DF3B4B"/>
    <w:rsid w:val="00DF5847"/>
    <w:rsid w:val="00E00D5C"/>
    <w:rsid w:val="00E031D5"/>
    <w:rsid w:val="00E11F55"/>
    <w:rsid w:val="00E12137"/>
    <w:rsid w:val="00E123C5"/>
    <w:rsid w:val="00E15329"/>
    <w:rsid w:val="00E1568A"/>
    <w:rsid w:val="00E167F7"/>
    <w:rsid w:val="00E20F47"/>
    <w:rsid w:val="00E236C9"/>
    <w:rsid w:val="00E2649C"/>
    <w:rsid w:val="00E3301D"/>
    <w:rsid w:val="00E41920"/>
    <w:rsid w:val="00E42991"/>
    <w:rsid w:val="00E5633F"/>
    <w:rsid w:val="00E56C92"/>
    <w:rsid w:val="00E62321"/>
    <w:rsid w:val="00E73065"/>
    <w:rsid w:val="00E734CA"/>
    <w:rsid w:val="00E73792"/>
    <w:rsid w:val="00E768DC"/>
    <w:rsid w:val="00E80C20"/>
    <w:rsid w:val="00E814CA"/>
    <w:rsid w:val="00E85CCA"/>
    <w:rsid w:val="00E96FB8"/>
    <w:rsid w:val="00EA1F5C"/>
    <w:rsid w:val="00EA2156"/>
    <w:rsid w:val="00EB1E7F"/>
    <w:rsid w:val="00EB6E02"/>
    <w:rsid w:val="00EC064B"/>
    <w:rsid w:val="00EC2902"/>
    <w:rsid w:val="00EC3A2C"/>
    <w:rsid w:val="00EC4E00"/>
    <w:rsid w:val="00ED0D82"/>
    <w:rsid w:val="00ED0FD6"/>
    <w:rsid w:val="00ED6003"/>
    <w:rsid w:val="00EE679F"/>
    <w:rsid w:val="00EF14AE"/>
    <w:rsid w:val="00EF1C53"/>
    <w:rsid w:val="00EF266A"/>
    <w:rsid w:val="00EF78D3"/>
    <w:rsid w:val="00F0285C"/>
    <w:rsid w:val="00F03105"/>
    <w:rsid w:val="00F25DDA"/>
    <w:rsid w:val="00F32B9D"/>
    <w:rsid w:val="00F33A92"/>
    <w:rsid w:val="00F435D3"/>
    <w:rsid w:val="00F516B0"/>
    <w:rsid w:val="00F52715"/>
    <w:rsid w:val="00F576DA"/>
    <w:rsid w:val="00F64752"/>
    <w:rsid w:val="00F67E92"/>
    <w:rsid w:val="00F70970"/>
    <w:rsid w:val="00F71F4C"/>
    <w:rsid w:val="00F812A0"/>
    <w:rsid w:val="00F867E0"/>
    <w:rsid w:val="00F9442F"/>
    <w:rsid w:val="00FA72E9"/>
    <w:rsid w:val="00FA7DC5"/>
    <w:rsid w:val="00FB0A84"/>
    <w:rsid w:val="00FB6C6A"/>
    <w:rsid w:val="00FC1917"/>
    <w:rsid w:val="00FC6DDB"/>
    <w:rsid w:val="00FD04B9"/>
    <w:rsid w:val="00FE4001"/>
    <w:rsid w:val="00FE4CD1"/>
    <w:rsid w:val="00FE711D"/>
    <w:rsid w:val="00FE7DDB"/>
    <w:rsid w:val="00FF0418"/>
    <w:rsid w:val="00FF62EE"/>
    <w:rsid w:val="037F6695"/>
    <w:rsid w:val="04A216D7"/>
    <w:rsid w:val="04C312AC"/>
    <w:rsid w:val="0B927A0A"/>
    <w:rsid w:val="0D342E55"/>
    <w:rsid w:val="0FE6041F"/>
    <w:rsid w:val="12B41F8A"/>
    <w:rsid w:val="177D0CF4"/>
    <w:rsid w:val="19103E29"/>
    <w:rsid w:val="1A383AF2"/>
    <w:rsid w:val="1C61021D"/>
    <w:rsid w:val="1DDC5DD6"/>
    <w:rsid w:val="1E027B98"/>
    <w:rsid w:val="21203DA5"/>
    <w:rsid w:val="214111B0"/>
    <w:rsid w:val="21F678A2"/>
    <w:rsid w:val="23321C49"/>
    <w:rsid w:val="2485597A"/>
    <w:rsid w:val="283A4232"/>
    <w:rsid w:val="2AAF1F5D"/>
    <w:rsid w:val="2B0626A5"/>
    <w:rsid w:val="2B6B256A"/>
    <w:rsid w:val="2D3328C3"/>
    <w:rsid w:val="2F9C3583"/>
    <w:rsid w:val="30113759"/>
    <w:rsid w:val="31655F3E"/>
    <w:rsid w:val="332A6804"/>
    <w:rsid w:val="33D95DB9"/>
    <w:rsid w:val="34AB660A"/>
    <w:rsid w:val="34AC0CBF"/>
    <w:rsid w:val="3523108A"/>
    <w:rsid w:val="3BC82C45"/>
    <w:rsid w:val="3CE102FD"/>
    <w:rsid w:val="3FBB7BE6"/>
    <w:rsid w:val="43887833"/>
    <w:rsid w:val="481B61FC"/>
    <w:rsid w:val="48462B75"/>
    <w:rsid w:val="49E32A73"/>
    <w:rsid w:val="4DFF2570"/>
    <w:rsid w:val="526B5A74"/>
    <w:rsid w:val="536527B8"/>
    <w:rsid w:val="549A13C0"/>
    <w:rsid w:val="5844583F"/>
    <w:rsid w:val="58B775F4"/>
    <w:rsid w:val="596B5F7E"/>
    <w:rsid w:val="5AF01FD9"/>
    <w:rsid w:val="5B3F22AC"/>
    <w:rsid w:val="68E15B3E"/>
    <w:rsid w:val="69270594"/>
    <w:rsid w:val="6983542A"/>
    <w:rsid w:val="6AEF2274"/>
    <w:rsid w:val="6E4D1ADF"/>
    <w:rsid w:val="6FDD08A3"/>
    <w:rsid w:val="70F36F9D"/>
    <w:rsid w:val="71CA377D"/>
    <w:rsid w:val="7525444D"/>
    <w:rsid w:val="758A081A"/>
    <w:rsid w:val="76537ACB"/>
    <w:rsid w:val="77EE185B"/>
    <w:rsid w:val="7EF8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47366B"/>
    <w:pPr>
      <w:jc w:val="left"/>
    </w:pPr>
  </w:style>
  <w:style w:type="paragraph" w:styleId="a4">
    <w:name w:val="Balloon Text"/>
    <w:basedOn w:val="a"/>
    <w:link w:val="Char0"/>
    <w:qFormat/>
    <w:rsid w:val="0047366B"/>
    <w:rPr>
      <w:sz w:val="18"/>
      <w:szCs w:val="18"/>
    </w:rPr>
  </w:style>
  <w:style w:type="paragraph" w:styleId="a5">
    <w:name w:val="footer"/>
    <w:basedOn w:val="a"/>
    <w:qFormat/>
    <w:rsid w:val="004736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736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annotation subject"/>
    <w:basedOn w:val="a3"/>
    <w:next w:val="a3"/>
    <w:link w:val="Char1"/>
    <w:qFormat/>
    <w:rsid w:val="0047366B"/>
    <w:rPr>
      <w:b/>
      <w:bCs/>
    </w:rPr>
  </w:style>
  <w:style w:type="character" w:styleId="a8">
    <w:name w:val="Emphasis"/>
    <w:uiPriority w:val="20"/>
    <w:qFormat/>
    <w:rsid w:val="0047366B"/>
    <w:rPr>
      <w:i/>
      <w:iCs/>
    </w:rPr>
  </w:style>
  <w:style w:type="character" w:styleId="a9">
    <w:name w:val="annotation reference"/>
    <w:qFormat/>
    <w:rsid w:val="0047366B"/>
    <w:rPr>
      <w:sz w:val="21"/>
      <w:szCs w:val="21"/>
    </w:rPr>
  </w:style>
  <w:style w:type="character" w:customStyle="1" w:styleId="Char">
    <w:name w:val="批注文字 Char"/>
    <w:link w:val="a3"/>
    <w:qFormat/>
    <w:rsid w:val="0047366B"/>
    <w:rPr>
      <w:kern w:val="2"/>
      <w:sz w:val="21"/>
      <w:szCs w:val="24"/>
    </w:rPr>
  </w:style>
  <w:style w:type="character" w:customStyle="1" w:styleId="Char1">
    <w:name w:val="批注主题 Char"/>
    <w:link w:val="a7"/>
    <w:qFormat/>
    <w:rsid w:val="0047366B"/>
    <w:rPr>
      <w:b/>
      <w:bCs/>
      <w:kern w:val="2"/>
      <w:sz w:val="21"/>
      <w:szCs w:val="24"/>
    </w:rPr>
  </w:style>
  <w:style w:type="character" w:customStyle="1" w:styleId="Char0">
    <w:name w:val="批注框文本 Char"/>
    <w:link w:val="a4"/>
    <w:qFormat/>
    <w:rsid w:val="0047366B"/>
    <w:rPr>
      <w:kern w:val="2"/>
      <w:sz w:val="18"/>
      <w:szCs w:val="18"/>
    </w:rPr>
  </w:style>
  <w:style w:type="paragraph" w:customStyle="1" w:styleId="1">
    <w:name w:val="列出段落1"/>
    <w:uiPriority w:val="34"/>
    <w:qFormat/>
    <w:rsid w:val="0047366B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4736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007B947-3FFB-4A7B-9BBE-3231FE2C1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484</Words>
  <Characters>2764</Characters>
  <Application>Microsoft Office Word</Application>
  <DocSecurity>0</DocSecurity>
  <Lines>23</Lines>
  <Paragraphs>6</Paragraphs>
  <ScaleCrop>false</ScaleCrop>
  <Company>P R C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证券代码：002591                      证券简称：恒大高新</dc:title>
  <dc:creator>yh</dc:creator>
  <cp:lastModifiedBy>Microsoft</cp:lastModifiedBy>
  <cp:revision>7</cp:revision>
  <cp:lastPrinted>2020-03-17T09:47:00Z</cp:lastPrinted>
  <dcterms:created xsi:type="dcterms:W3CDTF">2020-04-28T07:58:00Z</dcterms:created>
  <dcterms:modified xsi:type="dcterms:W3CDTF">2020-04-28T09:39:00Z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