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证券代码：</w:t>
      </w:r>
      <w:r>
        <w:rPr>
          <w:rFonts w:ascii="Times New Roman" w:hAnsi="Times New Roman" w:eastAsiaTheme="minorEastAsia"/>
        </w:rPr>
        <w:t xml:space="preserve">300665                                    </w:t>
      </w:r>
      <w:r>
        <w:rPr>
          <w:rFonts w:ascii="Times New Roman" w:hAnsiTheme="minorEastAsia" w:eastAsiaTheme="minorEastAsia"/>
        </w:rPr>
        <w:t>证券简称：飞鹿股份</w:t>
      </w:r>
    </w:p>
    <w:p>
      <w:pPr>
        <w:pStyle w:val="4"/>
        <w:spacing w:before="0" w:beforeAutospacing="0" w:after="0" w:afterAutospacing="0" w:line="360" w:lineRule="auto"/>
        <w:ind w:firstLine="482" w:firstLineChars="200"/>
        <w:jc w:val="center"/>
        <w:rPr>
          <w:rFonts w:ascii="Times New Roman" w:hAnsi="Times New Roman" w:eastAsiaTheme="minorEastAsia"/>
          <w:b/>
        </w:rPr>
      </w:pPr>
      <w:r>
        <w:rPr>
          <w:rFonts w:ascii="Times New Roman" w:hAnsiTheme="minorEastAsia" w:eastAsiaTheme="minorEastAsia"/>
          <w:b/>
        </w:rPr>
        <w:t>株洲飞鹿高新材料技术股份有限公司投资者关系活动记录表</w:t>
      </w:r>
    </w:p>
    <w:p>
      <w:pPr>
        <w:pStyle w:val="4"/>
        <w:spacing w:before="0" w:beforeAutospacing="0" w:after="0" w:afterAutospacing="0" w:line="360" w:lineRule="auto"/>
        <w:ind w:firstLine="480" w:firstLineChars="200"/>
        <w:jc w:val="right"/>
        <w:rPr>
          <w:rFonts w:ascii="Times New Roman" w:hAnsi="Times New Roman" w:eastAsiaTheme="minorEastAsia"/>
        </w:rPr>
      </w:pPr>
      <w:r>
        <w:rPr>
          <w:rFonts w:ascii="Times New Roman" w:hAnsiTheme="minorEastAsia" w:eastAsiaTheme="minorEastAsia"/>
        </w:rPr>
        <w:t>编号：</w:t>
      </w:r>
      <w:r>
        <w:rPr>
          <w:rFonts w:ascii="Times New Roman" w:hAnsi="Times New Roman" w:eastAsiaTheme="minorEastAsia"/>
        </w:rPr>
        <w:t>20</w:t>
      </w:r>
      <w:r>
        <w:rPr>
          <w:rFonts w:hint="eastAsia" w:ascii="Times New Roman" w:hAnsi="Times New Roman" w:eastAsiaTheme="minorEastAsia"/>
          <w:lang w:val="en-US" w:eastAsia="zh-CN"/>
        </w:rPr>
        <w:t>20</w:t>
      </w:r>
      <w:r>
        <w:rPr>
          <w:rFonts w:ascii="Times New Roman" w:hAnsi="Times New Roman" w:eastAsiaTheme="minorEastAsia"/>
        </w:rPr>
        <w:t>-001</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投资者关系活动类别</w:t>
            </w:r>
          </w:p>
        </w:tc>
        <w:tc>
          <w:tcPr>
            <w:tcW w:w="5579" w:type="dxa"/>
          </w:tcPr>
          <w:p>
            <w:pPr>
              <w:pStyle w:val="4"/>
              <w:spacing w:line="360" w:lineRule="auto"/>
              <w:rPr>
                <w:rFonts w:ascii="Times New Roman" w:hAnsi="Times New Roman" w:eastAsiaTheme="minorEastAsia"/>
              </w:rPr>
            </w:pPr>
            <w:r>
              <w:rPr>
                <w:rFonts w:ascii="Times New Roman" w:hAnsi="Times New Roman" w:eastAsiaTheme="minorEastAsia"/>
              </w:rPr>
              <w:t>□</w:t>
            </w:r>
            <w:r>
              <w:rPr>
                <w:rFonts w:ascii="Times New Roman" w:hAnsiTheme="minorEastAsia" w:eastAsiaTheme="minorEastAsia"/>
              </w:rPr>
              <w:t>特定对象调研</w:t>
            </w:r>
            <w:r>
              <w:rPr>
                <w:rFonts w:ascii="Times New Roman" w:hAnsi="Times New Roman" w:eastAsiaTheme="minorEastAsia"/>
              </w:rPr>
              <w:t xml:space="preserve"> □</w:t>
            </w:r>
            <w:r>
              <w:rPr>
                <w:rFonts w:ascii="Times New Roman" w:hAnsiTheme="minorEastAsia" w:eastAsiaTheme="minorEastAsia"/>
              </w:rPr>
              <w:t>分析师会议</w:t>
            </w:r>
          </w:p>
          <w:p>
            <w:pPr>
              <w:pStyle w:val="4"/>
              <w:spacing w:line="360" w:lineRule="auto"/>
              <w:rPr>
                <w:rFonts w:ascii="Times New Roman" w:hAnsi="Times New Roman" w:eastAsiaTheme="minorEastAsia"/>
              </w:rPr>
            </w:pPr>
            <w:r>
              <w:rPr>
                <w:rFonts w:ascii="Times New Roman" w:hAnsi="Times New Roman" w:eastAsiaTheme="minorEastAsia"/>
              </w:rPr>
              <w:t>□</w:t>
            </w:r>
            <w:r>
              <w:rPr>
                <w:rFonts w:ascii="Times New Roman" w:hAnsiTheme="minorEastAsia" w:eastAsiaTheme="minorEastAsia"/>
              </w:rPr>
              <w:t>媒体采访</w:t>
            </w:r>
            <w:r>
              <w:rPr>
                <w:rFonts w:ascii="Times New Roman" w:hAnsi="Times New Roman" w:eastAsiaTheme="minorEastAsia"/>
              </w:rPr>
              <w:t xml:space="preserve"> </w:t>
            </w:r>
            <w:r>
              <w:rPr>
                <w:rFonts w:ascii="Times New Roman" w:hAnsi="Times New Roman" w:eastAsia="MS Mincho"/>
              </w:rPr>
              <w:t>☑</w:t>
            </w:r>
            <w:r>
              <w:rPr>
                <w:rFonts w:ascii="Times New Roman" w:hAnsiTheme="minorEastAsia" w:eastAsiaTheme="minorEastAsia"/>
              </w:rPr>
              <w:t>业绩说明会</w:t>
            </w:r>
          </w:p>
          <w:p>
            <w:pPr>
              <w:pStyle w:val="4"/>
              <w:spacing w:line="360" w:lineRule="auto"/>
              <w:rPr>
                <w:rFonts w:ascii="Times New Roman" w:hAnsi="Times New Roman" w:eastAsiaTheme="minorEastAsia"/>
              </w:rPr>
            </w:pPr>
            <w:r>
              <w:rPr>
                <w:rFonts w:ascii="Times New Roman" w:hAnsi="Times New Roman" w:eastAsiaTheme="minorEastAsia"/>
              </w:rPr>
              <w:t>□</w:t>
            </w:r>
            <w:r>
              <w:rPr>
                <w:rFonts w:ascii="Times New Roman" w:hAnsiTheme="minorEastAsia" w:eastAsiaTheme="minorEastAsia"/>
              </w:rPr>
              <w:t>新闻发布会</w:t>
            </w:r>
            <w:r>
              <w:rPr>
                <w:rFonts w:ascii="Times New Roman" w:hAnsi="Times New Roman" w:eastAsiaTheme="minorEastAsia"/>
              </w:rPr>
              <w:t xml:space="preserve"> □</w:t>
            </w:r>
            <w:r>
              <w:rPr>
                <w:rFonts w:ascii="Times New Roman" w:hAnsiTheme="minorEastAsia" w:eastAsiaTheme="minorEastAsia"/>
              </w:rPr>
              <w:t>路演活动</w:t>
            </w:r>
          </w:p>
          <w:p>
            <w:pPr>
              <w:pStyle w:val="4"/>
              <w:spacing w:line="360" w:lineRule="auto"/>
              <w:rPr>
                <w:rFonts w:ascii="Times New Roman" w:hAnsi="Times New Roman" w:eastAsiaTheme="minorEastAsia"/>
              </w:rPr>
            </w:pPr>
            <w:r>
              <w:rPr>
                <w:rFonts w:ascii="Times New Roman" w:hAnsi="Times New Roman" w:eastAsiaTheme="minorEastAsia"/>
              </w:rPr>
              <w:t>□</w:t>
            </w:r>
            <w:r>
              <w:rPr>
                <w:rFonts w:ascii="Times New Roman" w:hAnsiTheme="minorEastAsia" w:eastAsiaTheme="minorEastAsia"/>
              </w:rPr>
              <w:t>现场参观</w:t>
            </w:r>
          </w:p>
          <w:p>
            <w:pPr>
              <w:pStyle w:val="4"/>
              <w:spacing w:before="0" w:beforeAutospacing="0" w:after="0" w:afterAutospacing="0" w:line="360" w:lineRule="auto"/>
              <w:rPr>
                <w:rFonts w:ascii="Times New Roman" w:hAnsi="Times New Roman" w:eastAsiaTheme="minorEastAsia"/>
              </w:rPr>
            </w:pPr>
            <w:r>
              <w:rPr>
                <w:rFonts w:ascii="Times New Roman" w:hAnsi="Times New Roman" w:eastAsiaTheme="minorEastAsia"/>
              </w:rPr>
              <w:t>□</w:t>
            </w:r>
            <w:r>
              <w:rPr>
                <w:rFonts w:ascii="Times New Roman" w:hAnsiTheme="minorEastAsia" w:eastAsiaTheme="minorEastAsia"/>
              </w:rPr>
              <w:t>其他</w:t>
            </w:r>
            <w:r>
              <w:rPr>
                <w:rFonts w:ascii="Times New Roman" w:hAnsi="Times New Roman" w:eastAsiaTheme="minorEastAsia"/>
              </w:rPr>
              <w:t xml:space="preserve"> </w:t>
            </w:r>
            <w:r>
              <w:rPr>
                <w:rFonts w:ascii="Times New Roman" w:hAnsiTheme="minorEastAsia" w:eastAsiaTheme="minorEastAsia"/>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2943"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参与单位名称及人员姓名</w:t>
            </w:r>
          </w:p>
        </w:tc>
        <w:tc>
          <w:tcPr>
            <w:tcW w:w="5579"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广大</w:t>
            </w:r>
            <w:r>
              <w:rPr>
                <w:rFonts w:ascii="Times New Roman" w:hAnsi="Times New Roman" w:eastAsiaTheme="minorEastAsia"/>
              </w:rPr>
              <w:t>A</w:t>
            </w:r>
            <w:r>
              <w:rPr>
                <w:rFonts w:ascii="Times New Roman" w:hAnsiTheme="minorEastAsia" w:eastAsiaTheme="minorEastAsia"/>
              </w:rPr>
              <w:t>股投资者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时间</w:t>
            </w:r>
          </w:p>
        </w:tc>
        <w:tc>
          <w:tcPr>
            <w:tcW w:w="5579" w:type="dxa"/>
          </w:tcPr>
          <w:p>
            <w:pPr>
              <w:pStyle w:val="4"/>
              <w:spacing w:before="0" w:beforeAutospacing="0" w:after="0" w:afterAutospacing="0" w:line="360" w:lineRule="auto"/>
              <w:rPr>
                <w:rFonts w:ascii="Times New Roman" w:hAnsi="Times New Roman" w:eastAsiaTheme="minorEastAsia"/>
              </w:rPr>
            </w:pPr>
            <w:r>
              <w:rPr>
                <w:rFonts w:ascii="Times New Roman" w:hAnsi="Times New Roman" w:eastAsiaTheme="minorEastAsia"/>
              </w:rPr>
              <w:t>20</w:t>
            </w:r>
            <w:r>
              <w:rPr>
                <w:rFonts w:hint="eastAsia" w:ascii="Times New Roman" w:hAnsi="Times New Roman" w:eastAsiaTheme="minorEastAsia"/>
                <w:lang w:val="en-US" w:eastAsia="zh-CN"/>
              </w:rPr>
              <w:t>20</w:t>
            </w:r>
            <w:r>
              <w:rPr>
                <w:rFonts w:ascii="Times New Roman" w:hAnsiTheme="minorEastAsia" w:eastAsiaTheme="minorEastAsia"/>
              </w:rPr>
              <w:t>年</w:t>
            </w:r>
            <w:r>
              <w:rPr>
                <w:rFonts w:ascii="Times New Roman" w:hAnsi="Times New Roman" w:eastAsiaTheme="minorEastAsia"/>
              </w:rPr>
              <w:t>4</w:t>
            </w:r>
            <w:r>
              <w:rPr>
                <w:rFonts w:ascii="Times New Roman" w:hAnsiTheme="minorEastAsia" w:eastAsiaTheme="minorEastAsia"/>
              </w:rPr>
              <w:t>月</w:t>
            </w:r>
            <w:r>
              <w:rPr>
                <w:rFonts w:ascii="Times New Roman" w:hAnsi="Times New Roman" w:eastAsiaTheme="minorEastAsia"/>
              </w:rPr>
              <w:t>2</w:t>
            </w:r>
            <w:r>
              <w:rPr>
                <w:rFonts w:hint="eastAsia" w:ascii="Times New Roman" w:hAnsi="Times New Roman" w:eastAsiaTheme="minorEastAsia"/>
                <w:lang w:val="en-US" w:eastAsia="zh-CN"/>
              </w:rPr>
              <w:t>8</w:t>
            </w:r>
            <w:r>
              <w:rPr>
                <w:rFonts w:ascii="Times New Roman" w:hAnsiTheme="minorEastAsia" w:eastAsiaTheme="minorEastAsia"/>
              </w:rPr>
              <w:t>日下午</w:t>
            </w:r>
            <w:r>
              <w:rPr>
                <w:rFonts w:ascii="Times New Roman" w:hAnsi="Times New Roman" w:eastAsiaTheme="minorEastAsia"/>
              </w:rPr>
              <w:t>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地点</w:t>
            </w:r>
          </w:p>
        </w:tc>
        <w:tc>
          <w:tcPr>
            <w:tcW w:w="5579" w:type="dxa"/>
          </w:tcPr>
          <w:p>
            <w:pPr>
              <w:pStyle w:val="4"/>
              <w:spacing w:before="0" w:beforeAutospacing="0" w:after="0" w:afterAutospacing="0" w:line="360" w:lineRule="auto"/>
              <w:rPr>
                <w:rFonts w:ascii="Times New Roman" w:hAnsi="Times New Roman" w:eastAsiaTheme="minorEastAsia"/>
              </w:rPr>
            </w:pPr>
            <w:r>
              <w:rPr>
                <w:rFonts w:ascii="Times New Roman" w:hAnsi="Times New Roman" w:eastAsiaTheme="minorEastAsia"/>
              </w:rPr>
              <w:t>“</w:t>
            </w:r>
            <w:r>
              <w:rPr>
                <w:rFonts w:ascii="Times New Roman" w:hAnsiTheme="minorEastAsia" w:eastAsiaTheme="minorEastAsia"/>
              </w:rPr>
              <w:t>全景</w:t>
            </w:r>
            <w:r>
              <w:rPr>
                <w:rFonts w:ascii="Times New Roman" w:hAnsi="Times New Roman" w:eastAsiaTheme="minorEastAsia"/>
              </w:rPr>
              <w:t>·</w:t>
            </w:r>
            <w:r>
              <w:rPr>
                <w:rFonts w:ascii="Times New Roman" w:hAnsiTheme="minorEastAsia" w:eastAsiaTheme="minorEastAsia"/>
              </w:rPr>
              <w:t>路演天下</w:t>
            </w:r>
            <w:r>
              <w:rPr>
                <w:rFonts w:ascii="Times New Roman" w:hAnsi="Times New Roman" w:eastAsiaTheme="minorEastAsia"/>
              </w:rPr>
              <w:t>”</w:t>
            </w:r>
            <w:r>
              <w:rPr>
                <w:rFonts w:ascii="Times New Roman" w:hAnsiTheme="minorEastAsia" w:eastAsiaTheme="minorEastAsia"/>
              </w:rPr>
              <w:t>（</w:t>
            </w:r>
            <w:r>
              <w:rPr>
                <w:rFonts w:ascii="Times New Roman" w:hAnsi="Times New Roman" w:eastAsiaTheme="minorEastAsia"/>
              </w:rPr>
              <w:t>http://rs.p5w.net</w:t>
            </w:r>
            <w:r>
              <w:rPr>
                <w:rFonts w:ascii="Times New Roman"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943"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上市公司接待人员姓名</w:t>
            </w:r>
          </w:p>
        </w:tc>
        <w:tc>
          <w:tcPr>
            <w:tcW w:w="5579"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章卫国、</w:t>
            </w:r>
            <w:r>
              <w:rPr>
                <w:rFonts w:hint="eastAsia" w:ascii="Times New Roman" w:hAnsiTheme="minorEastAsia" w:eastAsiaTheme="minorEastAsia"/>
                <w:lang w:eastAsia="zh-CN"/>
              </w:rPr>
              <w:t>范国栋</w:t>
            </w:r>
            <w:r>
              <w:rPr>
                <w:rFonts w:ascii="Times New Roman" w:hAnsiTheme="minorEastAsia" w:eastAsiaTheme="minorEastAsia"/>
              </w:rPr>
              <w:t>、何晓锋、韩驭安、</w:t>
            </w:r>
            <w:r>
              <w:rPr>
                <w:rFonts w:hint="eastAsia" w:ascii="Times New Roman" w:hAnsiTheme="minorEastAsia" w:eastAsiaTheme="minorEastAsia"/>
                <w:lang w:eastAsia="zh-CN"/>
              </w:rPr>
              <w:t>潘红波</w:t>
            </w:r>
            <w:r>
              <w:rPr>
                <w:rFonts w:ascii="Times New Roman" w:hAnsiTheme="minorEastAsia" w:eastAsiaTheme="minorEastAsia"/>
              </w:rPr>
              <w:t>、刘平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2943"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投资者关系活动主要内容介绍</w:t>
            </w:r>
          </w:p>
        </w:tc>
        <w:tc>
          <w:tcPr>
            <w:tcW w:w="5579"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为使投资者能够更加深入、全面地了解公司</w:t>
            </w:r>
            <w:r>
              <w:rPr>
                <w:rFonts w:ascii="Times New Roman" w:hAnsi="Times New Roman" w:eastAsiaTheme="minorEastAsia"/>
              </w:rPr>
              <w:t>20</w:t>
            </w:r>
            <w:r>
              <w:rPr>
                <w:rFonts w:hint="eastAsia" w:ascii="Times New Roman" w:hAnsi="Times New Roman" w:eastAsiaTheme="minorEastAsia"/>
                <w:lang w:val="en-US" w:eastAsia="zh-CN"/>
              </w:rPr>
              <w:t>19</w:t>
            </w:r>
            <w:r>
              <w:rPr>
                <w:rFonts w:ascii="Times New Roman" w:hAnsiTheme="minorEastAsia" w:eastAsiaTheme="minorEastAsia"/>
              </w:rPr>
              <w:t>年度的经营情况，公司于</w:t>
            </w:r>
            <w:r>
              <w:rPr>
                <w:rFonts w:ascii="Times New Roman" w:hAnsi="Times New Roman" w:eastAsiaTheme="minorEastAsia"/>
              </w:rPr>
              <w:t>20</w:t>
            </w:r>
            <w:r>
              <w:rPr>
                <w:rFonts w:hint="eastAsia" w:ascii="Times New Roman" w:hAnsi="Times New Roman" w:eastAsiaTheme="minorEastAsia"/>
                <w:lang w:val="en-US" w:eastAsia="zh-CN"/>
              </w:rPr>
              <w:t>20</w:t>
            </w:r>
            <w:r>
              <w:rPr>
                <w:rFonts w:ascii="Times New Roman" w:hAnsiTheme="minorEastAsia" w:eastAsiaTheme="minorEastAsia"/>
              </w:rPr>
              <w:t>年</w:t>
            </w:r>
            <w:r>
              <w:rPr>
                <w:rFonts w:ascii="Times New Roman" w:hAnsi="Times New Roman" w:eastAsiaTheme="minorEastAsia"/>
              </w:rPr>
              <w:t>4</w:t>
            </w:r>
            <w:r>
              <w:rPr>
                <w:rFonts w:ascii="Times New Roman" w:hAnsiTheme="minorEastAsia" w:eastAsiaTheme="minorEastAsia"/>
              </w:rPr>
              <w:t>月</w:t>
            </w:r>
            <w:r>
              <w:rPr>
                <w:rFonts w:ascii="Times New Roman" w:hAnsi="Times New Roman" w:eastAsiaTheme="minorEastAsia"/>
              </w:rPr>
              <w:t>2</w:t>
            </w:r>
            <w:r>
              <w:rPr>
                <w:rFonts w:hint="eastAsia" w:ascii="Times New Roman" w:hAnsi="Times New Roman" w:eastAsiaTheme="minorEastAsia"/>
                <w:lang w:val="en-US" w:eastAsia="zh-CN"/>
              </w:rPr>
              <w:t>8</w:t>
            </w:r>
            <w:r>
              <w:rPr>
                <w:rFonts w:ascii="Times New Roman" w:hAnsiTheme="minorEastAsia" w:eastAsiaTheme="minorEastAsia"/>
              </w:rPr>
              <w:t>日（星期</w:t>
            </w:r>
            <w:r>
              <w:rPr>
                <w:rFonts w:hint="eastAsia" w:ascii="Times New Roman" w:hAnsiTheme="minorEastAsia" w:eastAsiaTheme="minorEastAsia"/>
                <w:lang w:eastAsia="zh-CN"/>
              </w:rPr>
              <w:t>二</w:t>
            </w:r>
            <w:r>
              <w:rPr>
                <w:rFonts w:ascii="Times New Roman" w:hAnsiTheme="minorEastAsia" w:eastAsiaTheme="minorEastAsia"/>
              </w:rPr>
              <w:t>）下午</w:t>
            </w:r>
            <w:r>
              <w:rPr>
                <w:rFonts w:ascii="Times New Roman" w:hAnsi="Times New Roman" w:eastAsiaTheme="minorEastAsia"/>
              </w:rPr>
              <w:t xml:space="preserve">15:00-17:00 </w:t>
            </w:r>
            <w:r>
              <w:rPr>
                <w:rFonts w:ascii="Times New Roman" w:hAnsiTheme="minorEastAsia" w:eastAsiaTheme="minorEastAsia"/>
              </w:rPr>
              <w:t>在全景网举办</w:t>
            </w:r>
            <w:r>
              <w:rPr>
                <w:rFonts w:ascii="Times New Roman" w:hAnsi="Times New Roman" w:eastAsiaTheme="minorEastAsia"/>
              </w:rPr>
              <w:t>201</w:t>
            </w:r>
            <w:r>
              <w:rPr>
                <w:rFonts w:hint="eastAsia" w:ascii="Times New Roman" w:hAnsi="Times New Roman" w:eastAsiaTheme="minorEastAsia"/>
                <w:lang w:val="en-US" w:eastAsia="zh-CN"/>
              </w:rPr>
              <w:t>9</w:t>
            </w:r>
            <w:r>
              <w:rPr>
                <w:rFonts w:ascii="Times New Roman" w:hAnsi="Times New Roman" w:eastAsiaTheme="minorEastAsia"/>
              </w:rPr>
              <w:t xml:space="preserve"> </w:t>
            </w:r>
            <w:r>
              <w:rPr>
                <w:rFonts w:ascii="Times New Roman" w:hAnsiTheme="minorEastAsia" w:eastAsiaTheme="minorEastAsia"/>
              </w:rPr>
              <w:t>年度网上业绩说明会，本次年度业绩说明会采用网络远程的方式举行，投资者登陆</w:t>
            </w:r>
            <w:r>
              <w:rPr>
                <w:rFonts w:ascii="Times New Roman" w:hAnsi="Times New Roman" w:eastAsiaTheme="minorEastAsia"/>
              </w:rPr>
              <w:t>“</w:t>
            </w:r>
            <w:r>
              <w:rPr>
                <w:rFonts w:ascii="Times New Roman" w:hAnsiTheme="minorEastAsia" w:eastAsiaTheme="minorEastAsia"/>
              </w:rPr>
              <w:t>全景</w:t>
            </w:r>
            <w:r>
              <w:rPr>
                <w:rFonts w:ascii="Times New Roman" w:hAnsi="Times New Roman" w:eastAsiaTheme="minorEastAsia"/>
              </w:rPr>
              <w:t>·</w:t>
            </w:r>
            <w:r>
              <w:rPr>
                <w:rFonts w:ascii="Times New Roman" w:hAnsiTheme="minorEastAsia" w:eastAsiaTheme="minorEastAsia"/>
              </w:rPr>
              <w:t>路演天下</w:t>
            </w:r>
            <w:r>
              <w:rPr>
                <w:rFonts w:ascii="Times New Roman" w:hAnsi="Times New Roman" w:eastAsiaTheme="minorEastAsia"/>
              </w:rPr>
              <w:t>”</w:t>
            </w:r>
            <w:r>
              <w:rPr>
                <w:rFonts w:ascii="Times New Roman" w:hAnsiTheme="minorEastAsia" w:eastAsiaTheme="minorEastAsia"/>
              </w:rPr>
              <w:t>（</w:t>
            </w:r>
            <w:r>
              <w:rPr>
                <w:rFonts w:ascii="Times New Roman" w:hAnsi="Times New Roman" w:eastAsiaTheme="minorEastAsia"/>
              </w:rPr>
              <w:t>http://rs.p5w.net</w:t>
            </w:r>
            <w:r>
              <w:rPr>
                <w:rFonts w:ascii="Times New Roman" w:hAnsiTheme="minorEastAsia" w:eastAsiaTheme="minorEastAsia"/>
              </w:rPr>
              <w:t>）参与本次年度业绩说明会。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附件清单（如有）</w:t>
            </w:r>
          </w:p>
        </w:tc>
        <w:tc>
          <w:tcPr>
            <w:tcW w:w="5579"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4"/>
              <w:spacing w:before="0" w:beforeAutospacing="0" w:after="0" w:afterAutospacing="0" w:line="360" w:lineRule="auto"/>
              <w:rPr>
                <w:rFonts w:ascii="Times New Roman" w:hAnsi="Times New Roman" w:eastAsiaTheme="minorEastAsia"/>
              </w:rPr>
            </w:pPr>
            <w:r>
              <w:rPr>
                <w:rFonts w:ascii="Times New Roman" w:hAnsiTheme="minorEastAsia" w:eastAsiaTheme="minorEastAsia"/>
              </w:rPr>
              <w:t>日期</w:t>
            </w:r>
          </w:p>
        </w:tc>
        <w:tc>
          <w:tcPr>
            <w:tcW w:w="5579" w:type="dxa"/>
          </w:tcPr>
          <w:p>
            <w:pPr>
              <w:pStyle w:val="4"/>
              <w:spacing w:before="0" w:beforeAutospacing="0" w:after="0" w:afterAutospacing="0" w:line="360" w:lineRule="auto"/>
              <w:rPr>
                <w:rFonts w:ascii="Times New Roman" w:hAnsi="Times New Roman" w:eastAsiaTheme="minorEastAsia"/>
              </w:rPr>
            </w:pPr>
            <w:r>
              <w:rPr>
                <w:rFonts w:ascii="Times New Roman" w:hAnsi="Times New Roman" w:eastAsiaTheme="minorEastAsia"/>
              </w:rPr>
              <w:t>20</w:t>
            </w:r>
            <w:r>
              <w:rPr>
                <w:rFonts w:hint="eastAsia" w:ascii="Times New Roman" w:hAnsi="Times New Roman" w:eastAsiaTheme="minorEastAsia"/>
                <w:lang w:val="en-US" w:eastAsia="zh-CN"/>
              </w:rPr>
              <w:t>20</w:t>
            </w:r>
            <w:r>
              <w:rPr>
                <w:rFonts w:ascii="Times New Roman" w:hAnsiTheme="minorEastAsia" w:eastAsiaTheme="minorEastAsia"/>
              </w:rPr>
              <w:t>年</w:t>
            </w:r>
            <w:r>
              <w:rPr>
                <w:rFonts w:ascii="Times New Roman" w:hAnsi="Times New Roman" w:eastAsiaTheme="minorEastAsia"/>
              </w:rPr>
              <w:t>4</w:t>
            </w:r>
            <w:r>
              <w:rPr>
                <w:rFonts w:ascii="Times New Roman" w:hAnsiTheme="minorEastAsia" w:eastAsiaTheme="minorEastAsia"/>
              </w:rPr>
              <w:t>月</w:t>
            </w:r>
            <w:r>
              <w:rPr>
                <w:rFonts w:ascii="Times New Roman" w:hAnsi="Times New Roman" w:eastAsiaTheme="minorEastAsia"/>
              </w:rPr>
              <w:t>2</w:t>
            </w:r>
            <w:r>
              <w:rPr>
                <w:rFonts w:hint="eastAsia" w:ascii="Times New Roman" w:hAnsi="Times New Roman" w:eastAsiaTheme="minorEastAsia"/>
                <w:lang w:val="en-US" w:eastAsia="zh-CN"/>
              </w:rPr>
              <w:t>8</w:t>
            </w:r>
            <w:r>
              <w:rPr>
                <w:rFonts w:ascii="Times New Roman" w:hAnsiTheme="minorEastAsia" w:eastAsiaTheme="minorEastAsia"/>
              </w:rPr>
              <w:t>日</w:t>
            </w:r>
          </w:p>
        </w:tc>
      </w:tr>
    </w:tbl>
    <w:p>
      <w:pPr>
        <w:rPr>
          <w:rFonts w:eastAsiaTheme="minorEastAsia"/>
        </w:rPr>
      </w:pPr>
    </w:p>
    <w:p>
      <w:pPr>
        <w:widowControl/>
        <w:jc w:val="left"/>
        <w:rPr>
          <w:rFonts w:eastAsiaTheme="minorEastAsia"/>
        </w:rPr>
      </w:pPr>
      <w:r>
        <w:rPr>
          <w:rFonts w:eastAsiaTheme="minorEastAsia"/>
        </w:rPr>
        <w:br w:type="page"/>
      </w:r>
    </w:p>
    <w:p>
      <w:pPr>
        <w:pStyle w:val="4"/>
        <w:spacing w:before="0" w:beforeAutospacing="0" w:after="0" w:afterAutospacing="0" w:line="360" w:lineRule="auto"/>
        <w:rPr>
          <w:rFonts w:ascii="Times New Roman" w:hAnsiTheme="minorEastAsia" w:eastAsiaTheme="minorEastAsia"/>
          <w:b/>
          <w:color w:val="auto"/>
        </w:rPr>
      </w:pPr>
      <w:r>
        <w:rPr>
          <w:rFonts w:ascii="Times New Roman" w:hAnsiTheme="minorEastAsia" w:eastAsiaTheme="minorEastAsia"/>
          <w:b/>
          <w:color w:val="auto"/>
        </w:rPr>
        <w:t>附件：</w:t>
      </w: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1</w:t>
      </w:r>
      <w:r>
        <w:rPr>
          <w:rFonts w:hint="eastAsia" w:ascii="Times New Roman" w:hAnsiTheme="minorEastAsia" w:eastAsiaTheme="minorEastAsia"/>
          <w:b/>
          <w:color w:val="auto"/>
          <w:lang w:eastAsia="zh-CN"/>
        </w:rPr>
        <w:t>、请问章总：</w:t>
      </w:r>
      <w:r>
        <w:rPr>
          <w:rFonts w:hint="eastAsia" w:ascii="Times New Roman" w:hAnsiTheme="minorEastAsia" w:eastAsiaTheme="minorEastAsia"/>
          <w:b/>
          <w:color w:val="auto"/>
        </w:rPr>
        <w:t>飞鹿2019年营收增长超30%，但是净利润有所降低，原因是什么？影响因素是暂时的还是持续的呢？</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飞鹿2019年营收增长超30%得益于公司战略的稳步推进，不断扩大市场占有率，营业收入稳步提升，产品毛利率保持稳定。随着收入的增长，公司期间费用也在同步增长，主要有公司新建高新研发检测大楼项目转固，致使固定资产折旧大幅增长；银行借款的增加使得利息费用增加；服务于投融资和企业管理的咨询费、中介机构服务费、限制性股票摊销费用等项目增加了支出。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2</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影响公司业绩的主要因素有哪些？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公司业绩的驱动因素主要有，1、国家对于轨道交通产业投资持续处于高位，并对轨道交通装备、轨道建设工程的发展描绘了伟大的蓝图。受到政策的指引，公司轨道交通装备新造和轨道建设工程新造业务面临较大的发展机遇。2、由于国家轨道交通产业的蓬勃发展，轨道交通相关的维保需求市场也在逐年扩大，给公司轨道交通装备维修市场以及轨道建设工程维保市场带来了良好的发展机遇。3、近几年来，房地产行业呈现稳中有升态势，建筑防水行业也随之稳步提升。2019年初始，公司开始布局建筑防水市场，目前成果可喜。4、风电市场近俩年发展势头凶猛，公司风电相关业务也面临较大机遇，5、环保要求趋严，给公司的存量业务带来新的增长点。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3</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飞鹿目前的行业地位如何？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公司是轨道交通防腐防水材料第一股，深耕铁路车辆防腐与高铁工程防水市场多年，已经成为轨道交通高端装备涂装领域国产化、环保化的主要推动者。凭借公司在轨道交通领域优势地位及技术开发及外延扩张，公司逐步掌握原材料核心技术，产品类型不断丰富，产品结构优化升级，应用领域不断突破，成为轨道交通行业防腐防水领先企业之一。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4</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相对同业公司来说，公司有哪些核心竞争力？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公司的核心竞争力可以简单归纳为以下几点：1、技术研发与市场需求紧密结合并快速转化；2、利用平台优势打造环保涂料新名片，大力推广环保产品；3、具有资质和竞争优势；4、涂料涂装一体化模式不断深入，提高了服务质量，增强与客户粘性；5、深入响应客户需求，提供定制化服务，营销实力强劲；6、文化优势，为公司的发展提供不竭动力。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5</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年初新冠疫情爆发，对公司订单交付、全年业绩有无影响？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2020年初，我国爆发新型冠状病毒肺炎疫情，受疫情防控要求，公司延迟复工复产。疫情对公司一季度经营情况存在较大影响，主要是对销售方面影响较大，下游客户受疫情影响延迟复工且复产进度缓慢，导致公司销售收入不如预期。采购、生产方面因订单不足，受疫情直接影响较小。截至目前，公司生产经营活动一切正常。虽然疫情对公司一季度业绩影响较大，但随着复工复产进程的加快，公司计划通过加强营销力度、扩大营销深度等多种方式增厚公司业绩，减轻疫情对全年影响。总体上，公司经营管理层仍按照制定的年度计划有序推进，并对完成今年目标充满信心。</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6</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在当前经济形势下，公司对未来涂料行业发展走向有何预期？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就我个人看来，我认为涂料行业存在如下预期：1、科技转型速度加快，行业集中度增强。涂料作为一项传统行业，长期处于“大行业、小企业”的状态。根据中国涂料工业协议编制的相关行业分析报告，</w:t>
      </w:r>
      <w:bookmarkStart w:id="0" w:name="_GoBack"/>
      <w:bookmarkEnd w:id="0"/>
      <w:r>
        <w:rPr>
          <w:rFonts w:hint="eastAsia" w:ascii="Times New Roman" w:hAnsiTheme="minorEastAsia" w:eastAsiaTheme="minorEastAsia"/>
          <w:b w:val="0"/>
          <w:bCs/>
          <w:color w:val="auto"/>
        </w:rPr>
        <w:t>2018年涂料行业规模以上工业企业有1998家，行业内企业数量繁多、产品质量良莠不齐。随着部分企业的科技转型速度加快，高技术含量的产品持续推出，将加速淘汰或整合部分小企业，行业集中度进一步加强。2、产品升级迭代，环保化趋势显著。随着消费者健康意识的提升，国家环保政策的日趋严格，水性涂料、UV涂料、高固体分涂料等健康环保的涂料产品将大面积替代油性涂料，轨道装备等行业涂料的水性环保化过程会比预期的速度更快；轨道交通行业在不断向轻量化、功能化、耐久化等方面发展，各种新的复合型、功能型高分子材料迎来新的发展机遇。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7</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2019年公司研发投入如何？取得了哪些成果？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公司2019年研发费用投入1511万，取得了可喜的成绩。产业链上下游延伸方面，公司对水性涂料的关键原材料水性树脂进行了专项研发并研发成功；在轨交高端市场开发方面，公司研发的水性涂料已经在客户处得到批量应用；在新领域开拓方面，公司成立高分子材料研究院对轻量化复合材料进行了立项研究；在新产品开发领域方面，公司立项开发了功能型防结冰涂料、易清洁涂料等新产品；在高铁建设工程维修领域，公司与国铁集团下属有关铁路局立项开发了铁路钢结构维修、梁端止水带修复、桥梁混凝土病害整治等项目；在施工工艺方面，公司对民用建筑用预铺、湿铺高分子防水卷材等系列产品进行了技术优化和成本优化。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8</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湖南耐渗今年业绩情况如何？目前在手订单有多少？</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湖南耐渗2020年业绩情况，暂无法进行预测。公司将会加大对耐渗的整合力度，将于耐渗的协同效应充分发挥出来。截至2019年12月31日，湖南耐渗轨道建设工程业务在手订单38,802.86万元，待执行订单16,248.28万元。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9</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公司去年现金流大幅改善，原因是什么，是否可持续？</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自2018年11月9日，李克强总理在国务院常务会议上提出抓紧解决政府部门和国有企业拖欠民营企业账款问题以来，各级政府、国有企业纷纷出台文件，对于清欠民营企业账款做出制度上的安排。同时，公司内部逐年加大对应收账款催款的力度，公司2019年度应收回款状况明显改善，经营活动现金流量净额大幅提升。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10</w:t>
      </w:r>
      <w:r>
        <w:rPr>
          <w:rFonts w:hint="eastAsia" w:ascii="Times New Roman" w:hAnsiTheme="minorEastAsia" w:eastAsiaTheme="minorEastAsia"/>
          <w:b/>
          <w:color w:val="auto"/>
          <w:lang w:eastAsia="zh-CN"/>
        </w:rPr>
        <w:t>、请问何总，</w:t>
      </w:r>
      <w:r>
        <w:rPr>
          <w:rFonts w:hint="eastAsia" w:ascii="Times New Roman" w:hAnsiTheme="minorEastAsia" w:eastAsiaTheme="minorEastAsia"/>
          <w:b/>
          <w:color w:val="auto"/>
        </w:rPr>
        <w:t>2019年公司在市场拓展方面做了哪些努力？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2019年度，公司紧跟绿色环保潮流，加快产品转型升；深耕轨道工程市场，全力抢夺市场份额；加快延伸生产业链，打造新材料生态圈；布局民用建筑市场，开拓钢结构防腐业务；加强资本合作，创新业务模式；同时公司实行员工股权激励，完善公司薪酬体系，为公司的长远发展留住人才。具体内容可查阅公司披露于巨潮资讯网的《2019年年度报告全文》第四节“经营情况讨论与分析”。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11</w:t>
      </w:r>
      <w:r>
        <w:rPr>
          <w:rFonts w:hint="eastAsia" w:ascii="Times New Roman" w:hAnsiTheme="minorEastAsia" w:eastAsiaTheme="minorEastAsia"/>
          <w:b/>
          <w:color w:val="auto"/>
          <w:lang w:eastAsia="zh-CN"/>
        </w:rPr>
        <w:t>、请问章总，</w:t>
      </w:r>
      <w:r>
        <w:rPr>
          <w:rFonts w:hint="eastAsia" w:ascii="Times New Roman" w:hAnsiTheme="minorEastAsia" w:eastAsiaTheme="minorEastAsia"/>
          <w:b/>
          <w:color w:val="auto"/>
        </w:rPr>
        <w:t>看年报公司打算进军智能涂装市场，该规划对公司整体发展有何战略意义？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为了充分发挥公司涂料涂装一体化业务的优势，以及大客户定制服务的优势，公司在深入调研市场需求的前提下，决定引进或自主研发智能涂装设备，这是着眼于未来劳务市场发展的布局，也是深化与大客户合作的抓手之一。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12</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公司今年为什么不分红？</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公司考虑了目前实际经营情况带来的自有资金的需求、公开发行可转债事宜及2019年度已完成的现金分红金额等因素，为实现公司可持续发展，创造更大的业绩回报股东，决定2019年度不进行利润分配，也不以资本公积金转增股本。具体内容可查阅公司披露于巨潮资讯网的相关公告。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13</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现在环保政策越来越严格，水性涂料是大势所趋，公司是否会在这方面加大投入？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尊敬的投资者您好，涂料环保化是未来的大事所趋，公司将一如既往的对环保型涂料产品进行研究</w:t>
      </w:r>
      <w:r>
        <w:rPr>
          <w:rFonts w:hint="eastAsia" w:ascii="Times New Roman" w:hAnsiTheme="minorEastAsia" w:eastAsiaTheme="minorEastAsia"/>
          <w:b w:val="0"/>
          <w:bCs/>
          <w:color w:val="auto"/>
          <w:lang w:eastAsia="zh-CN"/>
        </w:rPr>
        <w:t>，所以这方面的投入也会相应增加。</w:t>
      </w:r>
      <w:r>
        <w:rPr>
          <w:rFonts w:hint="eastAsia" w:ascii="Times New Roman" w:hAnsiTheme="minorEastAsia" w:eastAsiaTheme="minorEastAsia"/>
          <w:b w:val="0"/>
          <w:bCs/>
          <w:color w:val="auto"/>
        </w:rPr>
        <w:t>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14</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公司现阶段战略规划是什么？如何实现？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公司现阶段的战略是：继续专注于轨道交通行业防腐涂料、防水材料、特种胶类产品等业务，大力发展以轨道交通行业为主的复合材料、配件及结构件等新材料业务；积极开发涂料核心原材料产品，引进或自主研发涂装、生产等机器人或智能装备；重点快速推进风电叶片涂料及施工业务和钢结构涂料及施工业务；稳妥快速推进民用建筑防水材料业务；持续关注一些蓝海或高精专技术的高新材料业务；成为国内细分行业最专业的防腐防护整体解决方案供应商和高分子新材料供应商。具体来说，公司将打破业务板块边界，实现交集资源共享和相互赋能；加强创新力度，实现技术引领；推行全方位的管理变革；分解量化业绩目标，实现增量突破。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15</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公司2019年业绩目标是否完成？轨道交通行业订单完成情况如何？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尊敬的投资者您好，整体上公司2019年的营业收入目标已经实现了。公司轨道交通行业订单的完成情况可查阅公司披露于巨潮资讯网的《2019年年度报告全文》“主营业务分析”。感谢您的关注！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16</w:t>
      </w:r>
      <w:r>
        <w:rPr>
          <w:rFonts w:hint="eastAsia" w:ascii="Times New Roman" w:hAnsiTheme="minorEastAsia" w:eastAsiaTheme="minorEastAsia"/>
          <w:b/>
          <w:color w:val="auto"/>
          <w:lang w:eastAsia="zh-CN"/>
        </w:rPr>
        <w:t>、董秘您好！</w:t>
      </w:r>
      <w:r>
        <w:rPr>
          <w:rFonts w:hint="eastAsia" w:ascii="Times New Roman" w:hAnsiTheme="minorEastAsia" w:eastAsiaTheme="minorEastAsia"/>
          <w:b/>
          <w:color w:val="auto"/>
        </w:rPr>
        <w:t>目前新基建政策不断加码，飞鹿也属于相关受益行业，打算如何抓住这波市场机遇？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公司将密切关注行业政策变化；利用自身优势，调配资源积极参与城际高速铁路和城际轨道交通有关业务。在等到政策传导的时间内，做好技术储备与营销储备，增强企业整体竞争力、抗风险力。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17</w:t>
      </w:r>
      <w:r>
        <w:rPr>
          <w:rFonts w:hint="eastAsia" w:ascii="Times New Roman" w:hAnsiTheme="minorEastAsia" w:eastAsiaTheme="minorEastAsia"/>
          <w:b/>
          <w:color w:val="auto"/>
          <w:lang w:eastAsia="zh-CN"/>
        </w:rPr>
        <w:t>、董秘您好，请问</w:t>
      </w:r>
      <w:r>
        <w:rPr>
          <w:rFonts w:hint="eastAsia" w:ascii="Times New Roman" w:hAnsiTheme="minorEastAsia" w:eastAsiaTheme="minorEastAsia"/>
          <w:b/>
          <w:color w:val="auto"/>
        </w:rPr>
        <w:t>今年公司打算如何拓展市场，有哪些营销计划？</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尊敬的投资者您好，公司下一年度经营计划，敬请您查阅公司披露于巨潮资讯网的《2019年年度报告全文》的“未来发展战略及经营计划”。感谢您的关注！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18</w:t>
      </w:r>
      <w:r>
        <w:rPr>
          <w:rFonts w:hint="eastAsia" w:ascii="Times New Roman" w:hAnsiTheme="minorEastAsia" w:eastAsiaTheme="minorEastAsia"/>
          <w:b/>
          <w:color w:val="auto"/>
          <w:lang w:eastAsia="zh-CN"/>
        </w:rPr>
        <w:t>、</w:t>
      </w:r>
      <w:r>
        <w:rPr>
          <w:rFonts w:hint="eastAsia" w:ascii="Times New Roman" w:hAnsiTheme="minorEastAsia" w:eastAsiaTheme="minorEastAsia"/>
          <w:b/>
          <w:color w:val="auto"/>
        </w:rPr>
        <w:t>公司可转债已获批，预计什么时候发行呢？</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2020年4月3日，公司创业板公开发行可转换公司债券的申请获得中国证监会第十八届发行审核委员会2020年第47次工作会议审核通过。后续的可转债的进展情况请您关注公司的公告。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19</w:t>
      </w:r>
      <w:r>
        <w:rPr>
          <w:rFonts w:hint="eastAsia" w:ascii="Times New Roman" w:hAnsiTheme="minorEastAsia" w:eastAsiaTheme="minorEastAsia"/>
          <w:b/>
          <w:color w:val="auto"/>
          <w:lang w:eastAsia="zh-CN"/>
        </w:rPr>
        <w:t>、请问刘总，</w:t>
      </w:r>
      <w:r>
        <w:rPr>
          <w:rFonts w:hint="eastAsia" w:ascii="Times New Roman" w:hAnsiTheme="minorEastAsia" w:eastAsiaTheme="minorEastAsia"/>
          <w:b/>
          <w:color w:val="auto"/>
        </w:rPr>
        <w:t>可以介绍一下可转债募投项目吗？能为公司带来多少收益？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尊敬的投资者您好，随着国家重拳治理环境污染，国民环保意识提升、消费行为转变，涂料行业正面临着深刻的变革。在涂料行业变革如火如荼展开之际，公司在深刻调研市场前景后决定实施年产 20,000 吨水性树脂项目和高端装备用水性涂料新建项目，这也是公司本次可转债的募投项目。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水性树脂是制约水性工业涂料行业发展的关键性因素之一，其质量高低将直接决定水性工业涂料的性能。水性树脂等关键核心原材料的国产化是涂料创新发展的重要基础，在2019年年初，公司就已经实现了水性树脂的技术突破，并已经实现了部分产能。本次公司拟实施水性树脂项目，既可以配套水性涂料生产也可以用于外部市场需求。通过实施水性树脂项目，可以实现水性涂料核心原材料稳定、可靠、及时供应，充分发挥产业上下游的集中化、规模化优势，又有利于公司抑制上游原材料价格波动，提升公司水性涂料产品的竞争力。“油性涂料转水性涂料”以不可逆转的态势席卷了整个工业涂料领域，轨道交通领域尤其明显。早在2018年3月，公司的主要客户群中车，就在其会议纪要中明确要加快推广水性涂料和水性漆的使用。本次拟实施的水性涂料项目，将快速扩充公司水性涂料产能，突破公司现有产能瓶颈，增加公司高端产品产能，优化公司产品结构。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20</w:t>
      </w:r>
      <w:r>
        <w:rPr>
          <w:rFonts w:hint="eastAsia" w:ascii="Times New Roman" w:hAnsiTheme="minorEastAsia" w:eastAsiaTheme="minorEastAsia"/>
          <w:b/>
          <w:color w:val="auto"/>
          <w:lang w:eastAsia="zh-CN"/>
        </w:rPr>
        <w:t>、请问章总，</w:t>
      </w:r>
      <w:r>
        <w:rPr>
          <w:rFonts w:hint="eastAsia" w:ascii="Times New Roman" w:hAnsiTheme="minorEastAsia" w:eastAsiaTheme="minorEastAsia"/>
          <w:b/>
          <w:color w:val="auto"/>
        </w:rPr>
        <w:t>公司管理层如何评价现在的股价表现？后续是否考虑出台增持、回购等措施？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公司股价波动受整体经济、国家财政、金融政策、公司基本面等多重因素的影响。在2019年，公司以集中竞价交易方式回购股份1,944,700股，回购金额2,000.59万元（不含交易费用）。同时在公司层面，公司将继续做好公司的经营管理，提升公司价值，为投资者带来更多的回报。感谢您的关注！</w:t>
      </w:r>
    </w:p>
    <w:p>
      <w:pPr>
        <w:pStyle w:val="4"/>
        <w:spacing w:before="0" w:beforeAutospacing="0" w:after="0" w:afterAutospacing="0" w:line="360" w:lineRule="auto"/>
        <w:rPr>
          <w:rFonts w:hint="eastAsia" w:ascii="Times New Roman" w:hAnsiTheme="minorEastAsia" w:eastAsiaTheme="minorEastAsia"/>
          <w:b/>
          <w:color w:val="auto"/>
        </w:rPr>
      </w:pPr>
    </w:p>
    <w:p>
      <w:pPr>
        <w:pStyle w:val="4"/>
        <w:spacing w:before="0" w:beforeAutospacing="0" w:after="0" w:afterAutospacing="0" w:line="360" w:lineRule="auto"/>
        <w:rPr>
          <w:rFonts w:hint="eastAsia" w:ascii="Times New Roman" w:hAnsiTheme="minorEastAsia" w:eastAsiaTheme="minorEastAsia"/>
          <w:b/>
          <w:color w:val="auto"/>
        </w:rPr>
      </w:pPr>
      <w:r>
        <w:rPr>
          <w:rFonts w:hint="eastAsia" w:ascii="Times New Roman" w:hAnsiTheme="minorEastAsia" w:eastAsiaTheme="minorEastAsia"/>
          <w:b/>
          <w:color w:val="auto"/>
        </w:rPr>
        <w:t>21</w:t>
      </w:r>
      <w:r>
        <w:rPr>
          <w:rFonts w:hint="eastAsia" w:ascii="Times New Roman" w:hAnsiTheme="minorEastAsia" w:eastAsiaTheme="minorEastAsia"/>
          <w:b/>
          <w:color w:val="auto"/>
          <w:lang w:eastAsia="zh-CN"/>
        </w:rPr>
        <w:t>、请问何总，</w:t>
      </w:r>
      <w:r>
        <w:rPr>
          <w:rFonts w:hint="eastAsia" w:ascii="Times New Roman" w:hAnsiTheme="minorEastAsia" w:eastAsiaTheme="minorEastAsia"/>
          <w:b/>
          <w:color w:val="auto"/>
        </w:rPr>
        <w:t>公司目前发展稳健，后续是否有打算通过收并购等资本市场运作方式快速扩大市场份额？</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imes New Roman" w:hAnsiTheme="minorEastAsia" w:eastAsiaTheme="minorEastAsia"/>
          <w:b w:val="0"/>
          <w:bCs/>
          <w:color w:val="auto"/>
        </w:rPr>
      </w:pPr>
      <w:r>
        <w:rPr>
          <w:rFonts w:hint="eastAsia" w:ascii="Times New Roman" w:hAnsiTheme="minorEastAsia" w:eastAsiaTheme="minorEastAsia"/>
          <w:b w:val="0"/>
          <w:bCs/>
          <w:color w:val="auto"/>
        </w:rPr>
        <w:t>尊敬的投资者您好，感谢您的建议与对公司的关注！</w:t>
      </w:r>
    </w:p>
    <w:p>
      <w:pPr>
        <w:pStyle w:val="4"/>
        <w:numPr>
          <w:ilvl w:val="0"/>
          <w:numId w:val="1"/>
        </w:numPr>
        <w:spacing w:before="0" w:beforeAutospacing="0" w:after="0" w:afterAutospacing="0" w:line="360" w:lineRule="auto"/>
        <w:rPr>
          <w:rFonts w:hint="eastAsia" w:ascii="Times New Roman" w:hAnsiTheme="minorEastAsia" w:eastAsiaTheme="minorEastAsia"/>
          <w:b/>
          <w:color w:val="auto"/>
          <w:lang w:val="en-US" w:eastAsia="zh-CN"/>
        </w:rPr>
      </w:pPr>
      <w:r>
        <w:rPr>
          <w:rFonts w:hint="eastAsia" w:ascii="Times New Roman" w:hAnsiTheme="minorEastAsia" w:eastAsiaTheme="minorEastAsia"/>
          <w:b/>
          <w:color w:val="auto"/>
          <w:lang w:val="en-US" w:eastAsia="zh-CN"/>
        </w:rPr>
        <w:t>请问公司市值管理方面有哪些举措，如何维护投资者的利益？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default" w:ascii="Times New Roman" w:hAnsiTheme="minorEastAsia" w:eastAsiaTheme="minorEastAsia"/>
          <w:b w:val="0"/>
          <w:bCs/>
          <w:color w:val="auto"/>
          <w:lang w:val="en-US" w:eastAsia="zh-CN"/>
        </w:rPr>
      </w:pPr>
      <w:r>
        <w:rPr>
          <w:rFonts w:hint="default" w:ascii="Times New Roman" w:hAnsiTheme="minorEastAsia" w:eastAsiaTheme="minorEastAsia"/>
          <w:b w:val="0"/>
          <w:bCs/>
          <w:color w:val="auto"/>
          <w:lang w:val="en-US" w:eastAsia="zh-CN"/>
        </w:rPr>
        <w:t>尊敬的投资者您好，公司一直在董事会的领导下，不断推进战略的实施，努力通过提升管理水平及经营业绩，为投资者创造更大价值。同时公司高度重视投资者关系管理，公司会根据相关法律法规的要求履行信息披露义务，向投资者及时传递公司信息。感谢您对公司的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0526"/>
    <w:multiLevelType w:val="singleLevel"/>
    <w:tmpl w:val="002D0526"/>
    <w:lvl w:ilvl="0" w:tentative="0">
      <w:start w:val="2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7B6D"/>
    <w:rsid w:val="00037B6D"/>
    <w:rsid w:val="00061608"/>
    <w:rsid w:val="0022063D"/>
    <w:rsid w:val="002C1366"/>
    <w:rsid w:val="0035144D"/>
    <w:rsid w:val="00514DBD"/>
    <w:rsid w:val="00807F36"/>
    <w:rsid w:val="008D22E2"/>
    <w:rsid w:val="00AB1670"/>
    <w:rsid w:val="00B72B3E"/>
    <w:rsid w:val="00BC2743"/>
    <w:rsid w:val="00C44AA2"/>
    <w:rsid w:val="00CD6657"/>
    <w:rsid w:val="00D57460"/>
    <w:rsid w:val="00DC25F6"/>
    <w:rsid w:val="00E35516"/>
    <w:rsid w:val="00F34D7D"/>
    <w:rsid w:val="583C46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olor w:val="000000"/>
      <w:kern w:val="0"/>
      <w:sz w:val="24"/>
    </w:rPr>
  </w:style>
  <w:style w:type="character" w:customStyle="1" w:styleId="7">
    <w:name w:val="页眉 Char"/>
    <w:basedOn w:val="6"/>
    <w:link w:val="3"/>
    <w:semiHidden/>
    <w:uiPriority w:val="99"/>
    <w:rPr>
      <w:rFonts w:ascii="Times New Roman" w:hAnsi="Times New Roman" w:eastAsia="宋体" w:cs="Times New Roman"/>
      <w:sz w:val="18"/>
      <w:szCs w:val="18"/>
    </w:rPr>
  </w:style>
  <w:style w:type="character" w:customStyle="1" w:styleId="8">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1761</Words>
  <Characters>10043</Characters>
  <Lines>83</Lines>
  <Paragraphs>23</Paragraphs>
  <TotalTime>39</TotalTime>
  <ScaleCrop>false</ScaleCrop>
  <LinksUpToDate>false</LinksUpToDate>
  <CharactersWithSpaces>11781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2015-07-17T02:32:00Z</dcterms:created>
  <dc:creator>hh</dc:creator>
  <cp:lastModifiedBy>这是一个正经人</cp:lastModifiedBy>
  <dcterms:modified xsi:type="dcterms:W3CDTF">2020-04-28T10:36:38Z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