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DBFB" w14:textId="76B617BF" w:rsidR="00AB3BB3" w:rsidRDefault="00FB1B41" w:rsidP="00296CD2">
      <w:pPr>
        <w:ind w:firstLineChars="50" w:firstLine="120"/>
        <w:rPr>
          <w:rFonts w:ascii="黑体" w:eastAsia="黑体" w:hAnsi="黑体"/>
          <w:b/>
          <w:sz w:val="24"/>
          <w:szCs w:val="24"/>
        </w:rPr>
      </w:pPr>
      <w:r>
        <w:rPr>
          <w:rFonts w:ascii="黑体" w:eastAsia="黑体" w:hAnsi="黑体" w:hint="eastAsia"/>
          <w:b/>
          <w:sz w:val="24"/>
          <w:szCs w:val="24"/>
        </w:rPr>
        <w:t>证券代码</w:t>
      </w:r>
      <w:r>
        <w:rPr>
          <w:rFonts w:ascii="黑体" w:eastAsia="黑体" w:hAnsi="黑体"/>
          <w:b/>
          <w:sz w:val="24"/>
          <w:szCs w:val="24"/>
        </w:rPr>
        <w:t>：</w:t>
      </w:r>
      <w:r>
        <w:rPr>
          <w:rFonts w:ascii="黑体" w:eastAsia="黑体" w:hAnsi="黑体" w:hint="eastAsia"/>
          <w:b/>
          <w:sz w:val="24"/>
          <w:szCs w:val="24"/>
        </w:rPr>
        <w:t xml:space="preserve">002791 </w:t>
      </w:r>
      <w:r w:rsidR="00F64759">
        <w:rPr>
          <w:rFonts w:ascii="黑体" w:eastAsia="黑体" w:hAnsi="黑体"/>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 证券简称</w:t>
      </w:r>
      <w:r>
        <w:rPr>
          <w:rFonts w:ascii="黑体" w:eastAsia="黑体" w:hAnsi="黑体"/>
          <w:b/>
          <w:sz w:val="24"/>
          <w:szCs w:val="24"/>
        </w:rPr>
        <w:t>：坚朗五金</w:t>
      </w:r>
      <w:r>
        <w:rPr>
          <w:rFonts w:ascii="黑体" w:eastAsia="黑体" w:hAnsi="黑体" w:hint="eastAsia"/>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编号：</w:t>
      </w:r>
      <w:r w:rsidR="00C30DF2">
        <w:rPr>
          <w:rFonts w:ascii="黑体" w:eastAsia="黑体" w:hAnsi="黑体" w:hint="eastAsia"/>
          <w:b/>
          <w:sz w:val="24"/>
          <w:szCs w:val="24"/>
        </w:rPr>
        <w:t>2020</w:t>
      </w:r>
      <w:r w:rsidRPr="009361E9">
        <w:rPr>
          <w:rFonts w:ascii="黑体" w:eastAsia="黑体" w:hAnsi="黑体" w:hint="eastAsia"/>
          <w:b/>
          <w:sz w:val="24"/>
          <w:szCs w:val="24"/>
        </w:rPr>
        <w:t>-</w:t>
      </w:r>
      <w:r w:rsidR="00C30DF2">
        <w:rPr>
          <w:rFonts w:ascii="黑体" w:eastAsia="黑体" w:hAnsi="黑体"/>
          <w:b/>
          <w:sz w:val="24"/>
          <w:szCs w:val="24"/>
        </w:rPr>
        <w:t>0</w:t>
      </w:r>
      <w:r w:rsidR="00F131E1">
        <w:rPr>
          <w:rFonts w:ascii="黑体" w:eastAsia="黑体" w:hAnsi="黑体"/>
          <w:b/>
          <w:sz w:val="24"/>
          <w:szCs w:val="24"/>
        </w:rPr>
        <w:t>1</w:t>
      </w:r>
      <w:r w:rsidR="00394B43">
        <w:rPr>
          <w:rFonts w:ascii="黑体" w:eastAsia="黑体" w:hAnsi="黑体"/>
          <w:b/>
          <w:sz w:val="24"/>
          <w:szCs w:val="24"/>
        </w:rPr>
        <w:t>0</w:t>
      </w:r>
      <w:bookmarkStart w:id="0" w:name="_GoBack"/>
      <w:bookmarkEnd w:id="0"/>
    </w:p>
    <w:p w14:paraId="4A9FE2BB" w14:textId="77777777" w:rsidR="00FB1B41" w:rsidRPr="00F64759" w:rsidRDefault="00FB1B41">
      <w:pPr>
        <w:rPr>
          <w:rFonts w:ascii="黑体" w:eastAsia="黑体" w:hAnsi="黑体"/>
          <w:sz w:val="30"/>
          <w:szCs w:val="30"/>
        </w:rPr>
      </w:pPr>
    </w:p>
    <w:p w14:paraId="72CA02C3" w14:textId="77777777" w:rsidR="00FB1B41" w:rsidRP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广东坚朗五金制品股份有限公司</w:t>
      </w:r>
    </w:p>
    <w:p w14:paraId="4AD8E315" w14:textId="77777777" w:rsid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6650"/>
      </w:tblGrid>
      <w:tr w:rsidR="00F64759" w:rsidRPr="00382882" w14:paraId="3146FCF5" w14:textId="77777777" w:rsidTr="000B7E77">
        <w:trPr>
          <w:trHeight w:val="2553"/>
          <w:jc w:val="center"/>
        </w:trPr>
        <w:tc>
          <w:tcPr>
            <w:tcW w:w="2048" w:type="dxa"/>
            <w:shd w:val="clear" w:color="auto" w:fill="auto"/>
            <w:vAlign w:val="center"/>
          </w:tcPr>
          <w:p w14:paraId="7D8C7A5C"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Cs/>
                <w:iCs/>
                <w:sz w:val="24"/>
                <w:szCs w:val="24"/>
              </w:rPr>
              <w:t xml:space="preserve">                                             </w:t>
            </w:r>
            <w:r w:rsidRPr="00382882">
              <w:rPr>
                <w:rFonts w:ascii="仿宋" w:eastAsia="仿宋" w:hAnsi="仿宋" w:hint="eastAsia"/>
                <w:b/>
                <w:bCs/>
                <w:iCs/>
                <w:sz w:val="24"/>
                <w:szCs w:val="24"/>
              </w:rPr>
              <w:t>投资者关系</w:t>
            </w:r>
          </w:p>
          <w:p w14:paraId="113F248B"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活动类别</w:t>
            </w:r>
          </w:p>
        </w:tc>
        <w:tc>
          <w:tcPr>
            <w:tcW w:w="6650" w:type="dxa"/>
            <w:shd w:val="clear" w:color="auto" w:fill="auto"/>
            <w:vAlign w:val="center"/>
          </w:tcPr>
          <w:p w14:paraId="3E69AB8F" w14:textId="77777777" w:rsidR="00F64759" w:rsidRPr="00382882" w:rsidRDefault="00A97FEA"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00F64759" w:rsidRPr="00382882">
              <w:rPr>
                <w:rFonts w:ascii="仿宋" w:eastAsia="仿宋" w:hAnsi="仿宋" w:hint="eastAsia"/>
                <w:sz w:val="24"/>
                <w:szCs w:val="24"/>
              </w:rPr>
              <w:t xml:space="preserve">特定对象调研        </w:t>
            </w:r>
            <w:r w:rsidR="00F64759" w:rsidRPr="00382882">
              <w:rPr>
                <w:rFonts w:ascii="仿宋" w:eastAsia="仿宋" w:hAnsi="仿宋" w:hint="eastAsia"/>
                <w:bCs/>
                <w:iCs/>
                <w:sz w:val="24"/>
                <w:szCs w:val="24"/>
              </w:rPr>
              <w:t>□</w:t>
            </w:r>
            <w:r w:rsidR="00F64759" w:rsidRPr="00382882">
              <w:rPr>
                <w:rFonts w:ascii="仿宋" w:eastAsia="仿宋" w:hAnsi="仿宋" w:hint="eastAsia"/>
                <w:sz w:val="24"/>
                <w:szCs w:val="24"/>
              </w:rPr>
              <w:t>分析师会议</w:t>
            </w:r>
          </w:p>
          <w:p w14:paraId="76E7563A"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媒体采访            </w:t>
            </w:r>
            <w:r w:rsidRPr="00382882">
              <w:rPr>
                <w:rFonts w:ascii="仿宋" w:eastAsia="仿宋" w:hAnsi="仿宋" w:hint="eastAsia"/>
                <w:bCs/>
                <w:iCs/>
                <w:sz w:val="24"/>
                <w:szCs w:val="24"/>
              </w:rPr>
              <w:t>□</w:t>
            </w:r>
            <w:r w:rsidRPr="00382882">
              <w:rPr>
                <w:rFonts w:ascii="仿宋" w:eastAsia="仿宋" w:hAnsi="仿宋" w:hint="eastAsia"/>
                <w:sz w:val="24"/>
                <w:szCs w:val="24"/>
              </w:rPr>
              <w:t>业绩说明会</w:t>
            </w:r>
          </w:p>
          <w:p w14:paraId="23E3E1A3"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新闻发布会          </w:t>
            </w:r>
            <w:r w:rsidRPr="00382882">
              <w:rPr>
                <w:rFonts w:ascii="仿宋" w:eastAsia="仿宋" w:hAnsi="仿宋" w:hint="eastAsia"/>
                <w:bCs/>
                <w:iCs/>
                <w:sz w:val="24"/>
                <w:szCs w:val="24"/>
              </w:rPr>
              <w:t>□</w:t>
            </w:r>
            <w:r w:rsidRPr="00382882">
              <w:rPr>
                <w:rFonts w:ascii="仿宋" w:eastAsia="仿宋" w:hAnsi="仿宋" w:hint="eastAsia"/>
                <w:sz w:val="24"/>
                <w:szCs w:val="24"/>
              </w:rPr>
              <w:t>路演活动</w:t>
            </w:r>
          </w:p>
          <w:p w14:paraId="7853F9B6" w14:textId="77777777" w:rsidR="00F64759" w:rsidRPr="00382882" w:rsidRDefault="00F64759" w:rsidP="00DF5899">
            <w:pPr>
              <w:tabs>
                <w:tab w:val="left" w:pos="3045"/>
                <w:tab w:val="center" w:pos="3199"/>
              </w:tabs>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现场参观</w:t>
            </w:r>
            <w:r w:rsidRPr="00382882">
              <w:rPr>
                <w:rFonts w:ascii="仿宋" w:eastAsia="仿宋" w:hAnsi="仿宋"/>
                <w:bCs/>
                <w:iCs/>
                <w:sz w:val="24"/>
                <w:szCs w:val="24"/>
              </w:rPr>
              <w:tab/>
            </w:r>
          </w:p>
          <w:p w14:paraId="489FB09B" w14:textId="77777777" w:rsidR="00F64759" w:rsidRPr="00382882" w:rsidRDefault="00A97FEA" w:rsidP="00F260E3">
            <w:pPr>
              <w:tabs>
                <w:tab w:val="center" w:pos="3199"/>
              </w:tabs>
              <w:spacing w:line="480" w:lineRule="atLeast"/>
              <w:rPr>
                <w:rFonts w:ascii="仿宋" w:eastAsia="仿宋" w:hAnsi="仿宋"/>
                <w:bCs/>
                <w:iCs/>
                <w:sz w:val="24"/>
                <w:szCs w:val="24"/>
              </w:rPr>
            </w:pPr>
            <w:r>
              <w:rPr>
                <w:rFonts w:ascii="Segoe UI Symbol" w:eastAsia="Segoe UI Symbol" w:hAnsi="Segoe UI Symbol" w:cs="Segoe UI Symbol"/>
                <w:sz w:val="24"/>
                <w:szCs w:val="24"/>
              </w:rPr>
              <w:t>☑</w:t>
            </w:r>
            <w:r w:rsidR="00F64759" w:rsidRPr="00382882">
              <w:rPr>
                <w:rFonts w:ascii="仿宋" w:eastAsia="仿宋" w:hAnsi="仿宋" w:hint="eastAsia"/>
                <w:sz w:val="24"/>
                <w:szCs w:val="24"/>
              </w:rPr>
              <w:t>其他</w:t>
            </w:r>
            <w:r w:rsidR="00F64759" w:rsidRPr="00F260E3">
              <w:rPr>
                <w:rFonts w:ascii="仿宋" w:eastAsia="仿宋" w:hAnsi="仿宋" w:hint="eastAsia"/>
                <w:sz w:val="24"/>
                <w:szCs w:val="24"/>
              </w:rPr>
              <w:t xml:space="preserve"> </w:t>
            </w:r>
            <w:r>
              <w:rPr>
                <w:rFonts w:ascii="仿宋" w:eastAsia="仿宋" w:hAnsi="仿宋" w:hint="eastAsia"/>
                <w:sz w:val="24"/>
                <w:szCs w:val="24"/>
              </w:rPr>
              <w:t>（电话</w:t>
            </w:r>
            <w:r>
              <w:rPr>
                <w:rFonts w:ascii="仿宋" w:eastAsia="仿宋" w:hAnsi="仿宋"/>
                <w:sz w:val="24"/>
                <w:szCs w:val="24"/>
              </w:rPr>
              <w:t>会议</w:t>
            </w:r>
            <w:r w:rsidR="00F260E3" w:rsidRPr="00F260E3">
              <w:rPr>
                <w:rFonts w:ascii="仿宋" w:eastAsia="仿宋" w:hAnsi="仿宋" w:hint="eastAsia"/>
                <w:sz w:val="24"/>
                <w:szCs w:val="24"/>
              </w:rPr>
              <w:t>）</w:t>
            </w:r>
          </w:p>
        </w:tc>
      </w:tr>
      <w:tr w:rsidR="00F64759" w:rsidRPr="00382882" w14:paraId="74A19D2A" w14:textId="77777777" w:rsidTr="000B7E77">
        <w:trPr>
          <w:trHeight w:val="1340"/>
          <w:jc w:val="center"/>
        </w:trPr>
        <w:tc>
          <w:tcPr>
            <w:tcW w:w="2048" w:type="dxa"/>
            <w:shd w:val="clear" w:color="auto" w:fill="auto"/>
            <w:vAlign w:val="center"/>
          </w:tcPr>
          <w:p w14:paraId="0B6303E5"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参与单位名称及人员姓名</w:t>
            </w:r>
          </w:p>
        </w:tc>
        <w:tc>
          <w:tcPr>
            <w:tcW w:w="6650" w:type="dxa"/>
            <w:shd w:val="clear" w:color="auto" w:fill="auto"/>
            <w:vAlign w:val="center"/>
          </w:tcPr>
          <w:p w14:paraId="70992734" w14:textId="77777777" w:rsidR="00D53FCA" w:rsidRDefault="00D53FCA" w:rsidP="00A97FEA">
            <w:pPr>
              <w:spacing w:line="276" w:lineRule="auto"/>
              <w:rPr>
                <w:rFonts w:ascii="仿宋" w:eastAsia="仿宋" w:hAnsi="仿宋"/>
                <w:bCs/>
                <w:iCs/>
                <w:sz w:val="24"/>
                <w:szCs w:val="24"/>
              </w:rPr>
            </w:pPr>
          </w:p>
          <w:p w14:paraId="15DE0168" w14:textId="77777777" w:rsidR="00833A4A" w:rsidRDefault="00F131E1" w:rsidP="00A97FEA">
            <w:pPr>
              <w:spacing w:line="276" w:lineRule="auto"/>
              <w:rPr>
                <w:rFonts w:ascii="仿宋" w:eastAsia="仿宋" w:hAnsi="仿宋"/>
                <w:bCs/>
                <w:iCs/>
                <w:sz w:val="24"/>
                <w:szCs w:val="24"/>
              </w:rPr>
            </w:pPr>
            <w:r>
              <w:rPr>
                <w:rFonts w:ascii="仿宋" w:eastAsia="仿宋" w:hAnsi="仿宋" w:hint="eastAsia"/>
                <w:bCs/>
                <w:iCs/>
                <w:sz w:val="24"/>
                <w:szCs w:val="24"/>
              </w:rPr>
              <w:t>中信证券</w:t>
            </w:r>
            <w:r w:rsidR="00A507F4" w:rsidRPr="00A507F4">
              <w:rPr>
                <w:rFonts w:ascii="仿宋" w:eastAsia="仿宋" w:hAnsi="仿宋" w:hint="eastAsia"/>
                <w:bCs/>
                <w:iCs/>
                <w:sz w:val="24"/>
                <w:szCs w:val="24"/>
              </w:rPr>
              <w:t>孙明新</w:t>
            </w:r>
            <w:r w:rsidR="00A507F4" w:rsidRPr="00A507F4">
              <w:rPr>
                <w:rFonts w:ascii="仿宋" w:eastAsia="仿宋" w:hAnsi="仿宋"/>
                <w:bCs/>
                <w:iCs/>
                <w:sz w:val="24"/>
                <w:szCs w:val="24"/>
              </w:rPr>
              <w:t>&amp;陈中亮</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易方达基金</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前海人寿</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源乘投资</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银河基金</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华商基金</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新华资产</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银河证券</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石溪投资</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敦和资管</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富安达基金</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海通证券</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兴业全球基金</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青榕资产</w:t>
            </w:r>
            <w:r w:rsidR="00A507F4">
              <w:rPr>
                <w:rFonts w:ascii="仿宋" w:eastAsia="仿宋" w:hAnsi="仿宋" w:hint="eastAsia"/>
                <w:bCs/>
                <w:iCs/>
                <w:sz w:val="24"/>
                <w:szCs w:val="24"/>
              </w:rPr>
              <w:t>、</w:t>
            </w:r>
            <w:r w:rsidR="00A507F4" w:rsidRPr="00A507F4">
              <w:rPr>
                <w:rFonts w:ascii="仿宋" w:eastAsia="仿宋" w:hAnsi="仿宋" w:hint="eastAsia"/>
                <w:bCs/>
                <w:iCs/>
                <w:sz w:val="24"/>
                <w:szCs w:val="24"/>
              </w:rPr>
              <w:t>前海联合基金</w:t>
            </w:r>
            <w:r w:rsidR="000809D5">
              <w:rPr>
                <w:rFonts w:ascii="仿宋" w:eastAsia="仿宋" w:hAnsi="仿宋" w:hint="eastAsia"/>
                <w:bCs/>
                <w:iCs/>
                <w:sz w:val="24"/>
                <w:szCs w:val="24"/>
              </w:rPr>
              <w:t>等</w:t>
            </w:r>
            <w:r w:rsidR="00A507F4">
              <w:rPr>
                <w:rFonts w:ascii="仿宋" w:eastAsia="仿宋" w:hAnsi="仿宋"/>
                <w:bCs/>
                <w:iCs/>
                <w:sz w:val="24"/>
                <w:szCs w:val="24"/>
              </w:rPr>
              <w:t>51</w:t>
            </w:r>
            <w:r w:rsidR="00D20B9A">
              <w:rPr>
                <w:rFonts w:ascii="仿宋" w:eastAsia="仿宋" w:hAnsi="仿宋" w:hint="eastAsia"/>
                <w:bCs/>
                <w:iCs/>
                <w:sz w:val="24"/>
                <w:szCs w:val="24"/>
              </w:rPr>
              <w:t>家</w:t>
            </w:r>
            <w:r w:rsidR="00D20B9A" w:rsidRPr="00903E57">
              <w:rPr>
                <w:rFonts w:ascii="仿宋" w:eastAsia="仿宋" w:hAnsi="仿宋" w:cs="仿宋" w:hint="eastAsia"/>
                <w:sz w:val="24"/>
                <w:szCs w:val="24"/>
              </w:rPr>
              <w:t>机构和个人投资者参加本次电话会议。</w:t>
            </w:r>
          </w:p>
          <w:p w14:paraId="1969384D" w14:textId="45923A93" w:rsidR="00F131E1" w:rsidRPr="00D53FCA" w:rsidRDefault="00F131E1" w:rsidP="00A97FEA">
            <w:pPr>
              <w:spacing w:line="276" w:lineRule="auto"/>
              <w:rPr>
                <w:rFonts w:ascii="仿宋" w:eastAsia="仿宋" w:hAnsi="仿宋" w:hint="eastAsia"/>
                <w:bCs/>
                <w:iCs/>
                <w:sz w:val="24"/>
                <w:szCs w:val="24"/>
              </w:rPr>
            </w:pPr>
          </w:p>
        </w:tc>
      </w:tr>
      <w:tr w:rsidR="00F64759" w:rsidRPr="00382882" w14:paraId="3F9723AD" w14:textId="77777777" w:rsidTr="000B7E77">
        <w:trPr>
          <w:jc w:val="center"/>
        </w:trPr>
        <w:tc>
          <w:tcPr>
            <w:tcW w:w="2048" w:type="dxa"/>
            <w:shd w:val="clear" w:color="auto" w:fill="auto"/>
            <w:vAlign w:val="center"/>
          </w:tcPr>
          <w:p w14:paraId="77174120" w14:textId="77777777" w:rsidR="00F64759" w:rsidRPr="00382882" w:rsidRDefault="00F64759" w:rsidP="000B7E77">
            <w:pPr>
              <w:spacing w:line="480" w:lineRule="atLeast"/>
              <w:rPr>
                <w:rFonts w:ascii="仿宋" w:eastAsia="仿宋" w:hAnsi="仿宋"/>
                <w:b/>
                <w:bCs/>
                <w:iCs/>
                <w:sz w:val="24"/>
                <w:szCs w:val="24"/>
              </w:rPr>
            </w:pPr>
            <w:r w:rsidRPr="00382882">
              <w:rPr>
                <w:rFonts w:ascii="仿宋" w:eastAsia="仿宋" w:hAnsi="仿宋" w:hint="eastAsia"/>
                <w:b/>
                <w:bCs/>
                <w:iCs/>
                <w:sz w:val="24"/>
                <w:szCs w:val="24"/>
              </w:rPr>
              <w:t>时间</w:t>
            </w:r>
          </w:p>
        </w:tc>
        <w:tc>
          <w:tcPr>
            <w:tcW w:w="6650" w:type="dxa"/>
            <w:shd w:val="clear" w:color="auto" w:fill="auto"/>
            <w:vAlign w:val="center"/>
          </w:tcPr>
          <w:p w14:paraId="522A65FB" w14:textId="31EAA392" w:rsidR="00F64759" w:rsidRPr="00382882" w:rsidRDefault="00A97FEA" w:rsidP="00A507F4">
            <w:pPr>
              <w:spacing w:line="480" w:lineRule="atLeast"/>
              <w:rPr>
                <w:rFonts w:ascii="仿宋" w:eastAsia="仿宋" w:hAnsi="仿宋"/>
                <w:bCs/>
                <w:iCs/>
                <w:sz w:val="24"/>
                <w:szCs w:val="24"/>
              </w:rPr>
            </w:pPr>
            <w:r>
              <w:rPr>
                <w:rFonts w:ascii="仿宋" w:eastAsia="仿宋" w:hAnsi="仿宋"/>
                <w:bCs/>
                <w:iCs/>
                <w:sz w:val="24"/>
                <w:szCs w:val="24"/>
              </w:rPr>
              <w:t>2020</w:t>
            </w:r>
            <w:r>
              <w:rPr>
                <w:rFonts w:ascii="仿宋" w:eastAsia="仿宋" w:hAnsi="仿宋" w:hint="eastAsia"/>
                <w:bCs/>
                <w:iCs/>
                <w:sz w:val="24"/>
                <w:szCs w:val="24"/>
              </w:rPr>
              <w:t>年</w:t>
            </w:r>
            <w:r w:rsidR="000809D5">
              <w:rPr>
                <w:rFonts w:ascii="仿宋" w:eastAsia="仿宋" w:hAnsi="仿宋"/>
                <w:bCs/>
                <w:iCs/>
                <w:sz w:val="24"/>
                <w:szCs w:val="24"/>
              </w:rPr>
              <w:t>4</w:t>
            </w:r>
            <w:r w:rsidR="00F64759" w:rsidRPr="00382882">
              <w:rPr>
                <w:rFonts w:ascii="仿宋" w:eastAsia="仿宋" w:hAnsi="仿宋"/>
                <w:bCs/>
                <w:iCs/>
                <w:sz w:val="24"/>
                <w:szCs w:val="24"/>
              </w:rPr>
              <w:t>月</w:t>
            </w:r>
            <w:r w:rsidR="000809D5">
              <w:rPr>
                <w:rFonts w:ascii="仿宋" w:eastAsia="仿宋" w:hAnsi="仿宋"/>
                <w:bCs/>
                <w:iCs/>
                <w:sz w:val="24"/>
                <w:szCs w:val="24"/>
              </w:rPr>
              <w:t>2</w:t>
            </w:r>
            <w:r w:rsidR="00A507F4">
              <w:rPr>
                <w:rFonts w:ascii="仿宋" w:eastAsia="仿宋" w:hAnsi="仿宋"/>
                <w:bCs/>
                <w:iCs/>
                <w:sz w:val="24"/>
                <w:szCs w:val="24"/>
              </w:rPr>
              <w:t>9</w:t>
            </w:r>
            <w:r w:rsidR="00B3076F">
              <w:rPr>
                <w:rFonts w:ascii="仿宋" w:eastAsia="仿宋" w:hAnsi="仿宋" w:hint="eastAsia"/>
                <w:bCs/>
                <w:iCs/>
                <w:sz w:val="24"/>
                <w:szCs w:val="24"/>
              </w:rPr>
              <w:t>日</w:t>
            </w:r>
          </w:p>
        </w:tc>
      </w:tr>
      <w:tr w:rsidR="00F64759" w:rsidRPr="00382882" w14:paraId="310D87F5" w14:textId="77777777" w:rsidTr="000B7E77">
        <w:trPr>
          <w:trHeight w:val="527"/>
          <w:jc w:val="center"/>
        </w:trPr>
        <w:tc>
          <w:tcPr>
            <w:tcW w:w="2048" w:type="dxa"/>
            <w:shd w:val="clear" w:color="auto" w:fill="auto"/>
            <w:vAlign w:val="center"/>
          </w:tcPr>
          <w:p w14:paraId="2440875B" w14:textId="77777777" w:rsidR="00F64759" w:rsidRPr="00382882" w:rsidRDefault="00F64759" w:rsidP="000B7E77">
            <w:pPr>
              <w:spacing w:line="480" w:lineRule="atLeast"/>
              <w:rPr>
                <w:rFonts w:ascii="仿宋" w:eastAsia="仿宋" w:hAnsi="仿宋"/>
                <w:b/>
                <w:bCs/>
                <w:iCs/>
                <w:sz w:val="24"/>
                <w:szCs w:val="24"/>
              </w:rPr>
            </w:pPr>
            <w:r w:rsidRPr="00382882">
              <w:rPr>
                <w:rFonts w:ascii="仿宋" w:eastAsia="仿宋" w:hAnsi="仿宋" w:hint="eastAsia"/>
                <w:b/>
                <w:bCs/>
                <w:iCs/>
                <w:sz w:val="24"/>
                <w:szCs w:val="24"/>
              </w:rPr>
              <w:t>地点</w:t>
            </w:r>
          </w:p>
        </w:tc>
        <w:tc>
          <w:tcPr>
            <w:tcW w:w="6650" w:type="dxa"/>
            <w:shd w:val="clear" w:color="auto" w:fill="auto"/>
            <w:vAlign w:val="center"/>
          </w:tcPr>
          <w:p w14:paraId="5A9569ED" w14:textId="77777777" w:rsidR="00F64759" w:rsidRPr="00382882" w:rsidRDefault="00833A4A" w:rsidP="000B7E77">
            <w:pPr>
              <w:spacing w:line="480" w:lineRule="atLeast"/>
              <w:rPr>
                <w:rFonts w:ascii="仿宋" w:eastAsia="仿宋" w:hAnsi="仿宋"/>
                <w:bCs/>
                <w:iCs/>
                <w:sz w:val="24"/>
                <w:szCs w:val="24"/>
              </w:rPr>
            </w:pPr>
            <w:r>
              <w:rPr>
                <w:rFonts w:ascii="仿宋" w:eastAsia="仿宋" w:hAnsi="仿宋" w:hint="eastAsia"/>
                <w:bCs/>
                <w:iCs/>
                <w:sz w:val="24"/>
                <w:szCs w:val="24"/>
              </w:rPr>
              <w:t>电话会议</w:t>
            </w:r>
            <w:r>
              <w:rPr>
                <w:rFonts w:ascii="仿宋" w:eastAsia="仿宋" w:hAnsi="仿宋"/>
                <w:bCs/>
                <w:iCs/>
                <w:sz w:val="24"/>
                <w:szCs w:val="24"/>
              </w:rPr>
              <w:t>形式</w:t>
            </w:r>
          </w:p>
        </w:tc>
      </w:tr>
      <w:tr w:rsidR="00F64759" w:rsidRPr="00382882" w14:paraId="6DA61C07" w14:textId="77777777" w:rsidTr="00543F3C">
        <w:trPr>
          <w:trHeight w:val="1414"/>
          <w:jc w:val="center"/>
        </w:trPr>
        <w:tc>
          <w:tcPr>
            <w:tcW w:w="2048" w:type="dxa"/>
            <w:shd w:val="clear" w:color="auto" w:fill="auto"/>
            <w:vAlign w:val="center"/>
          </w:tcPr>
          <w:p w14:paraId="6F259A31" w14:textId="77777777"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上市公司接待</w:t>
            </w:r>
          </w:p>
          <w:p w14:paraId="109941FD" w14:textId="77777777"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人员姓名</w:t>
            </w:r>
          </w:p>
        </w:tc>
        <w:tc>
          <w:tcPr>
            <w:tcW w:w="6650" w:type="dxa"/>
            <w:shd w:val="clear" w:color="auto" w:fill="auto"/>
            <w:vAlign w:val="center"/>
          </w:tcPr>
          <w:p w14:paraId="628547DF" w14:textId="77777777" w:rsidR="00A97FEA" w:rsidRDefault="00A97FEA" w:rsidP="0059348A">
            <w:pPr>
              <w:spacing w:line="360" w:lineRule="auto"/>
              <w:jc w:val="left"/>
              <w:rPr>
                <w:rFonts w:ascii="仿宋" w:eastAsia="仿宋" w:hAnsi="仿宋"/>
                <w:bCs/>
                <w:iCs/>
                <w:sz w:val="24"/>
                <w:szCs w:val="24"/>
              </w:rPr>
            </w:pPr>
            <w:r w:rsidRPr="00A97FEA">
              <w:rPr>
                <w:rFonts w:ascii="仿宋" w:eastAsia="仿宋" w:hAnsi="仿宋" w:hint="eastAsia"/>
                <w:bCs/>
                <w:iCs/>
                <w:sz w:val="24"/>
                <w:szCs w:val="24"/>
              </w:rPr>
              <w:t>董事长兼总裁：白宝鲲</w:t>
            </w:r>
          </w:p>
          <w:p w14:paraId="2E23225C" w14:textId="77777777" w:rsidR="00A97FEA" w:rsidRDefault="00A97FEA" w:rsidP="0059348A">
            <w:pPr>
              <w:spacing w:line="360" w:lineRule="auto"/>
              <w:jc w:val="left"/>
              <w:rPr>
                <w:rFonts w:ascii="仿宋" w:eastAsia="仿宋" w:hAnsi="仿宋"/>
                <w:bCs/>
                <w:iCs/>
                <w:sz w:val="24"/>
                <w:szCs w:val="24"/>
              </w:rPr>
            </w:pPr>
            <w:r w:rsidRPr="00382882">
              <w:rPr>
                <w:rFonts w:ascii="仿宋" w:eastAsia="仿宋" w:hAnsi="仿宋" w:hint="eastAsia"/>
                <w:bCs/>
                <w:iCs/>
                <w:sz w:val="24"/>
                <w:szCs w:val="24"/>
              </w:rPr>
              <w:t>董事会秘书：殷建忠</w:t>
            </w:r>
          </w:p>
          <w:p w14:paraId="0F241756" w14:textId="77777777" w:rsidR="0059348A" w:rsidRDefault="00C977DC" w:rsidP="0059348A">
            <w:pPr>
              <w:spacing w:line="360" w:lineRule="auto"/>
              <w:jc w:val="left"/>
              <w:rPr>
                <w:rFonts w:ascii="仿宋" w:eastAsia="仿宋" w:hAnsi="仿宋"/>
                <w:bCs/>
                <w:iCs/>
                <w:sz w:val="24"/>
                <w:szCs w:val="24"/>
              </w:rPr>
            </w:pPr>
            <w:r>
              <w:rPr>
                <w:rFonts w:ascii="仿宋" w:eastAsia="仿宋" w:hAnsi="仿宋" w:hint="eastAsia"/>
                <w:bCs/>
                <w:iCs/>
                <w:sz w:val="24"/>
                <w:szCs w:val="24"/>
              </w:rPr>
              <w:t>财务总监</w:t>
            </w:r>
            <w:r w:rsidR="00C72DBE">
              <w:rPr>
                <w:rFonts w:ascii="仿宋" w:eastAsia="仿宋" w:hAnsi="仿宋" w:hint="eastAsia"/>
                <w:bCs/>
                <w:iCs/>
                <w:sz w:val="24"/>
                <w:szCs w:val="24"/>
              </w:rPr>
              <w:t>：</w:t>
            </w:r>
            <w:r>
              <w:rPr>
                <w:rFonts w:ascii="仿宋" w:eastAsia="仿宋" w:hAnsi="仿宋" w:hint="eastAsia"/>
                <w:bCs/>
                <w:iCs/>
                <w:sz w:val="24"/>
                <w:szCs w:val="24"/>
              </w:rPr>
              <w:t>邹志敏</w:t>
            </w:r>
          </w:p>
          <w:p w14:paraId="14E9EFED" w14:textId="03530C82" w:rsidR="00866FE8" w:rsidRPr="00382882" w:rsidRDefault="00866FE8" w:rsidP="0059348A">
            <w:pPr>
              <w:spacing w:line="360" w:lineRule="auto"/>
              <w:jc w:val="left"/>
              <w:rPr>
                <w:rFonts w:ascii="仿宋" w:eastAsia="仿宋" w:hAnsi="仿宋"/>
                <w:bCs/>
                <w:iCs/>
                <w:sz w:val="24"/>
                <w:szCs w:val="24"/>
              </w:rPr>
            </w:pPr>
            <w:r>
              <w:rPr>
                <w:rFonts w:ascii="仿宋" w:eastAsia="仿宋" w:hAnsi="仿宋" w:hint="eastAsia"/>
                <w:bCs/>
                <w:iCs/>
                <w:sz w:val="24"/>
                <w:szCs w:val="24"/>
              </w:rPr>
              <w:t>证券事务代表</w:t>
            </w:r>
            <w:r>
              <w:rPr>
                <w:rFonts w:ascii="仿宋" w:eastAsia="仿宋" w:hAnsi="仿宋"/>
                <w:bCs/>
                <w:iCs/>
                <w:sz w:val="24"/>
                <w:szCs w:val="24"/>
              </w:rPr>
              <w:t>：韩爽</w:t>
            </w:r>
          </w:p>
        </w:tc>
      </w:tr>
      <w:tr w:rsidR="00DC6460" w:rsidRPr="00382882" w14:paraId="753706EA" w14:textId="77777777" w:rsidTr="00DF5899">
        <w:trPr>
          <w:trHeight w:val="699"/>
          <w:jc w:val="center"/>
        </w:trPr>
        <w:tc>
          <w:tcPr>
            <w:tcW w:w="2048" w:type="dxa"/>
            <w:shd w:val="clear" w:color="auto" w:fill="auto"/>
            <w:vAlign w:val="center"/>
          </w:tcPr>
          <w:p w14:paraId="188E3CF2" w14:textId="77777777" w:rsidR="00DC6460" w:rsidRPr="00382882" w:rsidRDefault="00DC6460" w:rsidP="00DC6460">
            <w:pPr>
              <w:spacing w:line="480" w:lineRule="atLeast"/>
              <w:rPr>
                <w:rFonts w:ascii="仿宋" w:eastAsia="仿宋" w:hAnsi="仿宋"/>
                <w:b/>
                <w:bCs/>
                <w:iCs/>
                <w:sz w:val="24"/>
                <w:szCs w:val="24"/>
              </w:rPr>
            </w:pPr>
          </w:p>
          <w:p w14:paraId="23C4C1E5" w14:textId="77777777" w:rsidR="00DC6460" w:rsidRPr="00382882" w:rsidRDefault="00DC6460" w:rsidP="00DC6460">
            <w:pPr>
              <w:spacing w:line="480" w:lineRule="atLeast"/>
              <w:jc w:val="center"/>
              <w:rPr>
                <w:rFonts w:ascii="仿宋" w:eastAsia="仿宋" w:hAnsi="仿宋"/>
                <w:b/>
                <w:bCs/>
                <w:iCs/>
                <w:sz w:val="24"/>
                <w:szCs w:val="24"/>
              </w:rPr>
            </w:pPr>
            <w:r w:rsidRPr="00382882">
              <w:rPr>
                <w:rFonts w:ascii="仿宋" w:eastAsia="仿宋" w:hAnsi="仿宋" w:hint="eastAsia"/>
                <w:b/>
                <w:bCs/>
                <w:iCs/>
                <w:sz w:val="24"/>
                <w:szCs w:val="24"/>
              </w:rPr>
              <w:t>投资者关系活动主要内容介绍</w:t>
            </w:r>
          </w:p>
        </w:tc>
        <w:tc>
          <w:tcPr>
            <w:tcW w:w="6650" w:type="dxa"/>
            <w:shd w:val="clear" w:color="auto" w:fill="auto"/>
          </w:tcPr>
          <w:p w14:paraId="17840707" w14:textId="77777777" w:rsidR="00DC6460" w:rsidRPr="00DC6460" w:rsidRDefault="00DC6460" w:rsidP="00DC6460">
            <w:pPr>
              <w:pStyle w:val="a3"/>
              <w:spacing w:line="360" w:lineRule="auto"/>
              <w:ind w:firstLineChars="0" w:firstLine="0"/>
              <w:rPr>
                <w:rFonts w:ascii="仿宋" w:eastAsia="仿宋" w:hAnsi="仿宋"/>
                <w:b/>
                <w:sz w:val="24"/>
                <w:szCs w:val="24"/>
              </w:rPr>
            </w:pPr>
            <w:r w:rsidRPr="00DC6460">
              <w:rPr>
                <w:rFonts w:ascii="仿宋" w:eastAsia="仿宋" w:hAnsi="仿宋" w:hint="eastAsia"/>
                <w:b/>
                <w:sz w:val="24"/>
                <w:szCs w:val="24"/>
              </w:rPr>
              <w:t>1、2019年公司家居品类增速很高，怎么看待家居类的高速增长？具体是哪些产品？</w:t>
            </w:r>
          </w:p>
          <w:p w14:paraId="3F0E5283" w14:textId="77777777" w:rsidR="00DC6460" w:rsidRPr="00DC6460" w:rsidRDefault="00DC6460" w:rsidP="00DC6460">
            <w:pPr>
              <w:pStyle w:val="a3"/>
              <w:spacing w:line="360" w:lineRule="auto"/>
              <w:ind w:firstLineChars="150" w:firstLine="360"/>
              <w:rPr>
                <w:rFonts w:ascii="仿宋" w:eastAsia="仿宋" w:hAnsi="仿宋"/>
                <w:bCs/>
                <w:sz w:val="24"/>
                <w:szCs w:val="24"/>
              </w:rPr>
            </w:pPr>
            <w:r w:rsidRPr="00DC6460">
              <w:rPr>
                <w:rFonts w:ascii="仿宋" w:eastAsia="仿宋" w:hAnsi="仿宋" w:hint="eastAsia"/>
                <w:bCs/>
                <w:sz w:val="24"/>
                <w:szCs w:val="24"/>
              </w:rPr>
              <w:t>目前公司家居类产品主要包含机械锁、指纹锁、卫浴、新风系统、智能家居（对讲、监控、猫眼）等产品，家居类比较成熟的是指纹锁和机械锁，这两个产品经过了几年的培育时间，比较成熟。</w:t>
            </w:r>
          </w:p>
          <w:p w14:paraId="2380438F" w14:textId="612215EF" w:rsidR="00DC6460" w:rsidRDefault="00DC6460" w:rsidP="00DC6460">
            <w:pPr>
              <w:pStyle w:val="a3"/>
              <w:spacing w:line="360" w:lineRule="auto"/>
              <w:ind w:firstLineChars="150" w:firstLine="360"/>
              <w:rPr>
                <w:rFonts w:ascii="仿宋" w:eastAsia="仿宋" w:hAnsi="仿宋"/>
                <w:bCs/>
                <w:sz w:val="24"/>
                <w:szCs w:val="24"/>
              </w:rPr>
            </w:pPr>
            <w:r w:rsidRPr="00DC6460">
              <w:rPr>
                <w:rFonts w:ascii="仿宋" w:eastAsia="仿宋" w:hAnsi="仿宋" w:hint="eastAsia"/>
                <w:bCs/>
                <w:sz w:val="24"/>
                <w:szCs w:val="24"/>
              </w:rPr>
              <w:t>2</w:t>
            </w:r>
            <w:r w:rsidRPr="00DC6460">
              <w:rPr>
                <w:rFonts w:ascii="仿宋" w:eastAsia="仿宋" w:hAnsi="仿宋"/>
                <w:bCs/>
                <w:sz w:val="24"/>
                <w:szCs w:val="24"/>
              </w:rPr>
              <w:t>019</w:t>
            </w:r>
            <w:r w:rsidRPr="00DC6460">
              <w:rPr>
                <w:rFonts w:ascii="仿宋" w:eastAsia="仿宋" w:hAnsi="仿宋" w:hint="eastAsia"/>
                <w:bCs/>
                <w:sz w:val="24"/>
                <w:szCs w:val="24"/>
              </w:rPr>
              <w:t>年家居类产品增长5</w:t>
            </w:r>
            <w:r w:rsidRPr="00DC6460">
              <w:rPr>
                <w:rFonts w:ascii="仿宋" w:eastAsia="仿宋" w:hAnsi="仿宋"/>
                <w:bCs/>
                <w:sz w:val="24"/>
                <w:szCs w:val="24"/>
              </w:rPr>
              <w:t>6.78%</w:t>
            </w:r>
            <w:r w:rsidRPr="00DC6460">
              <w:rPr>
                <w:rFonts w:ascii="仿宋" w:eastAsia="仿宋" w:hAnsi="仿宋" w:hint="eastAsia"/>
                <w:bCs/>
                <w:sz w:val="24"/>
                <w:szCs w:val="24"/>
              </w:rPr>
              <w:t xml:space="preserve">，其中有葡萄牙卫浴并表的部分因素影响，同时家居类产品整体基数较小故增长较快。家居类产品应用在公共建筑和住宅，主要涉及房地产精装房的增加，以及一些医院、学校等项目交付。 </w:t>
            </w:r>
          </w:p>
          <w:p w14:paraId="73B05480" w14:textId="77777777" w:rsidR="00DC6460" w:rsidRPr="00DC6460" w:rsidRDefault="00DC6460" w:rsidP="00DC6460">
            <w:pPr>
              <w:pStyle w:val="a3"/>
              <w:spacing w:line="360" w:lineRule="auto"/>
              <w:ind w:firstLineChars="150" w:firstLine="360"/>
              <w:rPr>
                <w:rFonts w:ascii="仿宋" w:eastAsia="仿宋" w:hAnsi="仿宋"/>
                <w:bCs/>
                <w:sz w:val="24"/>
                <w:szCs w:val="24"/>
              </w:rPr>
            </w:pPr>
          </w:p>
          <w:p w14:paraId="0AAC81DF" w14:textId="77777777" w:rsidR="00DC6460" w:rsidRPr="00DC6460" w:rsidRDefault="00DC6460" w:rsidP="00DC6460">
            <w:pPr>
              <w:pStyle w:val="a3"/>
              <w:spacing w:line="360" w:lineRule="auto"/>
              <w:ind w:firstLineChars="0" w:firstLine="0"/>
              <w:rPr>
                <w:rFonts w:ascii="仿宋" w:eastAsia="仿宋" w:hAnsi="仿宋" w:hint="eastAsia"/>
                <w:b/>
                <w:sz w:val="24"/>
                <w:szCs w:val="24"/>
              </w:rPr>
            </w:pPr>
            <w:r w:rsidRPr="00DC6460">
              <w:rPr>
                <w:rFonts w:ascii="仿宋" w:eastAsia="仿宋" w:hAnsi="仿宋"/>
                <w:b/>
                <w:sz w:val="24"/>
                <w:szCs w:val="24"/>
              </w:rPr>
              <w:t>2</w:t>
            </w:r>
            <w:r w:rsidRPr="00DC6460">
              <w:rPr>
                <w:rFonts w:ascii="仿宋" w:eastAsia="仿宋" w:hAnsi="仿宋" w:hint="eastAsia"/>
                <w:b/>
                <w:sz w:val="24"/>
                <w:szCs w:val="24"/>
              </w:rPr>
              <w:t>、门窗和门控的增速差异大的原因？</w:t>
            </w:r>
          </w:p>
          <w:p w14:paraId="16FEEEFA" w14:textId="4A0AFCAB" w:rsidR="00DC6460" w:rsidRPr="00DC6460" w:rsidRDefault="00DC6460" w:rsidP="00DC6460">
            <w:pPr>
              <w:pStyle w:val="a3"/>
              <w:spacing w:line="360" w:lineRule="auto"/>
              <w:ind w:firstLine="480"/>
              <w:rPr>
                <w:rFonts w:ascii="仿宋" w:eastAsia="仿宋" w:hAnsi="仿宋"/>
                <w:bCs/>
                <w:sz w:val="24"/>
                <w:szCs w:val="24"/>
              </w:rPr>
            </w:pPr>
            <w:r w:rsidRPr="00DC6460">
              <w:rPr>
                <w:rFonts w:ascii="仿宋" w:eastAsia="仿宋" w:hAnsi="仿宋" w:hint="eastAsia"/>
                <w:bCs/>
                <w:sz w:val="24"/>
                <w:szCs w:val="24"/>
              </w:rPr>
              <w:t>大门窗</w:t>
            </w:r>
            <w:r>
              <w:rPr>
                <w:rFonts w:ascii="仿宋" w:eastAsia="仿宋" w:hAnsi="仿宋" w:hint="eastAsia"/>
                <w:bCs/>
                <w:sz w:val="24"/>
                <w:szCs w:val="24"/>
              </w:rPr>
              <w:t>类</w:t>
            </w:r>
            <w:r w:rsidRPr="00DC6460">
              <w:rPr>
                <w:rFonts w:ascii="仿宋" w:eastAsia="仿宋" w:hAnsi="仿宋" w:hint="eastAsia"/>
                <w:bCs/>
                <w:sz w:val="24"/>
                <w:szCs w:val="24"/>
              </w:rPr>
              <w:t>主要铝窗、塑窗、铰链等产品，以住宅建筑为主，同时也广泛应用于公共和商业建筑领域。门控产品主要是地弹簧、闭门器和拉手，主要应用于公共和商业建筑，住宅也会涉及到，但其用量相对较少。</w:t>
            </w:r>
          </w:p>
          <w:p w14:paraId="4D22B1AE" w14:textId="77777777" w:rsidR="00DC6460" w:rsidRPr="00DC6460" w:rsidRDefault="00DC6460" w:rsidP="00DC6460">
            <w:pPr>
              <w:pStyle w:val="a3"/>
              <w:spacing w:line="360" w:lineRule="auto"/>
              <w:ind w:firstLine="480"/>
              <w:rPr>
                <w:rFonts w:ascii="仿宋" w:eastAsia="仿宋" w:hAnsi="仿宋"/>
                <w:bCs/>
                <w:sz w:val="24"/>
                <w:szCs w:val="24"/>
              </w:rPr>
            </w:pPr>
            <w:r w:rsidRPr="00DC6460">
              <w:rPr>
                <w:rFonts w:ascii="仿宋" w:eastAsia="仿宋" w:hAnsi="仿宋" w:hint="eastAsia"/>
                <w:bCs/>
                <w:sz w:val="24"/>
                <w:szCs w:val="24"/>
              </w:rPr>
              <w:t>从这几年整个建筑结构来看，住宅类地产有良性增长，公共建筑比较稳定，商业建筑略有一些下降，这些差异造成门窗和门控的增量分化。</w:t>
            </w:r>
          </w:p>
          <w:p w14:paraId="47073747" w14:textId="77777777" w:rsidR="00DC6460" w:rsidRPr="00DC6460" w:rsidRDefault="00DC6460" w:rsidP="00DC6460">
            <w:pPr>
              <w:pStyle w:val="a3"/>
              <w:spacing w:line="360" w:lineRule="auto"/>
              <w:ind w:firstLineChars="0" w:firstLine="0"/>
              <w:rPr>
                <w:rFonts w:ascii="仿宋" w:eastAsia="仿宋" w:hAnsi="仿宋"/>
                <w:b/>
                <w:sz w:val="24"/>
                <w:szCs w:val="24"/>
              </w:rPr>
            </w:pPr>
          </w:p>
          <w:p w14:paraId="7AE07B2D" w14:textId="77777777" w:rsidR="00DC6460" w:rsidRPr="00DC6460" w:rsidRDefault="00DC6460" w:rsidP="00DC6460">
            <w:pPr>
              <w:pStyle w:val="a3"/>
              <w:spacing w:line="360" w:lineRule="auto"/>
              <w:ind w:firstLineChars="0" w:firstLine="0"/>
              <w:rPr>
                <w:rFonts w:ascii="仿宋" w:eastAsia="仿宋" w:hAnsi="仿宋"/>
                <w:b/>
                <w:sz w:val="24"/>
                <w:szCs w:val="24"/>
              </w:rPr>
            </w:pPr>
            <w:r w:rsidRPr="00DC6460">
              <w:rPr>
                <w:rFonts w:ascii="仿宋" w:eastAsia="仿宋" w:hAnsi="仿宋"/>
                <w:b/>
                <w:sz w:val="24"/>
                <w:szCs w:val="24"/>
              </w:rPr>
              <w:t>3</w:t>
            </w:r>
            <w:r w:rsidRPr="00DC6460">
              <w:rPr>
                <w:rFonts w:ascii="仿宋" w:eastAsia="仿宋" w:hAnsi="仿宋" w:hint="eastAsia"/>
                <w:b/>
                <w:sz w:val="24"/>
                <w:szCs w:val="24"/>
              </w:rPr>
              <w:t>、2019年年报经营性现金流改善原因？</w:t>
            </w:r>
          </w:p>
          <w:p w14:paraId="10E26C21" w14:textId="77777777" w:rsidR="00DC6460" w:rsidRPr="00DC6460" w:rsidRDefault="00DC6460" w:rsidP="00DC6460">
            <w:pPr>
              <w:pStyle w:val="a3"/>
              <w:spacing w:line="360" w:lineRule="auto"/>
              <w:ind w:firstLine="480"/>
              <w:rPr>
                <w:rFonts w:ascii="仿宋" w:eastAsia="仿宋" w:hAnsi="仿宋"/>
                <w:bCs/>
                <w:sz w:val="24"/>
                <w:szCs w:val="24"/>
              </w:rPr>
            </w:pPr>
            <w:r w:rsidRPr="00DC6460">
              <w:rPr>
                <w:rFonts w:ascii="仿宋" w:eastAsia="仿宋" w:hAnsi="仿宋" w:hint="eastAsia"/>
                <w:bCs/>
                <w:sz w:val="24"/>
                <w:szCs w:val="24"/>
              </w:rPr>
              <w:t>2</w:t>
            </w:r>
            <w:r w:rsidRPr="00DC6460">
              <w:rPr>
                <w:rFonts w:ascii="仿宋" w:eastAsia="仿宋" w:hAnsi="仿宋"/>
                <w:bCs/>
                <w:sz w:val="24"/>
                <w:szCs w:val="24"/>
              </w:rPr>
              <w:t>019</w:t>
            </w:r>
            <w:r w:rsidRPr="00DC6460">
              <w:rPr>
                <w:rFonts w:ascii="仿宋" w:eastAsia="仿宋" w:hAnsi="仿宋" w:hint="eastAsia"/>
                <w:bCs/>
                <w:sz w:val="24"/>
                <w:szCs w:val="24"/>
              </w:rPr>
              <w:t>年经营性现金流改善主要原因：</w:t>
            </w:r>
          </w:p>
          <w:p w14:paraId="595AEE5A" w14:textId="77777777" w:rsidR="00DC6460" w:rsidRPr="00DC6460" w:rsidRDefault="00DC6460" w:rsidP="00DC6460">
            <w:pPr>
              <w:pStyle w:val="a3"/>
              <w:spacing w:line="360" w:lineRule="auto"/>
              <w:ind w:firstLine="480"/>
              <w:rPr>
                <w:rFonts w:ascii="仿宋" w:eastAsia="仿宋" w:hAnsi="仿宋"/>
                <w:bCs/>
                <w:sz w:val="24"/>
                <w:szCs w:val="24"/>
              </w:rPr>
            </w:pPr>
            <w:r w:rsidRPr="00DC6460">
              <w:rPr>
                <w:rFonts w:ascii="仿宋" w:eastAsia="仿宋" w:hAnsi="仿宋" w:hint="eastAsia"/>
                <w:bCs/>
                <w:sz w:val="24"/>
                <w:szCs w:val="24"/>
              </w:rPr>
              <w:t>一是收现比提高。销售增长较快、回款良好，同时应收周转加快，公司在严格实行差异化的授信政策的同时，通过智能化管控系统实行全链条跟踪管理；</w:t>
            </w:r>
          </w:p>
          <w:p w14:paraId="1076CDA9" w14:textId="77777777" w:rsidR="00DC6460" w:rsidRPr="00DC6460" w:rsidRDefault="00DC6460" w:rsidP="00DC6460">
            <w:pPr>
              <w:pStyle w:val="a3"/>
              <w:spacing w:line="360" w:lineRule="auto"/>
              <w:ind w:firstLine="480"/>
              <w:rPr>
                <w:rFonts w:ascii="仿宋" w:eastAsia="仿宋" w:hAnsi="仿宋"/>
                <w:bCs/>
                <w:sz w:val="24"/>
                <w:szCs w:val="24"/>
              </w:rPr>
            </w:pPr>
            <w:r w:rsidRPr="00DC6460">
              <w:rPr>
                <w:rFonts w:ascii="仿宋" w:eastAsia="仿宋" w:hAnsi="仿宋" w:hint="eastAsia"/>
                <w:bCs/>
                <w:sz w:val="24"/>
                <w:szCs w:val="24"/>
              </w:rPr>
              <w:t>二是库存周转加快，公司成立大计划项目组实行库存专项管理，在设立了备货仓模式下，根据客户的需求整体优化备货，同时通过</w:t>
            </w:r>
            <w:r w:rsidRPr="00DC6460">
              <w:rPr>
                <w:rFonts w:ascii="仿宋" w:eastAsia="仿宋" w:hAnsi="仿宋"/>
                <w:bCs/>
                <w:sz w:val="24"/>
                <w:szCs w:val="24"/>
              </w:rPr>
              <w:t>SRM</w:t>
            </w:r>
            <w:r w:rsidRPr="00DC6460">
              <w:rPr>
                <w:rFonts w:ascii="仿宋" w:eastAsia="仿宋" w:hAnsi="仿宋" w:hint="eastAsia"/>
                <w:bCs/>
                <w:sz w:val="24"/>
                <w:szCs w:val="24"/>
              </w:rPr>
              <w:t>系统交付的自动管理，提升周转；</w:t>
            </w:r>
          </w:p>
          <w:p w14:paraId="38BC9381" w14:textId="77777777" w:rsidR="00DC6460" w:rsidRPr="00DC6460" w:rsidRDefault="00DC6460" w:rsidP="00DC6460">
            <w:pPr>
              <w:pStyle w:val="a3"/>
              <w:spacing w:line="360" w:lineRule="auto"/>
              <w:ind w:firstLine="480"/>
              <w:rPr>
                <w:rFonts w:ascii="仿宋" w:eastAsia="仿宋" w:hAnsi="仿宋"/>
                <w:bCs/>
                <w:sz w:val="24"/>
                <w:szCs w:val="24"/>
              </w:rPr>
            </w:pPr>
            <w:r w:rsidRPr="00DC6460">
              <w:rPr>
                <w:rFonts w:ascii="仿宋" w:eastAsia="仿宋" w:hAnsi="仿宋" w:hint="eastAsia"/>
                <w:bCs/>
                <w:sz w:val="24"/>
                <w:szCs w:val="24"/>
              </w:rPr>
              <w:t>三是源于市场压力，下游承兑汇票部分传导至上游，票据支付比例适度加大，票据支出基本和前端收到票据持平。</w:t>
            </w:r>
          </w:p>
          <w:p w14:paraId="35737DCD" w14:textId="77777777" w:rsidR="00DC6460" w:rsidRPr="00DC6460" w:rsidRDefault="00DC6460" w:rsidP="00DC6460">
            <w:pPr>
              <w:pStyle w:val="a3"/>
              <w:spacing w:line="360" w:lineRule="auto"/>
              <w:ind w:firstLineChars="0" w:firstLine="0"/>
              <w:rPr>
                <w:rFonts w:ascii="仿宋" w:eastAsia="仿宋" w:hAnsi="仿宋"/>
                <w:sz w:val="24"/>
                <w:szCs w:val="24"/>
              </w:rPr>
            </w:pPr>
          </w:p>
          <w:p w14:paraId="2AADF552" w14:textId="77777777" w:rsidR="00DC6460" w:rsidRPr="00DC6460" w:rsidRDefault="00DC6460" w:rsidP="00DC6460">
            <w:pPr>
              <w:pStyle w:val="a3"/>
              <w:spacing w:line="360" w:lineRule="auto"/>
              <w:ind w:firstLineChars="0" w:firstLine="0"/>
              <w:rPr>
                <w:rFonts w:ascii="仿宋" w:eastAsia="仿宋" w:hAnsi="仿宋" w:hint="eastAsia"/>
                <w:b/>
                <w:sz w:val="24"/>
                <w:szCs w:val="24"/>
              </w:rPr>
            </w:pPr>
            <w:r w:rsidRPr="00DC6460">
              <w:rPr>
                <w:rFonts w:ascii="仿宋" w:eastAsia="仿宋" w:hAnsi="仿宋"/>
                <w:b/>
                <w:sz w:val="24"/>
                <w:szCs w:val="24"/>
              </w:rPr>
              <w:t>4</w:t>
            </w:r>
            <w:r w:rsidRPr="00DC6460">
              <w:rPr>
                <w:rFonts w:ascii="仿宋" w:eastAsia="仿宋" w:hAnsi="仿宋" w:hint="eastAsia"/>
                <w:b/>
                <w:sz w:val="24"/>
                <w:szCs w:val="24"/>
              </w:rPr>
              <w:t>、2019年全年毛利率上升的原因？</w:t>
            </w:r>
          </w:p>
          <w:p w14:paraId="6EA90814" w14:textId="77777777" w:rsidR="00DC6460" w:rsidRPr="00DC6460" w:rsidRDefault="00DC6460" w:rsidP="00DC6460">
            <w:pPr>
              <w:pStyle w:val="a3"/>
              <w:spacing w:line="360" w:lineRule="auto"/>
              <w:ind w:firstLineChars="175"/>
              <w:rPr>
                <w:rFonts w:ascii="仿宋" w:eastAsia="仿宋" w:hAnsi="仿宋"/>
                <w:bCs/>
                <w:sz w:val="24"/>
                <w:szCs w:val="24"/>
              </w:rPr>
            </w:pPr>
            <w:r w:rsidRPr="00DC6460">
              <w:rPr>
                <w:rFonts w:ascii="仿宋" w:eastAsia="仿宋" w:hAnsi="仿宋" w:hint="eastAsia"/>
                <w:bCs/>
                <w:sz w:val="24"/>
                <w:szCs w:val="24"/>
              </w:rPr>
              <w:t>第一个方面是内部效能改善，公司内部事业部之间对不同的产能工序进行合并改善，提升生产效率和产能利用率，同时通过自动化设备进行提效改善，自动化升级改造推动毛利率提升；</w:t>
            </w:r>
          </w:p>
          <w:p w14:paraId="65A7D76E" w14:textId="77777777" w:rsidR="00DC6460" w:rsidRPr="00DC6460" w:rsidRDefault="00DC6460" w:rsidP="00DC6460">
            <w:pPr>
              <w:pStyle w:val="a3"/>
              <w:spacing w:line="360" w:lineRule="auto"/>
              <w:ind w:firstLineChars="175"/>
              <w:rPr>
                <w:rFonts w:ascii="仿宋" w:eastAsia="仿宋" w:hAnsi="仿宋"/>
                <w:bCs/>
                <w:sz w:val="24"/>
                <w:szCs w:val="24"/>
              </w:rPr>
            </w:pPr>
            <w:r w:rsidRPr="00DC6460">
              <w:rPr>
                <w:rFonts w:ascii="仿宋" w:eastAsia="仿宋" w:hAnsi="仿宋" w:hint="eastAsia"/>
                <w:bCs/>
                <w:sz w:val="24"/>
                <w:szCs w:val="24"/>
              </w:rPr>
              <w:t>第二方面是子公司端产量增加，在内部管理提效的基础上，摊薄子公司成本；</w:t>
            </w:r>
          </w:p>
          <w:p w14:paraId="73009403" w14:textId="77777777" w:rsidR="00DC6460" w:rsidRPr="00DC6460" w:rsidRDefault="00DC6460" w:rsidP="00DC6460">
            <w:pPr>
              <w:pStyle w:val="a3"/>
              <w:spacing w:line="360" w:lineRule="auto"/>
              <w:ind w:firstLineChars="175"/>
              <w:rPr>
                <w:rFonts w:ascii="仿宋" w:eastAsia="仿宋" w:hAnsi="仿宋" w:hint="eastAsia"/>
                <w:bCs/>
                <w:sz w:val="24"/>
                <w:szCs w:val="24"/>
              </w:rPr>
            </w:pPr>
            <w:r w:rsidRPr="00DC6460">
              <w:rPr>
                <w:rFonts w:ascii="仿宋" w:eastAsia="仿宋" w:hAnsi="仿宋" w:hint="eastAsia"/>
                <w:bCs/>
                <w:sz w:val="24"/>
                <w:szCs w:val="24"/>
              </w:rPr>
              <w:t>第三方面是受国家增值税改革调整影响，对海外的退税率提高</w:t>
            </w:r>
            <w:r w:rsidRPr="00DC6460">
              <w:rPr>
                <w:rFonts w:ascii="仿宋" w:eastAsia="仿宋" w:hAnsi="仿宋"/>
                <w:bCs/>
                <w:sz w:val="24"/>
                <w:szCs w:val="24"/>
              </w:rPr>
              <w:t>，海外</w:t>
            </w:r>
            <w:r w:rsidRPr="00DC6460">
              <w:rPr>
                <w:rFonts w:ascii="仿宋" w:eastAsia="仿宋" w:hAnsi="仿宋" w:hint="eastAsia"/>
                <w:bCs/>
                <w:sz w:val="24"/>
                <w:szCs w:val="24"/>
              </w:rPr>
              <w:t>收入占总收入1</w:t>
            </w:r>
            <w:r w:rsidRPr="00DC6460">
              <w:rPr>
                <w:rFonts w:ascii="仿宋" w:eastAsia="仿宋" w:hAnsi="仿宋"/>
                <w:bCs/>
                <w:sz w:val="24"/>
                <w:szCs w:val="24"/>
              </w:rPr>
              <w:t>0%，</w:t>
            </w:r>
            <w:r w:rsidRPr="00DC6460">
              <w:rPr>
                <w:rFonts w:ascii="仿宋" w:eastAsia="仿宋" w:hAnsi="仿宋" w:hint="eastAsia"/>
                <w:bCs/>
                <w:sz w:val="24"/>
                <w:szCs w:val="24"/>
              </w:rPr>
              <w:t>对毛利率上升有部分贡献。</w:t>
            </w:r>
          </w:p>
          <w:p w14:paraId="13ADDF72" w14:textId="14F3F1DB" w:rsidR="00DC6460" w:rsidRPr="00DC6460" w:rsidRDefault="00DC6460" w:rsidP="00DC6460">
            <w:pPr>
              <w:spacing w:line="360" w:lineRule="auto"/>
              <w:rPr>
                <w:rFonts w:ascii="仿宋" w:eastAsia="仿宋" w:hAnsi="仿宋" w:hint="eastAsia"/>
                <w:b/>
                <w:sz w:val="24"/>
                <w:szCs w:val="24"/>
                <w:highlight w:val="yellow"/>
              </w:rPr>
            </w:pPr>
          </w:p>
          <w:p w14:paraId="1061D6FB" w14:textId="77777777" w:rsidR="00DC6460" w:rsidRPr="00DC6460" w:rsidRDefault="00DC6460" w:rsidP="00DC6460">
            <w:pPr>
              <w:pStyle w:val="a3"/>
              <w:spacing w:line="360" w:lineRule="auto"/>
              <w:ind w:firstLineChars="0" w:firstLine="0"/>
              <w:rPr>
                <w:rFonts w:ascii="仿宋" w:eastAsia="仿宋" w:hAnsi="仿宋" w:hint="eastAsia"/>
                <w:b/>
                <w:sz w:val="24"/>
                <w:szCs w:val="24"/>
              </w:rPr>
            </w:pPr>
            <w:r w:rsidRPr="00DC6460">
              <w:rPr>
                <w:rFonts w:ascii="仿宋" w:eastAsia="仿宋" w:hAnsi="仿宋"/>
                <w:b/>
                <w:sz w:val="24"/>
                <w:szCs w:val="24"/>
              </w:rPr>
              <w:t>5</w:t>
            </w:r>
            <w:r w:rsidRPr="00DC6460">
              <w:rPr>
                <w:rFonts w:ascii="仿宋" w:eastAsia="仿宋" w:hAnsi="仿宋" w:hint="eastAsia"/>
                <w:b/>
                <w:sz w:val="24"/>
                <w:szCs w:val="24"/>
              </w:rPr>
              <w:t>、2</w:t>
            </w:r>
            <w:r w:rsidRPr="00DC6460">
              <w:rPr>
                <w:rFonts w:ascii="仿宋" w:eastAsia="仿宋" w:hAnsi="仿宋"/>
                <w:b/>
                <w:sz w:val="24"/>
                <w:szCs w:val="24"/>
              </w:rPr>
              <w:t>019</w:t>
            </w:r>
            <w:r w:rsidRPr="00DC6460">
              <w:rPr>
                <w:rFonts w:ascii="仿宋" w:eastAsia="仿宋" w:hAnsi="仿宋" w:hint="eastAsia"/>
                <w:b/>
                <w:sz w:val="24"/>
                <w:szCs w:val="24"/>
              </w:rPr>
              <w:t>年公司在渠道下沉的布局效果？</w:t>
            </w:r>
          </w:p>
          <w:p w14:paraId="1481285D" w14:textId="77777777" w:rsidR="00DC6460" w:rsidRPr="00DC6460" w:rsidRDefault="00DC6460" w:rsidP="00DC6460">
            <w:pPr>
              <w:pStyle w:val="a3"/>
              <w:spacing w:line="360" w:lineRule="auto"/>
              <w:ind w:firstLineChars="175"/>
              <w:rPr>
                <w:rFonts w:ascii="仿宋" w:eastAsia="仿宋" w:hAnsi="仿宋" w:hint="eastAsia"/>
                <w:bCs/>
                <w:sz w:val="24"/>
                <w:szCs w:val="24"/>
              </w:rPr>
            </w:pPr>
            <w:r w:rsidRPr="00DC6460">
              <w:rPr>
                <w:rFonts w:ascii="仿宋" w:eastAsia="仿宋" w:hAnsi="仿宋" w:hint="eastAsia"/>
                <w:bCs/>
                <w:sz w:val="24"/>
                <w:szCs w:val="24"/>
              </w:rPr>
              <w:t>从2019年公司营业收入增速来看，2019年一线城市（省会、直辖市）保持公司平均增长，三四线城市、县城、城乡结合部等增长超过公司平均销售增长。公司目前销售点超过5</w:t>
            </w:r>
            <w:r w:rsidRPr="00DC6460">
              <w:rPr>
                <w:rFonts w:ascii="仿宋" w:eastAsia="仿宋" w:hAnsi="仿宋"/>
                <w:bCs/>
                <w:sz w:val="24"/>
                <w:szCs w:val="24"/>
              </w:rPr>
              <w:t>00</w:t>
            </w:r>
            <w:r w:rsidRPr="00DC6460">
              <w:rPr>
                <w:rFonts w:ascii="仿宋" w:eastAsia="仿宋" w:hAnsi="仿宋" w:hint="eastAsia"/>
                <w:bCs/>
                <w:sz w:val="24"/>
                <w:szCs w:val="24"/>
              </w:rPr>
              <w:t>个，三四线城市主要是在城乡结合部以及县城。随着公司渠道的下沉和多品类的延伸拓展，促进客户一站式采购需求发展趋势，将带来更多的增长机会。</w:t>
            </w:r>
          </w:p>
          <w:p w14:paraId="39F62EB5" w14:textId="77777777" w:rsidR="00DC6460" w:rsidRPr="00DC6460" w:rsidRDefault="00DC6460" w:rsidP="00DC6460">
            <w:pPr>
              <w:rPr>
                <w:rFonts w:ascii="仿宋" w:eastAsia="仿宋" w:hAnsi="仿宋"/>
                <w:b/>
                <w:sz w:val="24"/>
                <w:szCs w:val="24"/>
                <w:highlight w:val="yellow"/>
              </w:rPr>
            </w:pPr>
          </w:p>
          <w:p w14:paraId="346AB510" w14:textId="77777777" w:rsidR="00DC6460" w:rsidRPr="00DC6460" w:rsidRDefault="00DC6460" w:rsidP="00DC6460">
            <w:pPr>
              <w:pStyle w:val="a3"/>
              <w:spacing w:line="360" w:lineRule="auto"/>
              <w:ind w:firstLineChars="0" w:firstLine="0"/>
              <w:rPr>
                <w:rFonts w:ascii="仿宋" w:eastAsia="仿宋" w:hAnsi="仿宋"/>
                <w:b/>
                <w:sz w:val="24"/>
                <w:szCs w:val="24"/>
              </w:rPr>
            </w:pPr>
            <w:r w:rsidRPr="00DC6460">
              <w:rPr>
                <w:rFonts w:ascii="仿宋" w:eastAsia="仿宋" w:hAnsi="仿宋"/>
                <w:b/>
                <w:sz w:val="24"/>
                <w:szCs w:val="24"/>
              </w:rPr>
              <w:t>6</w:t>
            </w:r>
            <w:r w:rsidRPr="00DC6460">
              <w:rPr>
                <w:rFonts w:ascii="仿宋" w:eastAsia="仿宋" w:hAnsi="仿宋" w:hint="eastAsia"/>
                <w:b/>
                <w:sz w:val="24"/>
                <w:szCs w:val="24"/>
              </w:rPr>
              <w:t>、</w:t>
            </w:r>
            <w:r w:rsidRPr="00DC6460">
              <w:rPr>
                <w:rFonts w:ascii="仿宋" w:eastAsia="仿宋" w:hAnsi="仿宋"/>
                <w:b/>
                <w:sz w:val="24"/>
                <w:szCs w:val="24"/>
              </w:rPr>
              <w:t>公司</w:t>
            </w:r>
            <w:r w:rsidRPr="00DC6460">
              <w:rPr>
                <w:rFonts w:ascii="仿宋" w:eastAsia="仿宋" w:hAnsi="仿宋" w:hint="eastAsia"/>
                <w:b/>
                <w:sz w:val="24"/>
                <w:szCs w:val="24"/>
              </w:rPr>
              <w:t>拓展新品类的思路？</w:t>
            </w:r>
          </w:p>
          <w:p w14:paraId="7CB10272" w14:textId="77777777" w:rsidR="00DC6460" w:rsidRPr="00DC6460" w:rsidRDefault="00DC6460" w:rsidP="00DC6460">
            <w:pPr>
              <w:pStyle w:val="a3"/>
              <w:spacing w:line="360" w:lineRule="auto"/>
              <w:ind w:firstLine="480"/>
              <w:rPr>
                <w:rFonts w:ascii="仿宋" w:eastAsia="仿宋" w:hAnsi="仿宋"/>
                <w:bCs/>
                <w:sz w:val="24"/>
                <w:szCs w:val="24"/>
              </w:rPr>
            </w:pPr>
            <w:r w:rsidRPr="00DC6460">
              <w:rPr>
                <w:rFonts w:ascii="仿宋" w:eastAsia="仿宋" w:hAnsi="仿宋" w:hint="eastAsia"/>
                <w:bCs/>
                <w:sz w:val="24"/>
                <w:szCs w:val="24"/>
              </w:rPr>
              <w:t>公司战略定位是建筑配套件集成供应商，以“研发+制造+服务”的全链条直销模式不断满足客户需求和市场变化。公司在拓展新品类方面，一方面继续保持对现有优势产业的增资扩产和新增关联产品的延伸投入；另一方面，整合建筑行业内优势资源，积极通过战略投资与合作提升产业发展能力；</w:t>
            </w:r>
          </w:p>
          <w:p w14:paraId="2DB7D53D" w14:textId="77777777" w:rsidR="00DC6460" w:rsidRPr="00DC6460" w:rsidRDefault="00DC6460" w:rsidP="00DC6460">
            <w:pPr>
              <w:pStyle w:val="a3"/>
              <w:spacing w:line="360" w:lineRule="auto"/>
              <w:ind w:firstLine="480"/>
              <w:rPr>
                <w:rFonts w:ascii="仿宋" w:eastAsia="仿宋" w:hAnsi="仿宋"/>
                <w:bCs/>
                <w:sz w:val="24"/>
                <w:szCs w:val="24"/>
              </w:rPr>
            </w:pPr>
            <w:r w:rsidRPr="00DC6460">
              <w:rPr>
                <w:rFonts w:ascii="仿宋" w:eastAsia="仿宋" w:hAnsi="仿宋" w:hint="eastAsia"/>
                <w:bCs/>
                <w:sz w:val="24"/>
                <w:szCs w:val="24"/>
              </w:rPr>
              <w:t>公司的客户群体较为分散，新品类的扩张依然围绕目前原有客户群体，解决客户分散采购的成本和提高效率，多元化、集成化产品供应为客户提供更多品类的选择和服务，满足客户更深层次的需求</w:t>
            </w:r>
            <w:r w:rsidRPr="00DC6460">
              <w:rPr>
                <w:rFonts w:ascii="仿宋" w:eastAsia="仿宋" w:hAnsi="仿宋"/>
                <w:bCs/>
                <w:sz w:val="24"/>
                <w:szCs w:val="24"/>
              </w:rPr>
              <w:t>。</w:t>
            </w:r>
          </w:p>
          <w:p w14:paraId="007C4886" w14:textId="77777777" w:rsidR="00DC6460" w:rsidRPr="00DC6460" w:rsidRDefault="00DC6460" w:rsidP="00DC6460">
            <w:pPr>
              <w:ind w:firstLineChars="150" w:firstLine="360"/>
              <w:rPr>
                <w:rFonts w:ascii="仿宋" w:eastAsia="仿宋" w:hAnsi="仿宋"/>
                <w:sz w:val="24"/>
                <w:szCs w:val="24"/>
                <w:highlight w:val="yellow"/>
              </w:rPr>
            </w:pPr>
          </w:p>
          <w:p w14:paraId="3AF6FB78" w14:textId="77777777" w:rsidR="00DC6460" w:rsidRPr="00DC6460" w:rsidRDefault="00DC6460" w:rsidP="00DC6460">
            <w:pPr>
              <w:pStyle w:val="a3"/>
              <w:spacing w:line="360" w:lineRule="auto"/>
              <w:ind w:firstLineChars="0" w:firstLine="0"/>
              <w:rPr>
                <w:rFonts w:ascii="仿宋" w:eastAsia="仿宋" w:hAnsi="仿宋"/>
                <w:b/>
                <w:sz w:val="24"/>
                <w:szCs w:val="24"/>
              </w:rPr>
            </w:pPr>
            <w:r w:rsidRPr="00DC6460">
              <w:rPr>
                <w:rFonts w:ascii="仿宋" w:eastAsia="仿宋" w:hAnsi="仿宋"/>
                <w:b/>
                <w:sz w:val="24"/>
                <w:szCs w:val="24"/>
              </w:rPr>
              <w:t>7</w:t>
            </w:r>
            <w:r w:rsidRPr="00DC6460">
              <w:rPr>
                <w:rFonts w:ascii="仿宋" w:eastAsia="仿宋" w:hAnsi="仿宋" w:hint="eastAsia"/>
                <w:b/>
                <w:sz w:val="24"/>
                <w:szCs w:val="24"/>
              </w:rPr>
              <w:t>、新冠肺炎</w:t>
            </w:r>
            <w:r w:rsidRPr="00DC6460">
              <w:rPr>
                <w:rFonts w:ascii="仿宋" w:eastAsia="仿宋" w:hAnsi="仿宋"/>
                <w:b/>
                <w:sz w:val="24"/>
                <w:szCs w:val="24"/>
              </w:rPr>
              <w:t>疫情对公司业绩</w:t>
            </w:r>
            <w:r w:rsidRPr="00DC6460">
              <w:rPr>
                <w:rFonts w:ascii="仿宋" w:eastAsia="仿宋" w:hAnsi="仿宋" w:hint="eastAsia"/>
                <w:b/>
                <w:sz w:val="24"/>
                <w:szCs w:val="24"/>
              </w:rPr>
              <w:t>的</w:t>
            </w:r>
            <w:r w:rsidRPr="00DC6460">
              <w:rPr>
                <w:rFonts w:ascii="仿宋" w:eastAsia="仿宋" w:hAnsi="仿宋"/>
                <w:b/>
                <w:sz w:val="24"/>
                <w:szCs w:val="24"/>
              </w:rPr>
              <w:t>影响</w:t>
            </w:r>
            <w:r w:rsidRPr="00DC6460">
              <w:rPr>
                <w:rFonts w:ascii="仿宋" w:eastAsia="仿宋" w:hAnsi="仿宋" w:hint="eastAsia"/>
                <w:b/>
                <w:sz w:val="24"/>
                <w:szCs w:val="24"/>
              </w:rPr>
              <w:t>情况</w:t>
            </w:r>
            <w:r w:rsidRPr="00DC6460">
              <w:rPr>
                <w:rFonts w:ascii="仿宋" w:eastAsia="仿宋" w:hAnsi="仿宋"/>
                <w:b/>
                <w:sz w:val="24"/>
                <w:szCs w:val="24"/>
              </w:rPr>
              <w:t>？</w:t>
            </w:r>
          </w:p>
          <w:p w14:paraId="301A0CAD" w14:textId="77777777" w:rsidR="00DC6460" w:rsidRPr="00DC6460" w:rsidRDefault="00DC6460" w:rsidP="00DC6460">
            <w:pPr>
              <w:pStyle w:val="a3"/>
              <w:spacing w:line="360" w:lineRule="auto"/>
              <w:ind w:firstLineChars="175"/>
              <w:rPr>
                <w:rFonts w:ascii="仿宋" w:eastAsia="仿宋" w:hAnsi="仿宋"/>
                <w:bCs/>
                <w:sz w:val="24"/>
                <w:szCs w:val="24"/>
              </w:rPr>
            </w:pPr>
            <w:r w:rsidRPr="00DC6460">
              <w:rPr>
                <w:rFonts w:ascii="仿宋" w:eastAsia="仿宋" w:hAnsi="仿宋" w:hint="eastAsia"/>
                <w:bCs/>
                <w:sz w:val="24"/>
                <w:szCs w:val="24"/>
              </w:rPr>
              <w:t>今年新冠肺炎疫情对公司的影响是阶段性的。公司属于建筑行业，一季度是传统建筑行业淡季。通常情况下，建筑业工人是春节前二十天左右放假，假期持续到元宵节。公</w:t>
            </w:r>
            <w:r w:rsidRPr="00DC6460">
              <w:rPr>
                <w:rFonts w:ascii="仿宋" w:eastAsia="仿宋" w:hAnsi="仿宋"/>
                <w:bCs/>
                <w:sz w:val="24"/>
                <w:szCs w:val="24"/>
              </w:rPr>
              <w:t>司于</w:t>
            </w:r>
            <w:r w:rsidRPr="00DC6460">
              <w:rPr>
                <w:rFonts w:ascii="仿宋" w:eastAsia="仿宋" w:hAnsi="仿宋" w:hint="eastAsia"/>
                <w:bCs/>
                <w:sz w:val="24"/>
                <w:szCs w:val="24"/>
              </w:rPr>
              <w:t>2月10日</w:t>
            </w:r>
            <w:r w:rsidRPr="00DC6460">
              <w:rPr>
                <w:rFonts w:ascii="仿宋" w:eastAsia="仿宋" w:hAnsi="仿宋"/>
                <w:bCs/>
                <w:sz w:val="24"/>
                <w:szCs w:val="24"/>
              </w:rPr>
              <w:t>复工，</w:t>
            </w:r>
            <w:r w:rsidRPr="00DC6460">
              <w:rPr>
                <w:rFonts w:ascii="仿宋" w:eastAsia="仿宋" w:hAnsi="仿宋" w:hint="eastAsia"/>
                <w:bCs/>
                <w:sz w:val="24"/>
                <w:szCs w:val="24"/>
              </w:rPr>
              <w:t>快速</w:t>
            </w:r>
            <w:r w:rsidRPr="00DC6460">
              <w:rPr>
                <w:rFonts w:ascii="仿宋" w:eastAsia="仿宋" w:hAnsi="仿宋"/>
                <w:bCs/>
                <w:sz w:val="24"/>
                <w:szCs w:val="24"/>
              </w:rPr>
              <w:t>恢复生产，但2</w:t>
            </w:r>
            <w:r w:rsidRPr="00DC6460">
              <w:rPr>
                <w:rFonts w:ascii="仿宋" w:eastAsia="仿宋" w:hAnsi="仿宋" w:hint="eastAsia"/>
                <w:bCs/>
                <w:sz w:val="24"/>
                <w:szCs w:val="24"/>
              </w:rPr>
              <w:t>月</w:t>
            </w:r>
            <w:r w:rsidRPr="00DC6460">
              <w:rPr>
                <w:rFonts w:ascii="仿宋" w:eastAsia="仿宋" w:hAnsi="仿宋"/>
                <w:bCs/>
                <w:sz w:val="24"/>
                <w:szCs w:val="24"/>
              </w:rPr>
              <w:t>期间较多客户和供应商均无复工，</w:t>
            </w:r>
            <w:r w:rsidRPr="00DC6460">
              <w:rPr>
                <w:rFonts w:ascii="仿宋" w:eastAsia="仿宋" w:hAnsi="仿宋" w:hint="eastAsia"/>
                <w:bCs/>
                <w:sz w:val="24"/>
                <w:szCs w:val="24"/>
              </w:rPr>
              <w:t>故</w:t>
            </w:r>
            <w:r w:rsidRPr="00DC6460">
              <w:rPr>
                <w:rFonts w:ascii="仿宋" w:eastAsia="仿宋" w:hAnsi="仿宋"/>
                <w:bCs/>
                <w:sz w:val="24"/>
                <w:szCs w:val="24"/>
              </w:rPr>
              <w:t>2</w:t>
            </w:r>
            <w:r w:rsidRPr="00DC6460">
              <w:rPr>
                <w:rFonts w:ascii="仿宋" w:eastAsia="仿宋" w:hAnsi="仿宋" w:hint="eastAsia"/>
                <w:bCs/>
                <w:sz w:val="24"/>
                <w:szCs w:val="24"/>
              </w:rPr>
              <w:t>月整</w:t>
            </w:r>
            <w:r w:rsidRPr="00DC6460">
              <w:rPr>
                <w:rFonts w:ascii="仿宋" w:eastAsia="仿宋" w:hAnsi="仿宋"/>
                <w:bCs/>
                <w:sz w:val="24"/>
                <w:szCs w:val="24"/>
              </w:rPr>
              <w:t>体</w:t>
            </w:r>
            <w:r w:rsidRPr="00DC6460">
              <w:rPr>
                <w:rFonts w:ascii="仿宋" w:eastAsia="仿宋" w:hAnsi="仿宋" w:hint="eastAsia"/>
                <w:bCs/>
                <w:sz w:val="24"/>
                <w:szCs w:val="24"/>
              </w:rPr>
              <w:t>受影</w:t>
            </w:r>
            <w:r w:rsidRPr="00DC6460">
              <w:rPr>
                <w:rFonts w:ascii="仿宋" w:eastAsia="仿宋" w:hAnsi="仿宋"/>
                <w:bCs/>
                <w:sz w:val="24"/>
                <w:szCs w:val="24"/>
              </w:rPr>
              <w:t>响程度较高。</w:t>
            </w:r>
            <w:r w:rsidRPr="00DC6460">
              <w:rPr>
                <w:rFonts w:ascii="仿宋" w:eastAsia="仿宋" w:hAnsi="仿宋" w:hint="eastAsia"/>
                <w:bCs/>
                <w:sz w:val="24"/>
                <w:szCs w:val="24"/>
              </w:rPr>
              <w:t>到了3月整个市场复工复产，国内销售逐步恢复，目前国</w:t>
            </w:r>
            <w:r w:rsidRPr="00DC6460">
              <w:rPr>
                <w:rFonts w:ascii="仿宋" w:eastAsia="仿宋" w:hAnsi="仿宋"/>
                <w:bCs/>
                <w:sz w:val="24"/>
                <w:szCs w:val="24"/>
              </w:rPr>
              <w:t>内</w:t>
            </w:r>
            <w:r w:rsidRPr="00DC6460">
              <w:rPr>
                <w:rFonts w:ascii="仿宋" w:eastAsia="仿宋" w:hAnsi="仿宋" w:hint="eastAsia"/>
                <w:bCs/>
                <w:sz w:val="24"/>
                <w:szCs w:val="24"/>
              </w:rPr>
              <w:t>除重点疫情地区恢复较慢外，其</w:t>
            </w:r>
            <w:r w:rsidRPr="00DC6460">
              <w:rPr>
                <w:rFonts w:ascii="仿宋" w:eastAsia="仿宋" w:hAnsi="仿宋"/>
                <w:bCs/>
                <w:sz w:val="24"/>
                <w:szCs w:val="24"/>
              </w:rPr>
              <w:t>他地区</w:t>
            </w:r>
            <w:r w:rsidRPr="00DC6460">
              <w:rPr>
                <w:rFonts w:ascii="仿宋" w:eastAsia="仿宋" w:hAnsi="仿宋" w:hint="eastAsia"/>
                <w:bCs/>
                <w:sz w:val="24"/>
                <w:szCs w:val="24"/>
              </w:rPr>
              <w:t>情况</w:t>
            </w:r>
            <w:r w:rsidRPr="00DC6460">
              <w:rPr>
                <w:rFonts w:ascii="仿宋" w:eastAsia="仿宋" w:hAnsi="仿宋"/>
                <w:bCs/>
                <w:sz w:val="24"/>
                <w:szCs w:val="24"/>
              </w:rPr>
              <w:t>较好。</w:t>
            </w:r>
          </w:p>
          <w:p w14:paraId="7265253B" w14:textId="77777777" w:rsidR="00DC6460" w:rsidRPr="00DC6460" w:rsidRDefault="00DC6460" w:rsidP="00DC6460">
            <w:pPr>
              <w:pStyle w:val="a3"/>
              <w:spacing w:line="360" w:lineRule="auto"/>
              <w:ind w:firstLineChars="175"/>
              <w:rPr>
                <w:rFonts w:ascii="仿宋" w:eastAsia="仿宋" w:hAnsi="仿宋"/>
                <w:bCs/>
                <w:sz w:val="24"/>
                <w:szCs w:val="24"/>
              </w:rPr>
            </w:pPr>
            <w:r w:rsidRPr="00DC6460">
              <w:rPr>
                <w:rFonts w:ascii="仿宋" w:eastAsia="仿宋" w:hAnsi="仿宋" w:hint="eastAsia"/>
                <w:bCs/>
                <w:sz w:val="24"/>
                <w:szCs w:val="24"/>
              </w:rPr>
              <w:t>自三月份以来，海外疫情不断发</w:t>
            </w:r>
            <w:r w:rsidRPr="00DC6460">
              <w:rPr>
                <w:rFonts w:ascii="仿宋" w:eastAsia="仿宋" w:hAnsi="仿宋"/>
                <w:bCs/>
                <w:sz w:val="24"/>
                <w:szCs w:val="24"/>
              </w:rPr>
              <w:t>生</w:t>
            </w:r>
            <w:r w:rsidRPr="00DC6460">
              <w:rPr>
                <w:rFonts w:ascii="仿宋" w:eastAsia="仿宋" w:hAnsi="仿宋" w:hint="eastAsia"/>
                <w:bCs/>
                <w:sz w:val="24"/>
                <w:szCs w:val="24"/>
              </w:rPr>
              <w:t>变化。但公司海外市场占比约10%，且</w:t>
            </w:r>
            <w:r w:rsidRPr="00DC6460">
              <w:rPr>
                <w:rFonts w:ascii="仿宋" w:eastAsia="仿宋" w:hAnsi="仿宋"/>
                <w:bCs/>
                <w:sz w:val="24"/>
                <w:szCs w:val="24"/>
              </w:rPr>
              <w:t>主要</w:t>
            </w:r>
            <w:r w:rsidRPr="00DC6460">
              <w:rPr>
                <w:rFonts w:ascii="仿宋" w:eastAsia="仿宋" w:hAnsi="仿宋" w:hint="eastAsia"/>
                <w:bCs/>
                <w:sz w:val="24"/>
                <w:szCs w:val="24"/>
              </w:rPr>
              <w:t>在东</w:t>
            </w:r>
            <w:r w:rsidRPr="00DC6460">
              <w:rPr>
                <w:rFonts w:ascii="仿宋" w:eastAsia="仿宋" w:hAnsi="仿宋"/>
                <w:bCs/>
                <w:sz w:val="24"/>
                <w:szCs w:val="24"/>
              </w:rPr>
              <w:t>南</w:t>
            </w:r>
            <w:r w:rsidRPr="00DC6460">
              <w:rPr>
                <w:rFonts w:ascii="仿宋" w:eastAsia="仿宋" w:hAnsi="仿宋" w:hint="eastAsia"/>
                <w:bCs/>
                <w:sz w:val="24"/>
                <w:szCs w:val="24"/>
              </w:rPr>
              <w:t>亚</w:t>
            </w:r>
            <w:r w:rsidRPr="00DC6460">
              <w:rPr>
                <w:rFonts w:ascii="仿宋" w:eastAsia="仿宋" w:hAnsi="仿宋"/>
                <w:bCs/>
                <w:sz w:val="24"/>
                <w:szCs w:val="24"/>
              </w:rPr>
              <w:t>和中</w:t>
            </w:r>
            <w:r w:rsidRPr="00DC6460">
              <w:rPr>
                <w:rFonts w:ascii="仿宋" w:eastAsia="仿宋" w:hAnsi="仿宋" w:hint="eastAsia"/>
                <w:bCs/>
                <w:sz w:val="24"/>
                <w:szCs w:val="24"/>
              </w:rPr>
              <w:t>东</w:t>
            </w:r>
            <w:r w:rsidRPr="00DC6460">
              <w:rPr>
                <w:rFonts w:ascii="仿宋" w:eastAsia="仿宋" w:hAnsi="仿宋"/>
                <w:bCs/>
                <w:sz w:val="24"/>
                <w:szCs w:val="24"/>
              </w:rPr>
              <w:t>市</w:t>
            </w:r>
            <w:r w:rsidRPr="00DC6460">
              <w:rPr>
                <w:rFonts w:ascii="仿宋" w:eastAsia="仿宋" w:hAnsi="仿宋" w:hint="eastAsia"/>
                <w:bCs/>
                <w:sz w:val="24"/>
                <w:szCs w:val="24"/>
              </w:rPr>
              <w:t>场</w:t>
            </w:r>
            <w:r w:rsidRPr="00DC6460">
              <w:rPr>
                <w:rFonts w:ascii="仿宋" w:eastAsia="仿宋" w:hAnsi="仿宋"/>
                <w:bCs/>
                <w:sz w:val="24"/>
                <w:szCs w:val="24"/>
              </w:rPr>
              <w:t>，</w:t>
            </w:r>
            <w:r w:rsidRPr="00DC6460">
              <w:rPr>
                <w:rFonts w:ascii="仿宋" w:eastAsia="仿宋" w:hAnsi="仿宋" w:hint="eastAsia"/>
                <w:bCs/>
                <w:sz w:val="24"/>
                <w:szCs w:val="24"/>
              </w:rPr>
              <w:t>欧</w:t>
            </w:r>
            <w:r w:rsidRPr="00DC6460">
              <w:rPr>
                <w:rFonts w:ascii="仿宋" w:eastAsia="仿宋" w:hAnsi="仿宋"/>
                <w:bCs/>
                <w:sz w:val="24"/>
                <w:szCs w:val="24"/>
              </w:rPr>
              <w:t>美比重较低</w:t>
            </w:r>
            <w:r w:rsidRPr="00DC6460">
              <w:rPr>
                <w:rFonts w:ascii="仿宋" w:eastAsia="仿宋" w:hAnsi="仿宋" w:hint="eastAsia"/>
                <w:bCs/>
                <w:sz w:val="24"/>
                <w:szCs w:val="24"/>
              </w:rPr>
              <w:t>，业务情况还需要继续观察。</w:t>
            </w:r>
          </w:p>
          <w:p w14:paraId="2D524737" w14:textId="77777777" w:rsidR="00DC6460" w:rsidRPr="00DC6460" w:rsidRDefault="00DC6460" w:rsidP="00DC6460">
            <w:pPr>
              <w:pStyle w:val="a3"/>
              <w:spacing w:line="360" w:lineRule="auto"/>
              <w:ind w:firstLineChars="175"/>
              <w:rPr>
                <w:rFonts w:ascii="仿宋" w:eastAsia="仿宋" w:hAnsi="仿宋"/>
                <w:bCs/>
                <w:sz w:val="24"/>
                <w:szCs w:val="24"/>
              </w:rPr>
            </w:pPr>
            <w:r w:rsidRPr="00DC6460">
              <w:rPr>
                <w:rFonts w:ascii="仿宋" w:eastAsia="仿宋" w:hAnsi="仿宋" w:hint="eastAsia"/>
                <w:bCs/>
                <w:sz w:val="24"/>
                <w:szCs w:val="24"/>
              </w:rPr>
              <w:t>公司将持续密切关注经营情况的变化，做好内部资源调配和协同处理。</w:t>
            </w:r>
          </w:p>
          <w:p w14:paraId="379F4C18" w14:textId="6CAD7B44" w:rsidR="00DC6460" w:rsidRPr="00DC6460" w:rsidRDefault="00DC6460" w:rsidP="00DC6460">
            <w:pPr>
              <w:spacing w:line="360" w:lineRule="auto"/>
              <w:rPr>
                <w:rFonts w:ascii="仿宋" w:eastAsia="仿宋" w:hAnsi="仿宋"/>
                <w:sz w:val="24"/>
                <w:szCs w:val="24"/>
              </w:rPr>
            </w:pPr>
          </w:p>
        </w:tc>
      </w:tr>
      <w:tr w:rsidR="00F64759" w:rsidRPr="00382882" w14:paraId="071547B7" w14:textId="77777777" w:rsidTr="00DF5899">
        <w:trPr>
          <w:jc w:val="center"/>
        </w:trPr>
        <w:tc>
          <w:tcPr>
            <w:tcW w:w="2048" w:type="dxa"/>
            <w:shd w:val="clear" w:color="auto" w:fill="auto"/>
            <w:vAlign w:val="center"/>
          </w:tcPr>
          <w:p w14:paraId="5B1122D0"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附件清单（如有）</w:t>
            </w:r>
          </w:p>
        </w:tc>
        <w:tc>
          <w:tcPr>
            <w:tcW w:w="6650" w:type="dxa"/>
            <w:shd w:val="clear" w:color="auto" w:fill="auto"/>
          </w:tcPr>
          <w:p w14:paraId="3B715D4E" w14:textId="77777777"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无</w:t>
            </w:r>
          </w:p>
        </w:tc>
      </w:tr>
      <w:tr w:rsidR="00F64759" w:rsidRPr="00382882" w14:paraId="540E1474" w14:textId="77777777" w:rsidTr="00DF5899">
        <w:trPr>
          <w:jc w:val="center"/>
        </w:trPr>
        <w:tc>
          <w:tcPr>
            <w:tcW w:w="2048" w:type="dxa"/>
            <w:shd w:val="clear" w:color="auto" w:fill="auto"/>
            <w:vAlign w:val="center"/>
          </w:tcPr>
          <w:p w14:paraId="566CEACE" w14:textId="77777777"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日期</w:t>
            </w:r>
          </w:p>
        </w:tc>
        <w:tc>
          <w:tcPr>
            <w:tcW w:w="6650" w:type="dxa"/>
            <w:shd w:val="clear" w:color="auto" w:fill="auto"/>
          </w:tcPr>
          <w:p w14:paraId="2B78CAF0" w14:textId="1BEF6539" w:rsidR="00F64759" w:rsidRPr="00382882" w:rsidRDefault="001C4999" w:rsidP="00DC6460">
            <w:pPr>
              <w:spacing w:line="480" w:lineRule="atLeast"/>
              <w:rPr>
                <w:rFonts w:ascii="仿宋" w:eastAsia="仿宋" w:hAnsi="仿宋"/>
                <w:bCs/>
                <w:iCs/>
                <w:sz w:val="24"/>
                <w:szCs w:val="24"/>
              </w:rPr>
            </w:pPr>
            <w:r>
              <w:rPr>
                <w:rFonts w:ascii="仿宋" w:eastAsia="仿宋" w:hAnsi="仿宋"/>
                <w:bCs/>
                <w:iCs/>
                <w:sz w:val="24"/>
                <w:szCs w:val="24"/>
              </w:rPr>
              <w:t>2020</w:t>
            </w:r>
            <w:r w:rsidR="00F64759" w:rsidRPr="00382882">
              <w:rPr>
                <w:rFonts w:ascii="仿宋" w:eastAsia="仿宋" w:hAnsi="仿宋"/>
                <w:bCs/>
                <w:iCs/>
                <w:sz w:val="24"/>
                <w:szCs w:val="24"/>
              </w:rPr>
              <w:t>年</w:t>
            </w:r>
            <w:r w:rsidR="00640233">
              <w:rPr>
                <w:rFonts w:ascii="仿宋" w:eastAsia="仿宋" w:hAnsi="仿宋"/>
                <w:bCs/>
                <w:iCs/>
                <w:sz w:val="24"/>
                <w:szCs w:val="24"/>
              </w:rPr>
              <w:t>4</w:t>
            </w:r>
            <w:r w:rsidR="00F64759" w:rsidRPr="00382882">
              <w:rPr>
                <w:rFonts w:ascii="仿宋" w:eastAsia="仿宋" w:hAnsi="仿宋"/>
                <w:bCs/>
                <w:iCs/>
                <w:sz w:val="24"/>
                <w:szCs w:val="24"/>
              </w:rPr>
              <w:t>月</w:t>
            </w:r>
            <w:r w:rsidR="00640233">
              <w:rPr>
                <w:rFonts w:ascii="仿宋" w:eastAsia="仿宋" w:hAnsi="仿宋"/>
                <w:bCs/>
                <w:iCs/>
                <w:sz w:val="24"/>
                <w:szCs w:val="24"/>
              </w:rPr>
              <w:t>2</w:t>
            </w:r>
            <w:r w:rsidR="00DC6460">
              <w:rPr>
                <w:rFonts w:ascii="仿宋" w:eastAsia="仿宋" w:hAnsi="仿宋"/>
                <w:bCs/>
                <w:iCs/>
                <w:sz w:val="24"/>
                <w:szCs w:val="24"/>
              </w:rPr>
              <w:t>9</w:t>
            </w:r>
            <w:r w:rsidR="00F64759" w:rsidRPr="00382882">
              <w:rPr>
                <w:rFonts w:ascii="仿宋" w:eastAsia="仿宋" w:hAnsi="仿宋"/>
                <w:bCs/>
                <w:iCs/>
                <w:sz w:val="24"/>
                <w:szCs w:val="24"/>
              </w:rPr>
              <w:t>日</w:t>
            </w:r>
          </w:p>
        </w:tc>
      </w:tr>
    </w:tbl>
    <w:p w14:paraId="3B3399FB" w14:textId="77777777" w:rsidR="00F64759" w:rsidRPr="00F64759" w:rsidRDefault="00F64759" w:rsidP="00F64759">
      <w:pPr>
        <w:jc w:val="center"/>
        <w:rPr>
          <w:rFonts w:ascii="黑体" w:eastAsia="黑体" w:hAnsi="黑体"/>
          <w:sz w:val="30"/>
          <w:szCs w:val="30"/>
        </w:rPr>
      </w:pPr>
    </w:p>
    <w:sectPr w:rsidR="00F64759" w:rsidRPr="00F64759" w:rsidSect="006241C5">
      <w:pgSz w:w="11906" w:h="16838" w:code="9"/>
      <w:pgMar w:top="1559" w:right="1559" w:bottom="1559"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9BEB" w14:textId="77777777" w:rsidR="00674EA4" w:rsidRDefault="00674EA4" w:rsidP="00513B2E">
      <w:r>
        <w:separator/>
      </w:r>
    </w:p>
  </w:endnote>
  <w:endnote w:type="continuationSeparator" w:id="0">
    <w:p w14:paraId="2F87737E" w14:textId="77777777" w:rsidR="00674EA4" w:rsidRDefault="00674EA4" w:rsidP="005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altName w:val="??"/>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F264" w14:textId="77777777" w:rsidR="00674EA4" w:rsidRDefault="00674EA4" w:rsidP="00513B2E">
      <w:r>
        <w:separator/>
      </w:r>
    </w:p>
  </w:footnote>
  <w:footnote w:type="continuationSeparator" w:id="0">
    <w:p w14:paraId="6715D176" w14:textId="77777777" w:rsidR="00674EA4" w:rsidRDefault="00674EA4" w:rsidP="0051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04"/>
    <w:rsid w:val="00034E5E"/>
    <w:rsid w:val="00044405"/>
    <w:rsid w:val="000451F2"/>
    <w:rsid w:val="000809D5"/>
    <w:rsid w:val="00081FF1"/>
    <w:rsid w:val="000856C5"/>
    <w:rsid w:val="00095CF7"/>
    <w:rsid w:val="00096838"/>
    <w:rsid w:val="000B7AC2"/>
    <w:rsid w:val="000B7E77"/>
    <w:rsid w:val="000C2E6E"/>
    <w:rsid w:val="000C5D90"/>
    <w:rsid w:val="000D14E3"/>
    <w:rsid w:val="000F2FC1"/>
    <w:rsid w:val="000F4DBD"/>
    <w:rsid w:val="00131CF2"/>
    <w:rsid w:val="00150AF0"/>
    <w:rsid w:val="00155353"/>
    <w:rsid w:val="0015605A"/>
    <w:rsid w:val="001752B7"/>
    <w:rsid w:val="00187FB1"/>
    <w:rsid w:val="00190536"/>
    <w:rsid w:val="001B273E"/>
    <w:rsid w:val="001B7357"/>
    <w:rsid w:val="001B7502"/>
    <w:rsid w:val="001C4999"/>
    <w:rsid w:val="001D4C85"/>
    <w:rsid w:val="001D5A5F"/>
    <w:rsid w:val="001D60A7"/>
    <w:rsid w:val="001D7C5E"/>
    <w:rsid w:val="001E0382"/>
    <w:rsid w:val="001E2CC5"/>
    <w:rsid w:val="001E2D2D"/>
    <w:rsid w:val="001E5340"/>
    <w:rsid w:val="001E7C5B"/>
    <w:rsid w:val="0020405B"/>
    <w:rsid w:val="00213EA1"/>
    <w:rsid w:val="00215154"/>
    <w:rsid w:val="00226772"/>
    <w:rsid w:val="002369B1"/>
    <w:rsid w:val="00237575"/>
    <w:rsid w:val="00242774"/>
    <w:rsid w:val="00245DF2"/>
    <w:rsid w:val="0025444C"/>
    <w:rsid w:val="00273495"/>
    <w:rsid w:val="00276E0E"/>
    <w:rsid w:val="00277DB6"/>
    <w:rsid w:val="00281176"/>
    <w:rsid w:val="00291597"/>
    <w:rsid w:val="00291893"/>
    <w:rsid w:val="00296CD2"/>
    <w:rsid w:val="00296F24"/>
    <w:rsid w:val="002A4869"/>
    <w:rsid w:val="002C6604"/>
    <w:rsid w:val="002D7347"/>
    <w:rsid w:val="002E170F"/>
    <w:rsid w:val="002E3E31"/>
    <w:rsid w:val="002E4480"/>
    <w:rsid w:val="002F03B9"/>
    <w:rsid w:val="002F2C3B"/>
    <w:rsid w:val="00314596"/>
    <w:rsid w:val="00321E2C"/>
    <w:rsid w:val="00324109"/>
    <w:rsid w:val="003334E6"/>
    <w:rsid w:val="00337381"/>
    <w:rsid w:val="003405F8"/>
    <w:rsid w:val="00344611"/>
    <w:rsid w:val="0035260D"/>
    <w:rsid w:val="00352F21"/>
    <w:rsid w:val="00356B37"/>
    <w:rsid w:val="00360F2D"/>
    <w:rsid w:val="00363490"/>
    <w:rsid w:val="00363F03"/>
    <w:rsid w:val="0036438F"/>
    <w:rsid w:val="00364904"/>
    <w:rsid w:val="0037287E"/>
    <w:rsid w:val="00373A2A"/>
    <w:rsid w:val="00382882"/>
    <w:rsid w:val="00391266"/>
    <w:rsid w:val="00394B43"/>
    <w:rsid w:val="003A54D3"/>
    <w:rsid w:val="003A7149"/>
    <w:rsid w:val="003B3458"/>
    <w:rsid w:val="003D41D0"/>
    <w:rsid w:val="003F107B"/>
    <w:rsid w:val="003F402C"/>
    <w:rsid w:val="00401267"/>
    <w:rsid w:val="00460EBE"/>
    <w:rsid w:val="00461E32"/>
    <w:rsid w:val="004670B6"/>
    <w:rsid w:val="00471C80"/>
    <w:rsid w:val="00481B72"/>
    <w:rsid w:val="004A280E"/>
    <w:rsid w:val="004A76AF"/>
    <w:rsid w:val="004B196D"/>
    <w:rsid w:val="004B444D"/>
    <w:rsid w:val="004C37FD"/>
    <w:rsid w:val="004E5801"/>
    <w:rsid w:val="004F1C6F"/>
    <w:rsid w:val="0050790F"/>
    <w:rsid w:val="005103A6"/>
    <w:rsid w:val="00513B2E"/>
    <w:rsid w:val="00541ADC"/>
    <w:rsid w:val="00543F3C"/>
    <w:rsid w:val="005470E8"/>
    <w:rsid w:val="0055572F"/>
    <w:rsid w:val="005666A4"/>
    <w:rsid w:val="0058327E"/>
    <w:rsid w:val="005914BF"/>
    <w:rsid w:val="0059248A"/>
    <w:rsid w:val="0059348A"/>
    <w:rsid w:val="005B1BBD"/>
    <w:rsid w:val="005C0D8F"/>
    <w:rsid w:val="005F420C"/>
    <w:rsid w:val="005F6CC4"/>
    <w:rsid w:val="006110E2"/>
    <w:rsid w:val="0062191B"/>
    <w:rsid w:val="006241C5"/>
    <w:rsid w:val="00635C99"/>
    <w:rsid w:val="00640233"/>
    <w:rsid w:val="00657B7C"/>
    <w:rsid w:val="00661394"/>
    <w:rsid w:val="00672E1F"/>
    <w:rsid w:val="00673F65"/>
    <w:rsid w:val="00674EA4"/>
    <w:rsid w:val="00685CE7"/>
    <w:rsid w:val="00694966"/>
    <w:rsid w:val="00694E7D"/>
    <w:rsid w:val="006A4B3E"/>
    <w:rsid w:val="006B75A4"/>
    <w:rsid w:val="006D17AF"/>
    <w:rsid w:val="006D2961"/>
    <w:rsid w:val="006D4FD5"/>
    <w:rsid w:val="006F09B0"/>
    <w:rsid w:val="006F2702"/>
    <w:rsid w:val="006F7540"/>
    <w:rsid w:val="006F7DD6"/>
    <w:rsid w:val="00707ABB"/>
    <w:rsid w:val="00715226"/>
    <w:rsid w:val="007271F8"/>
    <w:rsid w:val="00734C03"/>
    <w:rsid w:val="007421C4"/>
    <w:rsid w:val="00747878"/>
    <w:rsid w:val="00756B8E"/>
    <w:rsid w:val="007647B8"/>
    <w:rsid w:val="007721D0"/>
    <w:rsid w:val="0077436B"/>
    <w:rsid w:val="00780675"/>
    <w:rsid w:val="007A33F6"/>
    <w:rsid w:val="007C5379"/>
    <w:rsid w:val="007D2709"/>
    <w:rsid w:val="007F274D"/>
    <w:rsid w:val="007F39BF"/>
    <w:rsid w:val="007F7511"/>
    <w:rsid w:val="008209A2"/>
    <w:rsid w:val="00833A4A"/>
    <w:rsid w:val="00840DD9"/>
    <w:rsid w:val="008453C1"/>
    <w:rsid w:val="0085074B"/>
    <w:rsid w:val="00860CD1"/>
    <w:rsid w:val="00866FE8"/>
    <w:rsid w:val="008712A1"/>
    <w:rsid w:val="00871815"/>
    <w:rsid w:val="00872498"/>
    <w:rsid w:val="008B5B3B"/>
    <w:rsid w:val="008C0FD9"/>
    <w:rsid w:val="008E2BE7"/>
    <w:rsid w:val="008E36DB"/>
    <w:rsid w:val="00906CF7"/>
    <w:rsid w:val="00916006"/>
    <w:rsid w:val="00925EA4"/>
    <w:rsid w:val="009327CB"/>
    <w:rsid w:val="009361E9"/>
    <w:rsid w:val="009402BE"/>
    <w:rsid w:val="00944876"/>
    <w:rsid w:val="00952343"/>
    <w:rsid w:val="009526BE"/>
    <w:rsid w:val="00953EA9"/>
    <w:rsid w:val="0096407F"/>
    <w:rsid w:val="009744ED"/>
    <w:rsid w:val="00980F0D"/>
    <w:rsid w:val="00985EC5"/>
    <w:rsid w:val="00991BE3"/>
    <w:rsid w:val="009B1B65"/>
    <w:rsid w:val="009E6371"/>
    <w:rsid w:val="009E72A9"/>
    <w:rsid w:val="009E742C"/>
    <w:rsid w:val="009F32F4"/>
    <w:rsid w:val="00A0664E"/>
    <w:rsid w:val="00A12BA3"/>
    <w:rsid w:val="00A16180"/>
    <w:rsid w:val="00A1695C"/>
    <w:rsid w:val="00A21787"/>
    <w:rsid w:val="00A3263C"/>
    <w:rsid w:val="00A347F6"/>
    <w:rsid w:val="00A44F6F"/>
    <w:rsid w:val="00A507F4"/>
    <w:rsid w:val="00A551C0"/>
    <w:rsid w:val="00A67544"/>
    <w:rsid w:val="00A71197"/>
    <w:rsid w:val="00A726E7"/>
    <w:rsid w:val="00A737CD"/>
    <w:rsid w:val="00A90B2C"/>
    <w:rsid w:val="00A9260E"/>
    <w:rsid w:val="00A97FEA"/>
    <w:rsid w:val="00AB3BB3"/>
    <w:rsid w:val="00AC4436"/>
    <w:rsid w:val="00AD0844"/>
    <w:rsid w:val="00AE2E0A"/>
    <w:rsid w:val="00AF18FE"/>
    <w:rsid w:val="00AF4466"/>
    <w:rsid w:val="00AF4B5A"/>
    <w:rsid w:val="00AF7D41"/>
    <w:rsid w:val="00B06FD2"/>
    <w:rsid w:val="00B267F4"/>
    <w:rsid w:val="00B3076F"/>
    <w:rsid w:val="00B569DA"/>
    <w:rsid w:val="00B5747A"/>
    <w:rsid w:val="00B65566"/>
    <w:rsid w:val="00B93357"/>
    <w:rsid w:val="00B95130"/>
    <w:rsid w:val="00B9677F"/>
    <w:rsid w:val="00BB1971"/>
    <w:rsid w:val="00BB5FD9"/>
    <w:rsid w:val="00BC6DA3"/>
    <w:rsid w:val="00BC7902"/>
    <w:rsid w:val="00BD0978"/>
    <w:rsid w:val="00BD2C92"/>
    <w:rsid w:val="00BD479F"/>
    <w:rsid w:val="00BE0B48"/>
    <w:rsid w:val="00BE5D1E"/>
    <w:rsid w:val="00BF2379"/>
    <w:rsid w:val="00BF27AF"/>
    <w:rsid w:val="00BF3684"/>
    <w:rsid w:val="00BF62A5"/>
    <w:rsid w:val="00C06140"/>
    <w:rsid w:val="00C07E0D"/>
    <w:rsid w:val="00C2078D"/>
    <w:rsid w:val="00C30BEA"/>
    <w:rsid w:val="00C30DF2"/>
    <w:rsid w:val="00C36A32"/>
    <w:rsid w:val="00C540A3"/>
    <w:rsid w:val="00C61BE8"/>
    <w:rsid w:val="00C6771C"/>
    <w:rsid w:val="00C72DBE"/>
    <w:rsid w:val="00C8034D"/>
    <w:rsid w:val="00C977DC"/>
    <w:rsid w:val="00CA41F3"/>
    <w:rsid w:val="00CA6F17"/>
    <w:rsid w:val="00CB54DE"/>
    <w:rsid w:val="00CE4C6C"/>
    <w:rsid w:val="00D0778B"/>
    <w:rsid w:val="00D13979"/>
    <w:rsid w:val="00D20B9A"/>
    <w:rsid w:val="00D323B4"/>
    <w:rsid w:val="00D35ED0"/>
    <w:rsid w:val="00D36729"/>
    <w:rsid w:val="00D53B86"/>
    <w:rsid w:val="00D53E31"/>
    <w:rsid w:val="00D53FCA"/>
    <w:rsid w:val="00D61116"/>
    <w:rsid w:val="00D64227"/>
    <w:rsid w:val="00D64DDF"/>
    <w:rsid w:val="00D84119"/>
    <w:rsid w:val="00D9625B"/>
    <w:rsid w:val="00DA30E0"/>
    <w:rsid w:val="00DA3E5D"/>
    <w:rsid w:val="00DB5ADC"/>
    <w:rsid w:val="00DC6460"/>
    <w:rsid w:val="00DD5E69"/>
    <w:rsid w:val="00DD6ADC"/>
    <w:rsid w:val="00DE294F"/>
    <w:rsid w:val="00DE6267"/>
    <w:rsid w:val="00DF3486"/>
    <w:rsid w:val="00DF7D7E"/>
    <w:rsid w:val="00E037AE"/>
    <w:rsid w:val="00E158F5"/>
    <w:rsid w:val="00E2048E"/>
    <w:rsid w:val="00E44446"/>
    <w:rsid w:val="00E479B0"/>
    <w:rsid w:val="00E631D6"/>
    <w:rsid w:val="00E70361"/>
    <w:rsid w:val="00E81FC2"/>
    <w:rsid w:val="00E922F5"/>
    <w:rsid w:val="00E92FD8"/>
    <w:rsid w:val="00EA78D0"/>
    <w:rsid w:val="00EB0597"/>
    <w:rsid w:val="00EC383C"/>
    <w:rsid w:val="00ED686C"/>
    <w:rsid w:val="00EE667B"/>
    <w:rsid w:val="00EE68C5"/>
    <w:rsid w:val="00EF0F28"/>
    <w:rsid w:val="00EF344A"/>
    <w:rsid w:val="00F11059"/>
    <w:rsid w:val="00F131E1"/>
    <w:rsid w:val="00F21B7F"/>
    <w:rsid w:val="00F260E3"/>
    <w:rsid w:val="00F35FE4"/>
    <w:rsid w:val="00F42AE1"/>
    <w:rsid w:val="00F537BD"/>
    <w:rsid w:val="00F57EC0"/>
    <w:rsid w:val="00F64759"/>
    <w:rsid w:val="00F902CD"/>
    <w:rsid w:val="00F9610B"/>
    <w:rsid w:val="00FA1B16"/>
    <w:rsid w:val="00FA6220"/>
    <w:rsid w:val="00FB1B41"/>
    <w:rsid w:val="00FC4DD7"/>
    <w:rsid w:val="00FC55CF"/>
    <w:rsid w:val="00FD33A7"/>
    <w:rsid w:val="00FD4588"/>
    <w:rsid w:val="00FF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618E1"/>
  <w15:docId w15:val="{70482F12-D2CB-4F62-9173-1FA76E75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59"/>
    <w:pPr>
      <w:ind w:firstLineChars="200" w:firstLine="420"/>
    </w:pPr>
    <w:rPr>
      <w:rFonts w:ascii="Times New Roman" w:eastAsia="宋体" w:hAnsi="Times New Roman" w:cs="Times New Roman"/>
      <w:szCs w:val="20"/>
    </w:rPr>
  </w:style>
  <w:style w:type="paragraph" w:styleId="a4">
    <w:name w:val="header"/>
    <w:basedOn w:val="a"/>
    <w:link w:val="a5"/>
    <w:uiPriority w:val="99"/>
    <w:unhideWhenUsed/>
    <w:rsid w:val="00513B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3B2E"/>
    <w:rPr>
      <w:sz w:val="18"/>
      <w:szCs w:val="18"/>
    </w:rPr>
  </w:style>
  <w:style w:type="paragraph" w:styleId="a6">
    <w:name w:val="footer"/>
    <w:basedOn w:val="a"/>
    <w:link w:val="a7"/>
    <w:uiPriority w:val="99"/>
    <w:unhideWhenUsed/>
    <w:rsid w:val="00513B2E"/>
    <w:pPr>
      <w:tabs>
        <w:tab w:val="center" w:pos="4153"/>
        <w:tab w:val="right" w:pos="8306"/>
      </w:tabs>
      <w:snapToGrid w:val="0"/>
      <w:jc w:val="left"/>
    </w:pPr>
    <w:rPr>
      <w:sz w:val="18"/>
      <w:szCs w:val="18"/>
    </w:rPr>
  </w:style>
  <w:style w:type="character" w:customStyle="1" w:styleId="a7">
    <w:name w:val="页脚 字符"/>
    <w:basedOn w:val="a0"/>
    <w:link w:val="a6"/>
    <w:uiPriority w:val="99"/>
    <w:rsid w:val="00513B2E"/>
    <w:rPr>
      <w:sz w:val="18"/>
      <w:szCs w:val="18"/>
    </w:rPr>
  </w:style>
  <w:style w:type="paragraph" w:styleId="a8">
    <w:name w:val="Balloon Text"/>
    <w:basedOn w:val="a"/>
    <w:link w:val="a9"/>
    <w:uiPriority w:val="99"/>
    <w:semiHidden/>
    <w:unhideWhenUsed/>
    <w:rsid w:val="00F21B7F"/>
    <w:rPr>
      <w:sz w:val="18"/>
      <w:szCs w:val="18"/>
    </w:rPr>
  </w:style>
  <w:style w:type="character" w:customStyle="1" w:styleId="a9">
    <w:name w:val="批注框文本 字符"/>
    <w:basedOn w:val="a0"/>
    <w:link w:val="a8"/>
    <w:uiPriority w:val="99"/>
    <w:semiHidden/>
    <w:rsid w:val="00F21B7F"/>
    <w:rPr>
      <w:sz w:val="18"/>
      <w:szCs w:val="18"/>
    </w:rPr>
  </w:style>
  <w:style w:type="character" w:styleId="aa">
    <w:name w:val="annotation reference"/>
    <w:basedOn w:val="a0"/>
    <w:uiPriority w:val="99"/>
    <w:semiHidden/>
    <w:unhideWhenUsed/>
    <w:rsid w:val="00B267F4"/>
    <w:rPr>
      <w:sz w:val="21"/>
      <w:szCs w:val="21"/>
    </w:rPr>
  </w:style>
  <w:style w:type="paragraph" w:styleId="ab">
    <w:name w:val="annotation text"/>
    <w:basedOn w:val="a"/>
    <w:link w:val="ac"/>
    <w:uiPriority w:val="99"/>
    <w:semiHidden/>
    <w:unhideWhenUsed/>
    <w:rsid w:val="00B267F4"/>
    <w:pPr>
      <w:jc w:val="left"/>
    </w:pPr>
  </w:style>
  <w:style w:type="character" w:customStyle="1" w:styleId="ac">
    <w:name w:val="批注文字 字符"/>
    <w:basedOn w:val="a0"/>
    <w:link w:val="ab"/>
    <w:uiPriority w:val="99"/>
    <w:semiHidden/>
    <w:rsid w:val="00B267F4"/>
  </w:style>
  <w:style w:type="paragraph" w:styleId="ad">
    <w:name w:val="annotation subject"/>
    <w:basedOn w:val="ab"/>
    <w:next w:val="ab"/>
    <w:link w:val="ae"/>
    <w:uiPriority w:val="99"/>
    <w:semiHidden/>
    <w:unhideWhenUsed/>
    <w:rsid w:val="00B267F4"/>
    <w:rPr>
      <w:b/>
      <w:bCs/>
    </w:rPr>
  </w:style>
  <w:style w:type="character" w:customStyle="1" w:styleId="ae">
    <w:name w:val="批注主题 字符"/>
    <w:basedOn w:val="ac"/>
    <w:link w:val="ad"/>
    <w:uiPriority w:val="99"/>
    <w:semiHidden/>
    <w:rsid w:val="00B26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3483">
      <w:bodyDiv w:val="1"/>
      <w:marLeft w:val="0"/>
      <w:marRight w:val="0"/>
      <w:marTop w:val="0"/>
      <w:marBottom w:val="0"/>
      <w:divBdr>
        <w:top w:val="none" w:sz="0" w:space="0" w:color="auto"/>
        <w:left w:val="none" w:sz="0" w:space="0" w:color="auto"/>
        <w:bottom w:val="none" w:sz="0" w:space="0" w:color="auto"/>
        <w:right w:val="none" w:sz="0" w:space="0" w:color="auto"/>
      </w:divBdr>
    </w:div>
    <w:div w:id="109133048">
      <w:bodyDiv w:val="1"/>
      <w:marLeft w:val="0"/>
      <w:marRight w:val="0"/>
      <w:marTop w:val="0"/>
      <w:marBottom w:val="0"/>
      <w:divBdr>
        <w:top w:val="none" w:sz="0" w:space="0" w:color="auto"/>
        <w:left w:val="none" w:sz="0" w:space="0" w:color="auto"/>
        <w:bottom w:val="none" w:sz="0" w:space="0" w:color="auto"/>
        <w:right w:val="none" w:sz="0" w:space="0" w:color="auto"/>
      </w:divBdr>
    </w:div>
    <w:div w:id="119763741">
      <w:bodyDiv w:val="1"/>
      <w:marLeft w:val="0"/>
      <w:marRight w:val="0"/>
      <w:marTop w:val="0"/>
      <w:marBottom w:val="0"/>
      <w:divBdr>
        <w:top w:val="none" w:sz="0" w:space="0" w:color="auto"/>
        <w:left w:val="none" w:sz="0" w:space="0" w:color="auto"/>
        <w:bottom w:val="none" w:sz="0" w:space="0" w:color="auto"/>
        <w:right w:val="none" w:sz="0" w:space="0" w:color="auto"/>
      </w:divBdr>
    </w:div>
    <w:div w:id="122240298">
      <w:bodyDiv w:val="1"/>
      <w:marLeft w:val="0"/>
      <w:marRight w:val="0"/>
      <w:marTop w:val="0"/>
      <w:marBottom w:val="0"/>
      <w:divBdr>
        <w:top w:val="none" w:sz="0" w:space="0" w:color="auto"/>
        <w:left w:val="none" w:sz="0" w:space="0" w:color="auto"/>
        <w:bottom w:val="none" w:sz="0" w:space="0" w:color="auto"/>
        <w:right w:val="none" w:sz="0" w:space="0" w:color="auto"/>
      </w:divBdr>
    </w:div>
    <w:div w:id="169224624">
      <w:bodyDiv w:val="1"/>
      <w:marLeft w:val="0"/>
      <w:marRight w:val="0"/>
      <w:marTop w:val="0"/>
      <w:marBottom w:val="0"/>
      <w:divBdr>
        <w:top w:val="none" w:sz="0" w:space="0" w:color="auto"/>
        <w:left w:val="none" w:sz="0" w:space="0" w:color="auto"/>
        <w:bottom w:val="none" w:sz="0" w:space="0" w:color="auto"/>
        <w:right w:val="none" w:sz="0" w:space="0" w:color="auto"/>
      </w:divBdr>
    </w:div>
    <w:div w:id="215094399">
      <w:bodyDiv w:val="1"/>
      <w:marLeft w:val="0"/>
      <w:marRight w:val="0"/>
      <w:marTop w:val="0"/>
      <w:marBottom w:val="0"/>
      <w:divBdr>
        <w:top w:val="none" w:sz="0" w:space="0" w:color="auto"/>
        <w:left w:val="none" w:sz="0" w:space="0" w:color="auto"/>
        <w:bottom w:val="none" w:sz="0" w:space="0" w:color="auto"/>
        <w:right w:val="none" w:sz="0" w:space="0" w:color="auto"/>
      </w:divBdr>
    </w:div>
    <w:div w:id="310720509">
      <w:bodyDiv w:val="1"/>
      <w:marLeft w:val="0"/>
      <w:marRight w:val="0"/>
      <w:marTop w:val="0"/>
      <w:marBottom w:val="0"/>
      <w:divBdr>
        <w:top w:val="none" w:sz="0" w:space="0" w:color="auto"/>
        <w:left w:val="none" w:sz="0" w:space="0" w:color="auto"/>
        <w:bottom w:val="none" w:sz="0" w:space="0" w:color="auto"/>
        <w:right w:val="none" w:sz="0" w:space="0" w:color="auto"/>
      </w:divBdr>
      <w:divsChild>
        <w:div w:id="778568975">
          <w:marLeft w:val="0"/>
          <w:marRight w:val="0"/>
          <w:marTop w:val="0"/>
          <w:marBottom w:val="0"/>
          <w:divBdr>
            <w:top w:val="none" w:sz="0" w:space="0" w:color="auto"/>
            <w:left w:val="none" w:sz="0" w:space="0" w:color="auto"/>
            <w:bottom w:val="none" w:sz="0" w:space="0" w:color="auto"/>
            <w:right w:val="none" w:sz="0" w:space="0" w:color="auto"/>
          </w:divBdr>
        </w:div>
        <w:div w:id="447047767">
          <w:marLeft w:val="0"/>
          <w:marRight w:val="0"/>
          <w:marTop w:val="0"/>
          <w:marBottom w:val="0"/>
          <w:divBdr>
            <w:top w:val="none" w:sz="0" w:space="0" w:color="auto"/>
            <w:left w:val="none" w:sz="0" w:space="0" w:color="auto"/>
            <w:bottom w:val="none" w:sz="0" w:space="0" w:color="auto"/>
            <w:right w:val="none" w:sz="0" w:space="0" w:color="auto"/>
          </w:divBdr>
        </w:div>
        <w:div w:id="98453986">
          <w:marLeft w:val="0"/>
          <w:marRight w:val="0"/>
          <w:marTop w:val="0"/>
          <w:marBottom w:val="0"/>
          <w:divBdr>
            <w:top w:val="none" w:sz="0" w:space="0" w:color="auto"/>
            <w:left w:val="none" w:sz="0" w:space="0" w:color="auto"/>
            <w:bottom w:val="none" w:sz="0" w:space="0" w:color="auto"/>
            <w:right w:val="none" w:sz="0" w:space="0" w:color="auto"/>
          </w:divBdr>
        </w:div>
      </w:divsChild>
    </w:div>
    <w:div w:id="382676099">
      <w:bodyDiv w:val="1"/>
      <w:marLeft w:val="0"/>
      <w:marRight w:val="0"/>
      <w:marTop w:val="0"/>
      <w:marBottom w:val="0"/>
      <w:divBdr>
        <w:top w:val="none" w:sz="0" w:space="0" w:color="auto"/>
        <w:left w:val="none" w:sz="0" w:space="0" w:color="auto"/>
        <w:bottom w:val="none" w:sz="0" w:space="0" w:color="auto"/>
        <w:right w:val="none" w:sz="0" w:space="0" w:color="auto"/>
      </w:divBdr>
    </w:div>
    <w:div w:id="460073025">
      <w:bodyDiv w:val="1"/>
      <w:marLeft w:val="0"/>
      <w:marRight w:val="0"/>
      <w:marTop w:val="0"/>
      <w:marBottom w:val="0"/>
      <w:divBdr>
        <w:top w:val="none" w:sz="0" w:space="0" w:color="auto"/>
        <w:left w:val="none" w:sz="0" w:space="0" w:color="auto"/>
        <w:bottom w:val="none" w:sz="0" w:space="0" w:color="auto"/>
        <w:right w:val="none" w:sz="0" w:space="0" w:color="auto"/>
      </w:divBdr>
    </w:div>
    <w:div w:id="481502424">
      <w:bodyDiv w:val="1"/>
      <w:marLeft w:val="0"/>
      <w:marRight w:val="0"/>
      <w:marTop w:val="0"/>
      <w:marBottom w:val="0"/>
      <w:divBdr>
        <w:top w:val="none" w:sz="0" w:space="0" w:color="auto"/>
        <w:left w:val="none" w:sz="0" w:space="0" w:color="auto"/>
        <w:bottom w:val="none" w:sz="0" w:space="0" w:color="auto"/>
        <w:right w:val="none" w:sz="0" w:space="0" w:color="auto"/>
      </w:divBdr>
    </w:div>
    <w:div w:id="524556985">
      <w:bodyDiv w:val="1"/>
      <w:marLeft w:val="0"/>
      <w:marRight w:val="0"/>
      <w:marTop w:val="0"/>
      <w:marBottom w:val="0"/>
      <w:divBdr>
        <w:top w:val="none" w:sz="0" w:space="0" w:color="auto"/>
        <w:left w:val="none" w:sz="0" w:space="0" w:color="auto"/>
        <w:bottom w:val="none" w:sz="0" w:space="0" w:color="auto"/>
        <w:right w:val="none" w:sz="0" w:space="0" w:color="auto"/>
      </w:divBdr>
      <w:divsChild>
        <w:div w:id="1393580023">
          <w:marLeft w:val="0"/>
          <w:marRight w:val="0"/>
          <w:marTop w:val="0"/>
          <w:marBottom w:val="0"/>
          <w:divBdr>
            <w:top w:val="none" w:sz="0" w:space="0" w:color="auto"/>
            <w:left w:val="none" w:sz="0" w:space="0" w:color="auto"/>
            <w:bottom w:val="none" w:sz="0" w:space="0" w:color="auto"/>
            <w:right w:val="none" w:sz="0" w:space="0" w:color="auto"/>
          </w:divBdr>
        </w:div>
        <w:div w:id="890967199">
          <w:marLeft w:val="0"/>
          <w:marRight w:val="0"/>
          <w:marTop w:val="0"/>
          <w:marBottom w:val="0"/>
          <w:divBdr>
            <w:top w:val="none" w:sz="0" w:space="0" w:color="auto"/>
            <w:left w:val="none" w:sz="0" w:space="0" w:color="auto"/>
            <w:bottom w:val="none" w:sz="0" w:space="0" w:color="auto"/>
            <w:right w:val="none" w:sz="0" w:space="0" w:color="auto"/>
          </w:divBdr>
        </w:div>
      </w:divsChild>
    </w:div>
    <w:div w:id="527958771">
      <w:bodyDiv w:val="1"/>
      <w:marLeft w:val="0"/>
      <w:marRight w:val="0"/>
      <w:marTop w:val="0"/>
      <w:marBottom w:val="0"/>
      <w:divBdr>
        <w:top w:val="none" w:sz="0" w:space="0" w:color="auto"/>
        <w:left w:val="none" w:sz="0" w:space="0" w:color="auto"/>
        <w:bottom w:val="none" w:sz="0" w:space="0" w:color="auto"/>
        <w:right w:val="none" w:sz="0" w:space="0" w:color="auto"/>
      </w:divBdr>
    </w:div>
    <w:div w:id="546648079">
      <w:bodyDiv w:val="1"/>
      <w:marLeft w:val="0"/>
      <w:marRight w:val="0"/>
      <w:marTop w:val="0"/>
      <w:marBottom w:val="0"/>
      <w:divBdr>
        <w:top w:val="none" w:sz="0" w:space="0" w:color="auto"/>
        <w:left w:val="none" w:sz="0" w:space="0" w:color="auto"/>
        <w:bottom w:val="none" w:sz="0" w:space="0" w:color="auto"/>
        <w:right w:val="none" w:sz="0" w:space="0" w:color="auto"/>
      </w:divBdr>
    </w:div>
    <w:div w:id="703403915">
      <w:bodyDiv w:val="1"/>
      <w:marLeft w:val="0"/>
      <w:marRight w:val="0"/>
      <w:marTop w:val="0"/>
      <w:marBottom w:val="0"/>
      <w:divBdr>
        <w:top w:val="none" w:sz="0" w:space="0" w:color="auto"/>
        <w:left w:val="none" w:sz="0" w:space="0" w:color="auto"/>
        <w:bottom w:val="none" w:sz="0" w:space="0" w:color="auto"/>
        <w:right w:val="none" w:sz="0" w:space="0" w:color="auto"/>
      </w:divBdr>
    </w:div>
    <w:div w:id="728311519">
      <w:bodyDiv w:val="1"/>
      <w:marLeft w:val="0"/>
      <w:marRight w:val="0"/>
      <w:marTop w:val="0"/>
      <w:marBottom w:val="0"/>
      <w:divBdr>
        <w:top w:val="none" w:sz="0" w:space="0" w:color="auto"/>
        <w:left w:val="none" w:sz="0" w:space="0" w:color="auto"/>
        <w:bottom w:val="none" w:sz="0" w:space="0" w:color="auto"/>
        <w:right w:val="none" w:sz="0" w:space="0" w:color="auto"/>
      </w:divBdr>
    </w:div>
    <w:div w:id="777870836">
      <w:bodyDiv w:val="1"/>
      <w:marLeft w:val="0"/>
      <w:marRight w:val="0"/>
      <w:marTop w:val="0"/>
      <w:marBottom w:val="0"/>
      <w:divBdr>
        <w:top w:val="none" w:sz="0" w:space="0" w:color="auto"/>
        <w:left w:val="none" w:sz="0" w:space="0" w:color="auto"/>
        <w:bottom w:val="none" w:sz="0" w:space="0" w:color="auto"/>
        <w:right w:val="none" w:sz="0" w:space="0" w:color="auto"/>
      </w:divBdr>
    </w:div>
    <w:div w:id="869807183">
      <w:bodyDiv w:val="1"/>
      <w:marLeft w:val="0"/>
      <w:marRight w:val="0"/>
      <w:marTop w:val="0"/>
      <w:marBottom w:val="0"/>
      <w:divBdr>
        <w:top w:val="none" w:sz="0" w:space="0" w:color="auto"/>
        <w:left w:val="none" w:sz="0" w:space="0" w:color="auto"/>
        <w:bottom w:val="none" w:sz="0" w:space="0" w:color="auto"/>
        <w:right w:val="none" w:sz="0" w:space="0" w:color="auto"/>
      </w:divBdr>
    </w:div>
    <w:div w:id="894241184">
      <w:bodyDiv w:val="1"/>
      <w:marLeft w:val="0"/>
      <w:marRight w:val="0"/>
      <w:marTop w:val="0"/>
      <w:marBottom w:val="0"/>
      <w:divBdr>
        <w:top w:val="none" w:sz="0" w:space="0" w:color="auto"/>
        <w:left w:val="none" w:sz="0" w:space="0" w:color="auto"/>
        <w:bottom w:val="none" w:sz="0" w:space="0" w:color="auto"/>
        <w:right w:val="none" w:sz="0" w:space="0" w:color="auto"/>
      </w:divBdr>
      <w:divsChild>
        <w:div w:id="1982345323">
          <w:marLeft w:val="0"/>
          <w:marRight w:val="0"/>
          <w:marTop w:val="0"/>
          <w:marBottom w:val="0"/>
          <w:divBdr>
            <w:top w:val="none" w:sz="0" w:space="0" w:color="auto"/>
            <w:left w:val="none" w:sz="0" w:space="0" w:color="auto"/>
            <w:bottom w:val="none" w:sz="0" w:space="0" w:color="auto"/>
            <w:right w:val="none" w:sz="0" w:space="0" w:color="auto"/>
          </w:divBdr>
        </w:div>
        <w:div w:id="291208746">
          <w:marLeft w:val="0"/>
          <w:marRight w:val="0"/>
          <w:marTop w:val="0"/>
          <w:marBottom w:val="0"/>
          <w:divBdr>
            <w:top w:val="none" w:sz="0" w:space="0" w:color="auto"/>
            <w:left w:val="none" w:sz="0" w:space="0" w:color="auto"/>
            <w:bottom w:val="none" w:sz="0" w:space="0" w:color="auto"/>
            <w:right w:val="none" w:sz="0" w:space="0" w:color="auto"/>
          </w:divBdr>
        </w:div>
      </w:divsChild>
    </w:div>
    <w:div w:id="918056177">
      <w:bodyDiv w:val="1"/>
      <w:marLeft w:val="0"/>
      <w:marRight w:val="0"/>
      <w:marTop w:val="0"/>
      <w:marBottom w:val="0"/>
      <w:divBdr>
        <w:top w:val="none" w:sz="0" w:space="0" w:color="auto"/>
        <w:left w:val="none" w:sz="0" w:space="0" w:color="auto"/>
        <w:bottom w:val="none" w:sz="0" w:space="0" w:color="auto"/>
        <w:right w:val="none" w:sz="0" w:space="0" w:color="auto"/>
      </w:divBdr>
    </w:div>
    <w:div w:id="951210141">
      <w:bodyDiv w:val="1"/>
      <w:marLeft w:val="0"/>
      <w:marRight w:val="0"/>
      <w:marTop w:val="0"/>
      <w:marBottom w:val="0"/>
      <w:divBdr>
        <w:top w:val="none" w:sz="0" w:space="0" w:color="auto"/>
        <w:left w:val="none" w:sz="0" w:space="0" w:color="auto"/>
        <w:bottom w:val="none" w:sz="0" w:space="0" w:color="auto"/>
        <w:right w:val="none" w:sz="0" w:space="0" w:color="auto"/>
      </w:divBdr>
    </w:div>
    <w:div w:id="1017196040">
      <w:bodyDiv w:val="1"/>
      <w:marLeft w:val="0"/>
      <w:marRight w:val="0"/>
      <w:marTop w:val="0"/>
      <w:marBottom w:val="0"/>
      <w:divBdr>
        <w:top w:val="none" w:sz="0" w:space="0" w:color="auto"/>
        <w:left w:val="none" w:sz="0" w:space="0" w:color="auto"/>
        <w:bottom w:val="none" w:sz="0" w:space="0" w:color="auto"/>
        <w:right w:val="none" w:sz="0" w:space="0" w:color="auto"/>
      </w:divBdr>
    </w:div>
    <w:div w:id="1041319733">
      <w:bodyDiv w:val="1"/>
      <w:marLeft w:val="0"/>
      <w:marRight w:val="0"/>
      <w:marTop w:val="0"/>
      <w:marBottom w:val="0"/>
      <w:divBdr>
        <w:top w:val="none" w:sz="0" w:space="0" w:color="auto"/>
        <w:left w:val="none" w:sz="0" w:space="0" w:color="auto"/>
        <w:bottom w:val="none" w:sz="0" w:space="0" w:color="auto"/>
        <w:right w:val="none" w:sz="0" w:space="0" w:color="auto"/>
      </w:divBdr>
    </w:div>
    <w:div w:id="1116605114">
      <w:bodyDiv w:val="1"/>
      <w:marLeft w:val="0"/>
      <w:marRight w:val="0"/>
      <w:marTop w:val="0"/>
      <w:marBottom w:val="0"/>
      <w:divBdr>
        <w:top w:val="none" w:sz="0" w:space="0" w:color="auto"/>
        <w:left w:val="none" w:sz="0" w:space="0" w:color="auto"/>
        <w:bottom w:val="none" w:sz="0" w:space="0" w:color="auto"/>
        <w:right w:val="none" w:sz="0" w:space="0" w:color="auto"/>
      </w:divBdr>
      <w:divsChild>
        <w:div w:id="247731762">
          <w:marLeft w:val="0"/>
          <w:marRight w:val="0"/>
          <w:marTop w:val="0"/>
          <w:marBottom w:val="0"/>
          <w:divBdr>
            <w:top w:val="none" w:sz="0" w:space="0" w:color="auto"/>
            <w:left w:val="none" w:sz="0" w:space="0" w:color="auto"/>
            <w:bottom w:val="none" w:sz="0" w:space="0" w:color="auto"/>
            <w:right w:val="none" w:sz="0" w:space="0" w:color="auto"/>
          </w:divBdr>
        </w:div>
        <w:div w:id="2043944887">
          <w:marLeft w:val="0"/>
          <w:marRight w:val="0"/>
          <w:marTop w:val="0"/>
          <w:marBottom w:val="0"/>
          <w:divBdr>
            <w:top w:val="none" w:sz="0" w:space="0" w:color="auto"/>
            <w:left w:val="none" w:sz="0" w:space="0" w:color="auto"/>
            <w:bottom w:val="none" w:sz="0" w:space="0" w:color="auto"/>
            <w:right w:val="none" w:sz="0" w:space="0" w:color="auto"/>
          </w:divBdr>
        </w:div>
      </w:divsChild>
    </w:div>
    <w:div w:id="1258320922">
      <w:bodyDiv w:val="1"/>
      <w:marLeft w:val="0"/>
      <w:marRight w:val="0"/>
      <w:marTop w:val="0"/>
      <w:marBottom w:val="0"/>
      <w:divBdr>
        <w:top w:val="none" w:sz="0" w:space="0" w:color="auto"/>
        <w:left w:val="none" w:sz="0" w:space="0" w:color="auto"/>
        <w:bottom w:val="none" w:sz="0" w:space="0" w:color="auto"/>
        <w:right w:val="none" w:sz="0" w:space="0" w:color="auto"/>
      </w:divBdr>
    </w:div>
    <w:div w:id="1316832636">
      <w:bodyDiv w:val="1"/>
      <w:marLeft w:val="0"/>
      <w:marRight w:val="0"/>
      <w:marTop w:val="0"/>
      <w:marBottom w:val="0"/>
      <w:divBdr>
        <w:top w:val="none" w:sz="0" w:space="0" w:color="auto"/>
        <w:left w:val="none" w:sz="0" w:space="0" w:color="auto"/>
        <w:bottom w:val="none" w:sz="0" w:space="0" w:color="auto"/>
        <w:right w:val="none" w:sz="0" w:space="0" w:color="auto"/>
      </w:divBdr>
    </w:div>
    <w:div w:id="1382092424">
      <w:bodyDiv w:val="1"/>
      <w:marLeft w:val="0"/>
      <w:marRight w:val="0"/>
      <w:marTop w:val="0"/>
      <w:marBottom w:val="0"/>
      <w:divBdr>
        <w:top w:val="none" w:sz="0" w:space="0" w:color="auto"/>
        <w:left w:val="none" w:sz="0" w:space="0" w:color="auto"/>
        <w:bottom w:val="none" w:sz="0" w:space="0" w:color="auto"/>
        <w:right w:val="none" w:sz="0" w:space="0" w:color="auto"/>
      </w:divBdr>
    </w:div>
    <w:div w:id="1472215279">
      <w:bodyDiv w:val="1"/>
      <w:marLeft w:val="0"/>
      <w:marRight w:val="0"/>
      <w:marTop w:val="0"/>
      <w:marBottom w:val="0"/>
      <w:divBdr>
        <w:top w:val="none" w:sz="0" w:space="0" w:color="auto"/>
        <w:left w:val="none" w:sz="0" w:space="0" w:color="auto"/>
        <w:bottom w:val="none" w:sz="0" w:space="0" w:color="auto"/>
        <w:right w:val="none" w:sz="0" w:space="0" w:color="auto"/>
      </w:divBdr>
    </w:div>
    <w:div w:id="1499421269">
      <w:bodyDiv w:val="1"/>
      <w:marLeft w:val="0"/>
      <w:marRight w:val="0"/>
      <w:marTop w:val="0"/>
      <w:marBottom w:val="0"/>
      <w:divBdr>
        <w:top w:val="none" w:sz="0" w:space="0" w:color="auto"/>
        <w:left w:val="none" w:sz="0" w:space="0" w:color="auto"/>
        <w:bottom w:val="none" w:sz="0" w:space="0" w:color="auto"/>
        <w:right w:val="none" w:sz="0" w:space="0" w:color="auto"/>
      </w:divBdr>
    </w:div>
    <w:div w:id="1675496381">
      <w:bodyDiv w:val="1"/>
      <w:marLeft w:val="0"/>
      <w:marRight w:val="0"/>
      <w:marTop w:val="0"/>
      <w:marBottom w:val="0"/>
      <w:divBdr>
        <w:top w:val="none" w:sz="0" w:space="0" w:color="auto"/>
        <w:left w:val="none" w:sz="0" w:space="0" w:color="auto"/>
        <w:bottom w:val="none" w:sz="0" w:space="0" w:color="auto"/>
        <w:right w:val="none" w:sz="0" w:space="0" w:color="auto"/>
      </w:divBdr>
    </w:div>
    <w:div w:id="1808622720">
      <w:bodyDiv w:val="1"/>
      <w:marLeft w:val="0"/>
      <w:marRight w:val="0"/>
      <w:marTop w:val="0"/>
      <w:marBottom w:val="0"/>
      <w:divBdr>
        <w:top w:val="none" w:sz="0" w:space="0" w:color="auto"/>
        <w:left w:val="none" w:sz="0" w:space="0" w:color="auto"/>
        <w:bottom w:val="none" w:sz="0" w:space="0" w:color="auto"/>
        <w:right w:val="none" w:sz="0" w:space="0" w:color="auto"/>
      </w:divBdr>
    </w:div>
    <w:div w:id="1809470528">
      <w:bodyDiv w:val="1"/>
      <w:marLeft w:val="0"/>
      <w:marRight w:val="0"/>
      <w:marTop w:val="0"/>
      <w:marBottom w:val="0"/>
      <w:divBdr>
        <w:top w:val="none" w:sz="0" w:space="0" w:color="auto"/>
        <w:left w:val="none" w:sz="0" w:space="0" w:color="auto"/>
        <w:bottom w:val="none" w:sz="0" w:space="0" w:color="auto"/>
        <w:right w:val="none" w:sz="0" w:space="0" w:color="auto"/>
      </w:divBdr>
    </w:div>
    <w:div w:id="1812359177">
      <w:bodyDiv w:val="1"/>
      <w:marLeft w:val="0"/>
      <w:marRight w:val="0"/>
      <w:marTop w:val="0"/>
      <w:marBottom w:val="0"/>
      <w:divBdr>
        <w:top w:val="none" w:sz="0" w:space="0" w:color="auto"/>
        <w:left w:val="none" w:sz="0" w:space="0" w:color="auto"/>
        <w:bottom w:val="none" w:sz="0" w:space="0" w:color="auto"/>
        <w:right w:val="none" w:sz="0" w:space="0" w:color="auto"/>
      </w:divBdr>
    </w:div>
    <w:div w:id="1825270305">
      <w:bodyDiv w:val="1"/>
      <w:marLeft w:val="0"/>
      <w:marRight w:val="0"/>
      <w:marTop w:val="0"/>
      <w:marBottom w:val="0"/>
      <w:divBdr>
        <w:top w:val="none" w:sz="0" w:space="0" w:color="auto"/>
        <w:left w:val="none" w:sz="0" w:space="0" w:color="auto"/>
        <w:bottom w:val="none" w:sz="0" w:space="0" w:color="auto"/>
        <w:right w:val="none" w:sz="0" w:space="0" w:color="auto"/>
      </w:divBdr>
      <w:divsChild>
        <w:div w:id="227887342">
          <w:marLeft w:val="0"/>
          <w:marRight w:val="0"/>
          <w:marTop w:val="0"/>
          <w:marBottom w:val="0"/>
          <w:divBdr>
            <w:top w:val="none" w:sz="0" w:space="0" w:color="auto"/>
            <w:left w:val="none" w:sz="0" w:space="0" w:color="auto"/>
            <w:bottom w:val="none" w:sz="0" w:space="0" w:color="auto"/>
            <w:right w:val="none" w:sz="0" w:space="0" w:color="auto"/>
          </w:divBdr>
          <w:divsChild>
            <w:div w:id="1446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9576">
      <w:bodyDiv w:val="1"/>
      <w:marLeft w:val="0"/>
      <w:marRight w:val="0"/>
      <w:marTop w:val="0"/>
      <w:marBottom w:val="0"/>
      <w:divBdr>
        <w:top w:val="none" w:sz="0" w:space="0" w:color="auto"/>
        <w:left w:val="none" w:sz="0" w:space="0" w:color="auto"/>
        <w:bottom w:val="none" w:sz="0" w:space="0" w:color="auto"/>
        <w:right w:val="none" w:sz="0" w:space="0" w:color="auto"/>
      </w:divBdr>
    </w:div>
    <w:div w:id="1868906321">
      <w:bodyDiv w:val="1"/>
      <w:marLeft w:val="0"/>
      <w:marRight w:val="0"/>
      <w:marTop w:val="0"/>
      <w:marBottom w:val="0"/>
      <w:divBdr>
        <w:top w:val="none" w:sz="0" w:space="0" w:color="auto"/>
        <w:left w:val="none" w:sz="0" w:space="0" w:color="auto"/>
        <w:bottom w:val="none" w:sz="0" w:space="0" w:color="auto"/>
        <w:right w:val="none" w:sz="0" w:space="0" w:color="auto"/>
      </w:divBdr>
    </w:div>
    <w:div w:id="1878082129">
      <w:bodyDiv w:val="1"/>
      <w:marLeft w:val="0"/>
      <w:marRight w:val="0"/>
      <w:marTop w:val="0"/>
      <w:marBottom w:val="0"/>
      <w:divBdr>
        <w:top w:val="none" w:sz="0" w:space="0" w:color="auto"/>
        <w:left w:val="none" w:sz="0" w:space="0" w:color="auto"/>
        <w:bottom w:val="none" w:sz="0" w:space="0" w:color="auto"/>
        <w:right w:val="none" w:sz="0" w:space="0" w:color="auto"/>
      </w:divBdr>
    </w:div>
    <w:div w:id="1909723538">
      <w:bodyDiv w:val="1"/>
      <w:marLeft w:val="0"/>
      <w:marRight w:val="0"/>
      <w:marTop w:val="0"/>
      <w:marBottom w:val="0"/>
      <w:divBdr>
        <w:top w:val="none" w:sz="0" w:space="0" w:color="auto"/>
        <w:left w:val="none" w:sz="0" w:space="0" w:color="auto"/>
        <w:bottom w:val="none" w:sz="0" w:space="0" w:color="auto"/>
        <w:right w:val="none" w:sz="0" w:space="0" w:color="auto"/>
      </w:divBdr>
    </w:div>
    <w:div w:id="1934439375">
      <w:bodyDiv w:val="1"/>
      <w:marLeft w:val="0"/>
      <w:marRight w:val="0"/>
      <w:marTop w:val="0"/>
      <w:marBottom w:val="0"/>
      <w:divBdr>
        <w:top w:val="none" w:sz="0" w:space="0" w:color="auto"/>
        <w:left w:val="none" w:sz="0" w:space="0" w:color="auto"/>
        <w:bottom w:val="none" w:sz="0" w:space="0" w:color="auto"/>
        <w:right w:val="none" w:sz="0" w:space="0" w:color="auto"/>
      </w:divBdr>
    </w:div>
    <w:div w:id="1996639982">
      <w:bodyDiv w:val="1"/>
      <w:marLeft w:val="0"/>
      <w:marRight w:val="0"/>
      <w:marTop w:val="0"/>
      <w:marBottom w:val="0"/>
      <w:divBdr>
        <w:top w:val="none" w:sz="0" w:space="0" w:color="auto"/>
        <w:left w:val="none" w:sz="0" w:space="0" w:color="auto"/>
        <w:bottom w:val="none" w:sz="0" w:space="0" w:color="auto"/>
        <w:right w:val="none" w:sz="0" w:space="0" w:color="auto"/>
      </w:divBdr>
    </w:div>
    <w:div w:id="21402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zxiaowen</dc:creator>
  <cp:lastModifiedBy>Windows 用户</cp:lastModifiedBy>
  <cp:revision>3</cp:revision>
  <dcterms:created xsi:type="dcterms:W3CDTF">2020-04-30T10:04:00Z</dcterms:created>
  <dcterms:modified xsi:type="dcterms:W3CDTF">2020-04-30T10:04:00Z</dcterms:modified>
</cp:coreProperties>
</file>