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307F" w:rsidRDefault="0040307F">
      <w:pPr>
        <w:rPr>
          <w:rFonts w:hint="eastAsia"/>
        </w:rPr>
      </w:pPr>
      <w:r>
        <w:rPr>
          <w:rFonts w:hint="eastAsia"/>
        </w:rPr>
        <w:t>证券代码：</w:t>
      </w:r>
      <w:r>
        <w:rPr>
          <w:rFonts w:hint="eastAsia"/>
        </w:rPr>
        <w:t xml:space="preserve">002623                                              </w:t>
      </w:r>
      <w:r>
        <w:rPr>
          <w:rFonts w:hint="eastAsia"/>
        </w:rPr>
        <w:t>证券简称：亚玛顿</w:t>
      </w:r>
    </w:p>
    <w:p w:rsidR="0040307F" w:rsidRDefault="0040307F">
      <w:pPr>
        <w:rPr>
          <w:rFonts w:hint="eastAsia"/>
        </w:rPr>
      </w:pPr>
    </w:p>
    <w:p w:rsidR="0040307F" w:rsidRDefault="0040307F">
      <w:pPr>
        <w:jc w:val="center"/>
        <w:rPr>
          <w:rFonts w:hint="eastAsia"/>
          <w:b/>
          <w:bCs/>
          <w:sz w:val="28"/>
        </w:rPr>
      </w:pPr>
      <w:r>
        <w:rPr>
          <w:rFonts w:hint="eastAsia"/>
          <w:b/>
          <w:bCs/>
          <w:sz w:val="28"/>
        </w:rPr>
        <w:t>常州亚玛顿股份有限公司投资者关系活动记录表</w:t>
      </w:r>
    </w:p>
    <w:p w:rsidR="0040307F" w:rsidRDefault="0040307F">
      <w:pPr>
        <w:jc w:val="center"/>
        <w:rPr>
          <w:rFonts w:hint="eastAsia"/>
          <w:sz w:val="24"/>
        </w:rPr>
      </w:pPr>
      <w:r>
        <w:rPr>
          <w:rFonts w:hint="eastAsia"/>
          <w:b/>
          <w:bCs/>
          <w:sz w:val="28"/>
        </w:rPr>
        <w:t xml:space="preserve">                                  </w:t>
      </w:r>
      <w:r>
        <w:rPr>
          <w:rFonts w:hint="eastAsia"/>
          <w:sz w:val="24"/>
        </w:rPr>
        <w:t xml:space="preserve">             </w:t>
      </w:r>
      <w:r>
        <w:rPr>
          <w:rFonts w:hint="eastAsia"/>
          <w:sz w:val="24"/>
        </w:rPr>
        <w:t>编号：</w:t>
      </w:r>
      <w:r>
        <w:rPr>
          <w:rFonts w:hint="eastAsia"/>
          <w:sz w:val="24"/>
        </w:rPr>
        <w:t>20</w:t>
      </w:r>
      <w:r w:rsidR="001341E8">
        <w:rPr>
          <w:rFonts w:hint="eastAsia"/>
          <w:sz w:val="24"/>
        </w:rPr>
        <w:t>20</w:t>
      </w:r>
      <w:r>
        <w:rPr>
          <w:rFonts w:hint="eastAsia"/>
          <w:sz w:val="24"/>
        </w:rPr>
        <w:t>-00</w:t>
      </w:r>
      <w:r w:rsidR="00E83EA1">
        <w:rPr>
          <w:rFonts w:hint="eastAsia"/>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1"/>
        <w:gridCol w:w="6799"/>
      </w:tblGrid>
      <w:tr w:rsidR="0040307F">
        <w:tblPrEx>
          <w:tblCellMar>
            <w:top w:w="0" w:type="dxa"/>
            <w:bottom w:w="0" w:type="dxa"/>
          </w:tblCellMar>
        </w:tblPrEx>
        <w:trPr>
          <w:trHeight w:val="2553"/>
        </w:trPr>
        <w:tc>
          <w:tcPr>
            <w:tcW w:w="2041" w:type="dxa"/>
            <w:vAlign w:val="center"/>
          </w:tcPr>
          <w:p w:rsidR="0040307F" w:rsidRDefault="0040307F">
            <w:pPr>
              <w:rPr>
                <w:rFonts w:hint="eastAsia"/>
                <w:sz w:val="24"/>
              </w:rPr>
            </w:pPr>
            <w:r>
              <w:rPr>
                <w:rFonts w:hint="eastAsia"/>
                <w:b/>
                <w:bCs/>
                <w:sz w:val="24"/>
              </w:rPr>
              <w:t>投资者关系活动类别</w:t>
            </w:r>
          </w:p>
        </w:tc>
        <w:tc>
          <w:tcPr>
            <w:tcW w:w="6799" w:type="dxa"/>
          </w:tcPr>
          <w:p w:rsidR="0040307F" w:rsidRDefault="00E83EA1">
            <w:pPr>
              <w:spacing w:line="360" w:lineRule="auto"/>
              <w:jc w:val="left"/>
              <w:rPr>
                <w:rFonts w:hint="eastAsia"/>
                <w:sz w:val="24"/>
              </w:rPr>
            </w:pPr>
            <w:r>
              <w:rPr>
                <w:rFonts w:ascii="Arial" w:hAnsi="Arial" w:cs="Arial" w:hint="eastAsia"/>
                <w:sz w:val="24"/>
              </w:rPr>
              <w:t xml:space="preserve">   </w:t>
            </w:r>
            <w:r w:rsidR="0040307F">
              <w:rPr>
                <w:rFonts w:hint="eastAsia"/>
                <w:sz w:val="24"/>
              </w:rPr>
              <w:t>特定对象调研</w:t>
            </w:r>
            <w:r w:rsidR="0040307F">
              <w:rPr>
                <w:rFonts w:hint="eastAsia"/>
                <w:sz w:val="24"/>
              </w:rPr>
              <w:t xml:space="preserve">      </w:t>
            </w:r>
            <w:r w:rsidR="0040307F">
              <w:rPr>
                <w:sz w:val="24"/>
              </w:rPr>
              <w:t></w:t>
            </w:r>
            <w:r w:rsidR="0040307F">
              <w:rPr>
                <w:rFonts w:hint="eastAsia"/>
                <w:sz w:val="24"/>
              </w:rPr>
              <w:t xml:space="preserve"> </w:t>
            </w:r>
            <w:r w:rsidR="0040307F">
              <w:rPr>
                <w:rFonts w:hint="eastAsia"/>
                <w:sz w:val="24"/>
              </w:rPr>
              <w:t>分析师会议</w:t>
            </w:r>
          </w:p>
          <w:p w:rsidR="0040307F" w:rsidRDefault="0040307F">
            <w:pPr>
              <w:tabs>
                <w:tab w:val="center" w:pos="3147"/>
              </w:tabs>
              <w:spacing w:line="360" w:lineRule="auto"/>
              <w:jc w:val="left"/>
              <w:rPr>
                <w:rFonts w:hint="eastAsia"/>
                <w:sz w:val="24"/>
              </w:rPr>
            </w:pPr>
            <w:r>
              <w:rPr>
                <w:sz w:val="24"/>
              </w:rPr>
              <w:t></w:t>
            </w:r>
            <w:r>
              <w:rPr>
                <w:rFonts w:hint="eastAsia"/>
                <w:sz w:val="24"/>
              </w:rPr>
              <w:t xml:space="preserve"> </w:t>
            </w:r>
            <w:r>
              <w:rPr>
                <w:rFonts w:hint="eastAsia"/>
                <w:sz w:val="24"/>
              </w:rPr>
              <w:t>媒体采访</w:t>
            </w:r>
            <w:r>
              <w:rPr>
                <w:rFonts w:hint="eastAsia"/>
                <w:sz w:val="24"/>
              </w:rPr>
              <w:t xml:space="preserve">          </w:t>
            </w:r>
            <w:r>
              <w:rPr>
                <w:sz w:val="24"/>
              </w:rPr>
              <w:t></w:t>
            </w:r>
            <w:r>
              <w:rPr>
                <w:rFonts w:hint="eastAsia"/>
                <w:sz w:val="24"/>
              </w:rPr>
              <w:t xml:space="preserve"> </w:t>
            </w:r>
            <w:r>
              <w:rPr>
                <w:rFonts w:hint="eastAsia"/>
                <w:sz w:val="24"/>
              </w:rPr>
              <w:t>业绩说明会</w:t>
            </w:r>
            <w:r>
              <w:rPr>
                <w:rFonts w:hint="eastAsia"/>
                <w:sz w:val="24"/>
              </w:rPr>
              <w:tab/>
              <w:t xml:space="preserve"> </w:t>
            </w:r>
          </w:p>
          <w:p w:rsidR="0040307F" w:rsidRDefault="0040307F">
            <w:pPr>
              <w:spacing w:line="360" w:lineRule="auto"/>
              <w:jc w:val="left"/>
              <w:rPr>
                <w:rFonts w:hint="eastAsia"/>
                <w:sz w:val="24"/>
              </w:rPr>
            </w:pPr>
            <w:r>
              <w:rPr>
                <w:sz w:val="24"/>
              </w:rPr>
              <w:t></w:t>
            </w:r>
            <w:r>
              <w:rPr>
                <w:rFonts w:hint="eastAsia"/>
                <w:sz w:val="24"/>
              </w:rPr>
              <w:t xml:space="preserve"> </w:t>
            </w:r>
            <w:r>
              <w:rPr>
                <w:rFonts w:hint="eastAsia"/>
                <w:sz w:val="24"/>
              </w:rPr>
              <w:t>新闻发布会</w:t>
            </w:r>
            <w:r>
              <w:rPr>
                <w:rFonts w:hint="eastAsia"/>
                <w:sz w:val="24"/>
              </w:rPr>
              <w:t xml:space="preserve">        </w:t>
            </w:r>
            <w:r>
              <w:rPr>
                <w:sz w:val="24"/>
              </w:rPr>
              <w:t></w:t>
            </w:r>
            <w:r>
              <w:rPr>
                <w:rFonts w:hint="eastAsia"/>
                <w:sz w:val="24"/>
              </w:rPr>
              <w:t xml:space="preserve"> </w:t>
            </w:r>
            <w:r>
              <w:rPr>
                <w:rFonts w:hint="eastAsia"/>
                <w:sz w:val="24"/>
              </w:rPr>
              <w:t>路演活动</w:t>
            </w:r>
          </w:p>
          <w:p w:rsidR="0040307F" w:rsidRDefault="00E83EA1">
            <w:pPr>
              <w:spacing w:line="360" w:lineRule="auto"/>
              <w:jc w:val="left"/>
              <w:rPr>
                <w:rFonts w:hint="eastAsia"/>
                <w:sz w:val="24"/>
              </w:rPr>
            </w:pPr>
            <w:r>
              <w:rPr>
                <w:rFonts w:hint="eastAsia"/>
                <w:sz w:val="24"/>
              </w:rPr>
              <w:t xml:space="preserve">   </w:t>
            </w:r>
            <w:r w:rsidR="0040307F">
              <w:rPr>
                <w:rFonts w:hint="eastAsia"/>
                <w:sz w:val="24"/>
              </w:rPr>
              <w:t>现场参观</w:t>
            </w:r>
          </w:p>
          <w:p w:rsidR="0040307F" w:rsidRDefault="0040307F">
            <w:pPr>
              <w:spacing w:line="360" w:lineRule="auto"/>
              <w:jc w:val="left"/>
              <w:rPr>
                <w:rFonts w:hint="eastAsia"/>
                <w:sz w:val="24"/>
              </w:rPr>
            </w:pPr>
            <w:r>
              <w:rPr>
                <w:sz w:val="24"/>
              </w:rPr>
              <w:t></w:t>
            </w:r>
            <w:r w:rsidR="00E83EA1" w:rsidRPr="00E83EA1">
              <w:rPr>
                <w:sz w:val="24"/>
              </w:rPr>
              <w:t>√</w:t>
            </w:r>
            <w:r w:rsidR="00E83EA1" w:rsidRPr="00E83EA1">
              <w:rPr>
                <w:rFonts w:hint="eastAsia"/>
                <w:sz w:val="24"/>
              </w:rPr>
              <w:t xml:space="preserve"> </w:t>
            </w:r>
            <w:r>
              <w:rPr>
                <w:rFonts w:hint="eastAsia"/>
                <w:sz w:val="24"/>
              </w:rPr>
              <w:t>其他</w:t>
            </w:r>
            <w:r w:rsidR="00E83EA1">
              <w:rPr>
                <w:rFonts w:hint="eastAsia"/>
                <w:sz w:val="24"/>
              </w:rPr>
              <w:t>：</w:t>
            </w:r>
            <w:r w:rsidR="00E83EA1">
              <w:rPr>
                <w:rFonts w:hint="eastAsia"/>
                <w:sz w:val="24"/>
                <w:u w:val="single"/>
              </w:rPr>
              <w:t>电话会议</w:t>
            </w:r>
          </w:p>
        </w:tc>
      </w:tr>
      <w:tr w:rsidR="0040307F">
        <w:tblPrEx>
          <w:tblCellMar>
            <w:top w:w="0" w:type="dxa"/>
            <w:bottom w:w="0" w:type="dxa"/>
          </w:tblCellMar>
        </w:tblPrEx>
        <w:trPr>
          <w:trHeight w:val="979"/>
        </w:trPr>
        <w:tc>
          <w:tcPr>
            <w:tcW w:w="2041" w:type="dxa"/>
            <w:vAlign w:val="center"/>
          </w:tcPr>
          <w:p w:rsidR="0040307F" w:rsidRDefault="0040307F">
            <w:pPr>
              <w:rPr>
                <w:rFonts w:hint="eastAsia"/>
                <w:sz w:val="24"/>
              </w:rPr>
            </w:pPr>
            <w:r>
              <w:rPr>
                <w:rFonts w:hint="eastAsia"/>
                <w:b/>
                <w:bCs/>
                <w:sz w:val="24"/>
              </w:rPr>
              <w:t>参与单位名称及人员姓名</w:t>
            </w:r>
          </w:p>
        </w:tc>
        <w:tc>
          <w:tcPr>
            <w:tcW w:w="6799" w:type="dxa"/>
            <w:vAlign w:val="center"/>
          </w:tcPr>
          <w:p w:rsidR="008233A4" w:rsidRPr="00417E2C" w:rsidRDefault="00E83EA1" w:rsidP="008233A4">
            <w:pPr>
              <w:rPr>
                <w:rFonts w:ascii="Arial" w:hAnsi="Arial" w:cs="Arial" w:hint="eastAsia"/>
                <w:sz w:val="24"/>
                <w:szCs w:val="24"/>
              </w:rPr>
            </w:pPr>
            <w:r w:rsidRPr="00417E2C">
              <w:rPr>
                <w:rFonts w:ascii="Arial" w:hAnsi="Arial" w:cs="Arial"/>
                <w:sz w:val="24"/>
                <w:szCs w:val="24"/>
              </w:rPr>
              <w:t>上海健顺投资</w:t>
            </w:r>
            <w:r w:rsidRPr="00417E2C">
              <w:rPr>
                <w:rFonts w:ascii="Arial" w:hAnsi="Arial" w:cs="Arial" w:hint="eastAsia"/>
                <w:sz w:val="24"/>
                <w:szCs w:val="24"/>
              </w:rPr>
              <w:t xml:space="preserve">  </w:t>
            </w:r>
            <w:r w:rsidR="008233A4" w:rsidRPr="00417E2C">
              <w:rPr>
                <w:rFonts w:ascii="Arial" w:hAnsi="Arial" w:cs="Arial"/>
                <w:sz w:val="24"/>
                <w:szCs w:val="24"/>
              </w:rPr>
              <w:t>卢雅霖</w:t>
            </w:r>
            <w:r w:rsidR="008233A4" w:rsidRPr="00417E2C">
              <w:rPr>
                <w:rFonts w:ascii="Arial" w:hAnsi="Arial" w:cs="Arial" w:hint="eastAsia"/>
                <w:sz w:val="24"/>
                <w:szCs w:val="24"/>
              </w:rPr>
              <w:t>、</w:t>
            </w:r>
            <w:r w:rsidR="008233A4" w:rsidRPr="00417E2C">
              <w:rPr>
                <w:rFonts w:ascii="Arial" w:hAnsi="Arial" w:cs="Arial"/>
                <w:sz w:val="24"/>
                <w:szCs w:val="24"/>
              </w:rPr>
              <w:t>梁彦春</w:t>
            </w:r>
            <w:r w:rsidR="008233A4" w:rsidRPr="00417E2C">
              <w:rPr>
                <w:rFonts w:ascii="Arial" w:hAnsi="Arial" w:cs="Arial" w:hint="eastAsia"/>
                <w:sz w:val="24"/>
                <w:szCs w:val="24"/>
              </w:rPr>
              <w:t>、陆大千；</w:t>
            </w:r>
          </w:p>
          <w:p w:rsidR="008233A4" w:rsidRPr="00417E2C" w:rsidRDefault="008233A4" w:rsidP="008233A4">
            <w:pPr>
              <w:rPr>
                <w:rFonts w:ascii="Arial" w:hAnsi="Arial" w:cs="Arial" w:hint="eastAsia"/>
                <w:sz w:val="24"/>
                <w:szCs w:val="24"/>
              </w:rPr>
            </w:pPr>
            <w:r w:rsidRPr="00417E2C">
              <w:rPr>
                <w:rFonts w:ascii="Arial" w:hAnsi="Arial" w:cs="Arial"/>
                <w:sz w:val="24"/>
                <w:szCs w:val="24"/>
              </w:rPr>
              <w:t>上海沃珑港投资管理合伙企业</w:t>
            </w:r>
            <w:r w:rsidRPr="00417E2C">
              <w:rPr>
                <w:rFonts w:ascii="Arial" w:hAnsi="Arial" w:cs="Arial" w:hint="eastAsia"/>
                <w:sz w:val="24"/>
                <w:szCs w:val="24"/>
              </w:rPr>
              <w:t xml:space="preserve">  </w:t>
            </w:r>
            <w:r w:rsidRPr="00417E2C">
              <w:rPr>
                <w:rFonts w:ascii="Arial" w:hAnsi="Arial" w:cs="Arial"/>
                <w:sz w:val="24"/>
                <w:szCs w:val="24"/>
              </w:rPr>
              <w:t>刘金磊</w:t>
            </w:r>
            <w:r w:rsidRPr="00417E2C">
              <w:rPr>
                <w:rFonts w:ascii="Arial" w:hAnsi="Arial" w:cs="Arial" w:hint="eastAsia"/>
                <w:sz w:val="24"/>
                <w:szCs w:val="24"/>
              </w:rPr>
              <w:t>；</w:t>
            </w:r>
          </w:p>
          <w:p w:rsidR="008233A4" w:rsidRPr="00417E2C" w:rsidRDefault="008233A4" w:rsidP="008233A4">
            <w:pPr>
              <w:rPr>
                <w:rFonts w:ascii="Arial" w:hAnsi="Arial" w:cs="Arial" w:hint="eastAsia"/>
                <w:sz w:val="24"/>
                <w:szCs w:val="24"/>
              </w:rPr>
            </w:pPr>
            <w:r w:rsidRPr="00417E2C">
              <w:rPr>
                <w:rFonts w:ascii="Arial" w:hAnsi="Arial" w:cs="Arial"/>
                <w:sz w:val="24"/>
                <w:szCs w:val="24"/>
              </w:rPr>
              <w:t>上海荃笠资产</w:t>
            </w:r>
            <w:r w:rsidRPr="00417E2C">
              <w:rPr>
                <w:rFonts w:ascii="Arial" w:hAnsi="Arial" w:cs="Arial" w:hint="eastAsia"/>
                <w:sz w:val="24"/>
                <w:szCs w:val="24"/>
              </w:rPr>
              <w:t xml:space="preserve">  </w:t>
            </w:r>
            <w:r w:rsidRPr="00417E2C">
              <w:rPr>
                <w:rFonts w:ascii="Arial" w:hAnsi="Arial" w:cs="Arial"/>
                <w:sz w:val="24"/>
                <w:szCs w:val="24"/>
              </w:rPr>
              <w:t>郑峰</w:t>
            </w:r>
            <w:r w:rsidRPr="00417E2C">
              <w:rPr>
                <w:rFonts w:ascii="Arial" w:hAnsi="Arial" w:cs="Arial" w:hint="eastAsia"/>
                <w:sz w:val="24"/>
                <w:szCs w:val="24"/>
              </w:rPr>
              <w:t>；</w:t>
            </w:r>
          </w:p>
          <w:p w:rsidR="008233A4" w:rsidRPr="00417E2C" w:rsidRDefault="008233A4" w:rsidP="008233A4">
            <w:pPr>
              <w:rPr>
                <w:rFonts w:ascii="Arial" w:hAnsi="Arial" w:cs="Arial"/>
                <w:sz w:val="24"/>
                <w:szCs w:val="24"/>
              </w:rPr>
            </w:pPr>
            <w:r w:rsidRPr="00417E2C">
              <w:rPr>
                <w:rFonts w:ascii="Arial" w:hAnsi="Arial" w:cs="Arial"/>
                <w:sz w:val="24"/>
                <w:szCs w:val="24"/>
              </w:rPr>
              <w:t>务聚投资</w:t>
            </w:r>
            <w:r w:rsidRPr="00417E2C">
              <w:rPr>
                <w:rFonts w:ascii="Arial" w:hAnsi="Arial" w:cs="Arial" w:hint="eastAsia"/>
                <w:sz w:val="24"/>
                <w:szCs w:val="24"/>
              </w:rPr>
              <w:t xml:space="preserve">   </w:t>
            </w:r>
            <w:r w:rsidRPr="00417E2C">
              <w:rPr>
                <w:rFonts w:ascii="Arial" w:hAnsi="Arial" w:cs="Arial"/>
                <w:sz w:val="24"/>
                <w:szCs w:val="24"/>
              </w:rPr>
              <w:t>朱一峰</w:t>
            </w:r>
            <w:r w:rsidRPr="00417E2C">
              <w:rPr>
                <w:rFonts w:ascii="Arial" w:hAnsi="Arial" w:cs="Arial" w:hint="eastAsia"/>
                <w:sz w:val="24"/>
                <w:szCs w:val="24"/>
              </w:rPr>
              <w:t>；</w:t>
            </w:r>
          </w:p>
          <w:p w:rsidR="008233A4" w:rsidRPr="00417E2C" w:rsidRDefault="008233A4" w:rsidP="008233A4">
            <w:pPr>
              <w:rPr>
                <w:rFonts w:ascii="宋体" w:hAnsi="宋体" w:cs="宋体"/>
                <w:sz w:val="24"/>
                <w:szCs w:val="24"/>
              </w:rPr>
            </w:pPr>
            <w:r w:rsidRPr="00417E2C">
              <w:rPr>
                <w:rFonts w:hint="eastAsia"/>
                <w:sz w:val="24"/>
                <w:szCs w:val="24"/>
              </w:rPr>
              <w:t>北京永瑞财富投资</w:t>
            </w:r>
            <w:r w:rsidRPr="00417E2C">
              <w:rPr>
                <w:rFonts w:hint="eastAsia"/>
                <w:sz w:val="24"/>
                <w:szCs w:val="24"/>
              </w:rPr>
              <w:t xml:space="preserve">  </w:t>
            </w:r>
            <w:r w:rsidRPr="00417E2C">
              <w:rPr>
                <w:rFonts w:ascii="Arial" w:hAnsi="Arial" w:cs="Arial"/>
                <w:sz w:val="24"/>
                <w:szCs w:val="24"/>
              </w:rPr>
              <w:t>陈志</w:t>
            </w:r>
            <w:r w:rsidRPr="00417E2C">
              <w:rPr>
                <w:rFonts w:ascii="Arial" w:hAnsi="Arial" w:cs="Arial" w:hint="eastAsia"/>
                <w:sz w:val="24"/>
                <w:szCs w:val="24"/>
              </w:rPr>
              <w:t>；</w:t>
            </w:r>
          </w:p>
          <w:p w:rsidR="008233A4" w:rsidRPr="00417E2C" w:rsidRDefault="008233A4" w:rsidP="008233A4">
            <w:pPr>
              <w:rPr>
                <w:rFonts w:ascii="Arial" w:hAnsi="Arial" w:cs="Arial" w:hint="eastAsia"/>
                <w:sz w:val="24"/>
                <w:szCs w:val="24"/>
              </w:rPr>
            </w:pPr>
            <w:r w:rsidRPr="00417E2C">
              <w:rPr>
                <w:rFonts w:ascii="Arial" w:hAnsi="Arial" w:cs="Arial"/>
                <w:sz w:val="24"/>
                <w:szCs w:val="24"/>
              </w:rPr>
              <w:t>华泰证券研究所</w:t>
            </w:r>
            <w:r w:rsidRPr="00417E2C">
              <w:rPr>
                <w:rFonts w:ascii="Arial" w:hAnsi="Arial" w:cs="Arial" w:hint="eastAsia"/>
                <w:sz w:val="24"/>
                <w:szCs w:val="24"/>
              </w:rPr>
              <w:t xml:space="preserve">  </w:t>
            </w:r>
            <w:r w:rsidRPr="00417E2C">
              <w:rPr>
                <w:rFonts w:ascii="Arial" w:hAnsi="Arial" w:cs="Arial" w:hint="eastAsia"/>
                <w:sz w:val="24"/>
                <w:szCs w:val="24"/>
              </w:rPr>
              <w:t>鲍荣福、</w:t>
            </w:r>
            <w:r w:rsidRPr="00417E2C">
              <w:rPr>
                <w:rFonts w:ascii="Arial" w:hAnsi="Arial" w:cs="Arial"/>
                <w:sz w:val="24"/>
                <w:szCs w:val="24"/>
              </w:rPr>
              <w:t>方晏荷</w:t>
            </w:r>
            <w:r w:rsidRPr="00417E2C">
              <w:rPr>
                <w:rFonts w:ascii="Arial" w:hAnsi="Arial" w:cs="Arial" w:hint="eastAsia"/>
                <w:sz w:val="24"/>
                <w:szCs w:val="24"/>
              </w:rPr>
              <w:t>、</w:t>
            </w:r>
            <w:r w:rsidRPr="00417E2C">
              <w:rPr>
                <w:rFonts w:ascii="Arial" w:hAnsi="Arial" w:cs="Arial"/>
                <w:sz w:val="24"/>
                <w:szCs w:val="24"/>
              </w:rPr>
              <w:t>张雪蓉</w:t>
            </w:r>
            <w:r w:rsidRPr="00417E2C">
              <w:rPr>
                <w:rFonts w:ascii="Arial" w:hAnsi="Arial" w:cs="Arial" w:hint="eastAsia"/>
                <w:sz w:val="24"/>
                <w:szCs w:val="24"/>
              </w:rPr>
              <w:t>；</w:t>
            </w:r>
          </w:p>
          <w:p w:rsidR="008233A4" w:rsidRPr="00417E2C" w:rsidRDefault="008233A4" w:rsidP="008233A4">
            <w:pPr>
              <w:rPr>
                <w:rFonts w:ascii="Arial" w:hAnsi="Arial" w:cs="Arial" w:hint="eastAsia"/>
                <w:sz w:val="24"/>
                <w:szCs w:val="24"/>
              </w:rPr>
            </w:pPr>
            <w:r w:rsidRPr="00417E2C">
              <w:rPr>
                <w:rFonts w:ascii="Arial" w:hAnsi="Arial" w:cs="Arial"/>
                <w:sz w:val="24"/>
                <w:szCs w:val="24"/>
              </w:rPr>
              <w:t>国联人寿</w:t>
            </w:r>
            <w:r w:rsidRPr="00417E2C">
              <w:rPr>
                <w:rFonts w:ascii="Arial" w:hAnsi="Arial" w:cs="Arial" w:hint="eastAsia"/>
                <w:sz w:val="24"/>
                <w:szCs w:val="24"/>
              </w:rPr>
              <w:t xml:space="preserve">  </w:t>
            </w:r>
            <w:r w:rsidRPr="00417E2C">
              <w:rPr>
                <w:rFonts w:ascii="Arial" w:hAnsi="Arial" w:cs="Arial"/>
                <w:sz w:val="24"/>
                <w:szCs w:val="24"/>
              </w:rPr>
              <w:t>夏雪冰</w:t>
            </w:r>
            <w:r w:rsidRPr="00417E2C">
              <w:rPr>
                <w:rFonts w:ascii="Arial" w:hAnsi="Arial" w:cs="Arial" w:hint="eastAsia"/>
                <w:sz w:val="24"/>
                <w:szCs w:val="24"/>
              </w:rPr>
              <w:t>；</w:t>
            </w:r>
          </w:p>
          <w:p w:rsidR="008233A4" w:rsidRPr="00417E2C" w:rsidRDefault="008233A4" w:rsidP="008233A4">
            <w:pPr>
              <w:rPr>
                <w:rFonts w:ascii="Arial" w:hAnsi="Arial" w:cs="Arial" w:hint="eastAsia"/>
                <w:sz w:val="24"/>
                <w:szCs w:val="24"/>
              </w:rPr>
            </w:pPr>
            <w:r w:rsidRPr="00417E2C">
              <w:rPr>
                <w:rFonts w:hint="eastAsia"/>
                <w:sz w:val="24"/>
                <w:szCs w:val="24"/>
              </w:rPr>
              <w:t>东新金控有限公司</w:t>
            </w:r>
            <w:r w:rsidRPr="00417E2C">
              <w:rPr>
                <w:rFonts w:hint="eastAsia"/>
                <w:sz w:val="24"/>
                <w:szCs w:val="24"/>
              </w:rPr>
              <w:t xml:space="preserve">  </w:t>
            </w:r>
            <w:r w:rsidRPr="00417E2C">
              <w:rPr>
                <w:rFonts w:ascii="Arial" w:hAnsi="Arial" w:cs="Arial"/>
                <w:sz w:val="24"/>
                <w:szCs w:val="24"/>
              </w:rPr>
              <w:t>郑昌暖</w:t>
            </w:r>
            <w:r w:rsidRPr="00417E2C">
              <w:rPr>
                <w:rFonts w:ascii="Arial" w:hAnsi="Arial" w:cs="Arial" w:hint="eastAsia"/>
                <w:sz w:val="24"/>
                <w:szCs w:val="24"/>
              </w:rPr>
              <w:t>；</w:t>
            </w:r>
          </w:p>
          <w:p w:rsidR="008233A4" w:rsidRPr="00417E2C" w:rsidRDefault="008233A4" w:rsidP="008233A4">
            <w:pPr>
              <w:rPr>
                <w:rFonts w:ascii="Arial" w:hAnsi="Arial" w:cs="Arial" w:hint="eastAsia"/>
                <w:sz w:val="24"/>
                <w:szCs w:val="24"/>
              </w:rPr>
            </w:pPr>
            <w:r w:rsidRPr="00417E2C">
              <w:rPr>
                <w:rFonts w:ascii="Arial" w:hAnsi="Arial" w:cs="Arial"/>
                <w:sz w:val="24"/>
                <w:szCs w:val="24"/>
              </w:rPr>
              <w:t>天弘基金管理有限公司</w:t>
            </w:r>
            <w:r w:rsidRPr="00417E2C">
              <w:rPr>
                <w:rFonts w:ascii="Arial" w:hAnsi="Arial" w:cs="Arial" w:hint="eastAsia"/>
                <w:sz w:val="24"/>
                <w:szCs w:val="24"/>
              </w:rPr>
              <w:t xml:space="preserve">  </w:t>
            </w:r>
            <w:r w:rsidRPr="00417E2C">
              <w:rPr>
                <w:rFonts w:ascii="Arial" w:hAnsi="Arial" w:cs="Arial"/>
                <w:sz w:val="24"/>
                <w:szCs w:val="24"/>
              </w:rPr>
              <w:t>唐博</w:t>
            </w:r>
            <w:r w:rsidR="004E5ABE" w:rsidRPr="00417E2C">
              <w:rPr>
                <w:rFonts w:ascii="Arial" w:hAnsi="Arial" w:cs="Arial" w:hint="eastAsia"/>
                <w:sz w:val="24"/>
                <w:szCs w:val="24"/>
              </w:rPr>
              <w:t>；</w:t>
            </w:r>
          </w:p>
          <w:p w:rsidR="004E5ABE" w:rsidRPr="00417E2C" w:rsidRDefault="004E5ABE" w:rsidP="004E5ABE">
            <w:pPr>
              <w:rPr>
                <w:rFonts w:ascii="Arial" w:hAnsi="Arial" w:cs="Arial" w:hint="eastAsia"/>
                <w:sz w:val="24"/>
                <w:szCs w:val="24"/>
              </w:rPr>
            </w:pPr>
            <w:r w:rsidRPr="00417E2C">
              <w:rPr>
                <w:rFonts w:ascii="Arial" w:hAnsi="Arial" w:cs="Arial"/>
                <w:sz w:val="24"/>
                <w:szCs w:val="24"/>
              </w:rPr>
              <w:t>太平洋资产管理有限责任公司</w:t>
            </w:r>
            <w:r w:rsidRPr="00417E2C">
              <w:rPr>
                <w:rFonts w:ascii="Arial" w:hAnsi="Arial" w:cs="Arial" w:hint="eastAsia"/>
                <w:sz w:val="24"/>
                <w:szCs w:val="24"/>
              </w:rPr>
              <w:t xml:space="preserve">  </w:t>
            </w:r>
            <w:r w:rsidRPr="00417E2C">
              <w:rPr>
                <w:rFonts w:ascii="Arial" w:hAnsi="Arial" w:cs="Arial"/>
                <w:sz w:val="24"/>
                <w:szCs w:val="24"/>
              </w:rPr>
              <w:t>恽敏</w:t>
            </w:r>
            <w:r w:rsidRPr="00417E2C">
              <w:rPr>
                <w:rFonts w:ascii="Arial" w:hAnsi="Arial" w:cs="Arial" w:hint="eastAsia"/>
                <w:sz w:val="24"/>
                <w:szCs w:val="24"/>
              </w:rPr>
              <w:t>；</w:t>
            </w:r>
          </w:p>
          <w:p w:rsidR="004E5ABE" w:rsidRPr="00417E2C" w:rsidRDefault="004E5ABE" w:rsidP="004E5ABE">
            <w:pPr>
              <w:rPr>
                <w:rFonts w:ascii="Arial" w:hAnsi="Arial" w:cs="Arial" w:hint="eastAsia"/>
                <w:sz w:val="24"/>
                <w:szCs w:val="24"/>
              </w:rPr>
            </w:pPr>
            <w:r w:rsidRPr="00417E2C">
              <w:rPr>
                <w:rFonts w:ascii="Arial" w:hAnsi="Arial" w:cs="Arial"/>
                <w:sz w:val="24"/>
                <w:szCs w:val="24"/>
              </w:rPr>
              <w:t>富国基金管理有限公司</w:t>
            </w:r>
            <w:r w:rsidRPr="00417E2C">
              <w:rPr>
                <w:rFonts w:ascii="Arial" w:hAnsi="Arial" w:cs="Arial" w:hint="eastAsia"/>
                <w:sz w:val="24"/>
                <w:szCs w:val="24"/>
              </w:rPr>
              <w:t xml:space="preserve">  </w:t>
            </w:r>
            <w:r w:rsidRPr="00417E2C">
              <w:rPr>
                <w:rFonts w:ascii="Arial" w:hAnsi="Arial" w:cs="Arial"/>
                <w:sz w:val="24"/>
                <w:szCs w:val="24"/>
              </w:rPr>
              <w:t>杨栋</w:t>
            </w:r>
            <w:r w:rsidRPr="00417E2C">
              <w:rPr>
                <w:rFonts w:ascii="Arial" w:hAnsi="Arial" w:cs="Arial" w:hint="eastAsia"/>
                <w:sz w:val="24"/>
                <w:szCs w:val="24"/>
              </w:rPr>
              <w:t>；</w:t>
            </w:r>
          </w:p>
          <w:p w:rsidR="004E5ABE" w:rsidRPr="00417E2C" w:rsidRDefault="004E5ABE" w:rsidP="004E5ABE">
            <w:pPr>
              <w:rPr>
                <w:rFonts w:ascii="Arial" w:hAnsi="Arial" w:cs="Arial" w:hint="eastAsia"/>
                <w:sz w:val="24"/>
                <w:szCs w:val="24"/>
              </w:rPr>
            </w:pPr>
            <w:r w:rsidRPr="00417E2C">
              <w:rPr>
                <w:rFonts w:ascii="Arial" w:hAnsi="Arial" w:cs="Arial"/>
                <w:sz w:val="24"/>
                <w:szCs w:val="24"/>
              </w:rPr>
              <w:t>德贝瑞资产管理</w:t>
            </w:r>
            <w:r w:rsidRPr="00417E2C">
              <w:rPr>
                <w:rFonts w:ascii="Arial" w:hAnsi="Arial" w:cs="Arial" w:hint="eastAsia"/>
                <w:sz w:val="24"/>
                <w:szCs w:val="24"/>
              </w:rPr>
              <w:t xml:space="preserve">   </w:t>
            </w:r>
            <w:r w:rsidRPr="00417E2C">
              <w:rPr>
                <w:rFonts w:ascii="Arial" w:hAnsi="Arial" w:cs="Arial"/>
                <w:sz w:val="24"/>
                <w:szCs w:val="24"/>
              </w:rPr>
              <w:t>高鹏</w:t>
            </w:r>
            <w:r w:rsidRPr="00417E2C">
              <w:rPr>
                <w:rFonts w:ascii="Arial" w:hAnsi="Arial" w:cs="Arial" w:hint="eastAsia"/>
                <w:sz w:val="24"/>
                <w:szCs w:val="24"/>
              </w:rPr>
              <w:t>；</w:t>
            </w:r>
          </w:p>
          <w:p w:rsidR="004E5ABE" w:rsidRPr="00417E2C" w:rsidRDefault="004E5ABE" w:rsidP="004E5ABE">
            <w:pPr>
              <w:rPr>
                <w:rFonts w:ascii="Arial" w:hAnsi="Arial" w:cs="Arial" w:hint="eastAsia"/>
                <w:sz w:val="24"/>
                <w:szCs w:val="24"/>
              </w:rPr>
            </w:pPr>
            <w:r w:rsidRPr="00417E2C">
              <w:rPr>
                <w:rFonts w:ascii="Arial" w:hAnsi="Arial" w:cs="Arial"/>
                <w:sz w:val="24"/>
                <w:szCs w:val="24"/>
              </w:rPr>
              <w:t>惠安基金</w:t>
            </w:r>
            <w:r w:rsidRPr="00417E2C">
              <w:rPr>
                <w:rFonts w:ascii="Arial" w:hAnsi="Arial" w:cs="Arial" w:hint="eastAsia"/>
                <w:sz w:val="24"/>
                <w:szCs w:val="24"/>
              </w:rPr>
              <w:t xml:space="preserve">   </w:t>
            </w:r>
            <w:r w:rsidRPr="00417E2C">
              <w:rPr>
                <w:rFonts w:ascii="Arial" w:hAnsi="Arial" w:cs="Arial"/>
                <w:sz w:val="24"/>
                <w:szCs w:val="24"/>
              </w:rPr>
              <w:t>蒋毅</w:t>
            </w:r>
            <w:r w:rsidRPr="00417E2C">
              <w:rPr>
                <w:rFonts w:ascii="Arial" w:hAnsi="Arial" w:cs="Arial" w:hint="eastAsia"/>
                <w:sz w:val="24"/>
                <w:szCs w:val="24"/>
              </w:rPr>
              <w:t>；</w:t>
            </w:r>
          </w:p>
          <w:p w:rsidR="004E5ABE" w:rsidRPr="00417E2C" w:rsidRDefault="004E5ABE" w:rsidP="004E5ABE">
            <w:pPr>
              <w:rPr>
                <w:rFonts w:ascii="Arial" w:hAnsi="Arial" w:cs="Arial" w:hint="eastAsia"/>
                <w:sz w:val="24"/>
                <w:szCs w:val="24"/>
              </w:rPr>
            </w:pPr>
            <w:r w:rsidRPr="00417E2C">
              <w:rPr>
                <w:rFonts w:ascii="Arial" w:hAnsi="Arial" w:cs="Arial"/>
                <w:sz w:val="24"/>
                <w:szCs w:val="24"/>
              </w:rPr>
              <w:t>杭州道弘投资</w:t>
            </w:r>
            <w:r w:rsidRPr="00417E2C">
              <w:rPr>
                <w:rFonts w:ascii="Arial" w:hAnsi="Arial" w:cs="Arial" w:hint="eastAsia"/>
                <w:sz w:val="24"/>
                <w:szCs w:val="24"/>
              </w:rPr>
              <w:t xml:space="preserve">  </w:t>
            </w:r>
            <w:r w:rsidRPr="00417E2C">
              <w:rPr>
                <w:rFonts w:ascii="Arial" w:hAnsi="Arial" w:cs="Arial"/>
                <w:sz w:val="24"/>
                <w:szCs w:val="24"/>
              </w:rPr>
              <w:t>谢浩</w:t>
            </w:r>
            <w:r w:rsidRPr="00417E2C">
              <w:rPr>
                <w:rFonts w:ascii="Arial" w:hAnsi="Arial" w:cs="Arial" w:hint="eastAsia"/>
                <w:sz w:val="24"/>
                <w:szCs w:val="24"/>
              </w:rPr>
              <w:t>；</w:t>
            </w:r>
          </w:p>
          <w:p w:rsidR="004E5ABE" w:rsidRPr="00417E2C" w:rsidRDefault="004E5ABE" w:rsidP="004E5ABE">
            <w:pPr>
              <w:rPr>
                <w:rFonts w:ascii="宋体" w:hAnsi="宋体" w:cs="宋体"/>
                <w:sz w:val="24"/>
                <w:szCs w:val="24"/>
              </w:rPr>
            </w:pPr>
            <w:r w:rsidRPr="00417E2C">
              <w:rPr>
                <w:rFonts w:hint="eastAsia"/>
                <w:sz w:val="24"/>
                <w:szCs w:val="24"/>
              </w:rPr>
              <w:t>海通创新投资</w:t>
            </w:r>
            <w:r w:rsidRPr="00417E2C">
              <w:rPr>
                <w:rFonts w:hint="eastAsia"/>
                <w:sz w:val="24"/>
                <w:szCs w:val="24"/>
              </w:rPr>
              <w:t xml:space="preserve">  </w:t>
            </w:r>
            <w:r w:rsidRPr="00417E2C">
              <w:rPr>
                <w:rFonts w:ascii="Arial" w:hAnsi="Arial" w:cs="Arial"/>
                <w:sz w:val="24"/>
                <w:szCs w:val="24"/>
              </w:rPr>
              <w:t>谢兴</w:t>
            </w:r>
            <w:r w:rsidRPr="00417E2C">
              <w:rPr>
                <w:rFonts w:ascii="Arial" w:hAnsi="Arial" w:cs="Arial" w:hint="eastAsia"/>
                <w:sz w:val="24"/>
                <w:szCs w:val="24"/>
              </w:rPr>
              <w:t>；</w:t>
            </w:r>
          </w:p>
          <w:p w:rsidR="004E5ABE" w:rsidRPr="00417E2C" w:rsidRDefault="004E5ABE" w:rsidP="004E5ABE">
            <w:pPr>
              <w:rPr>
                <w:rFonts w:ascii="宋体" w:hAnsi="宋体" w:cs="宋体"/>
                <w:sz w:val="24"/>
                <w:szCs w:val="24"/>
              </w:rPr>
            </w:pPr>
            <w:r w:rsidRPr="00417E2C">
              <w:rPr>
                <w:rFonts w:hint="eastAsia"/>
                <w:sz w:val="24"/>
                <w:szCs w:val="24"/>
              </w:rPr>
              <w:t>国海资产管理有限公司</w:t>
            </w:r>
            <w:r w:rsidRPr="00417E2C">
              <w:rPr>
                <w:rFonts w:hint="eastAsia"/>
                <w:sz w:val="24"/>
                <w:szCs w:val="24"/>
              </w:rPr>
              <w:t xml:space="preserve">   </w:t>
            </w:r>
            <w:r w:rsidRPr="00417E2C">
              <w:rPr>
                <w:rFonts w:ascii="Arial" w:hAnsi="Arial" w:cs="Arial"/>
                <w:sz w:val="24"/>
                <w:szCs w:val="24"/>
              </w:rPr>
              <w:t>吴正明</w:t>
            </w:r>
            <w:r w:rsidRPr="00417E2C">
              <w:rPr>
                <w:rFonts w:ascii="Arial" w:hAnsi="Arial" w:cs="Arial" w:hint="eastAsia"/>
                <w:sz w:val="24"/>
                <w:szCs w:val="24"/>
              </w:rPr>
              <w:t>；</w:t>
            </w:r>
          </w:p>
          <w:p w:rsidR="004E5ABE" w:rsidRPr="00417E2C" w:rsidRDefault="004E5ABE" w:rsidP="004E5ABE">
            <w:pPr>
              <w:rPr>
                <w:rFonts w:ascii="Arial" w:hAnsi="Arial" w:cs="Arial" w:hint="eastAsia"/>
                <w:sz w:val="24"/>
                <w:szCs w:val="24"/>
              </w:rPr>
            </w:pPr>
            <w:r w:rsidRPr="00417E2C">
              <w:rPr>
                <w:rFonts w:ascii="Arial" w:hAnsi="Arial" w:cs="Arial"/>
                <w:sz w:val="24"/>
                <w:szCs w:val="24"/>
              </w:rPr>
              <w:t>粵民投</w:t>
            </w:r>
            <w:r w:rsidRPr="00417E2C">
              <w:rPr>
                <w:rFonts w:ascii="Arial" w:hAnsi="Arial" w:cs="Arial" w:hint="eastAsia"/>
                <w:sz w:val="24"/>
                <w:szCs w:val="24"/>
              </w:rPr>
              <w:t xml:space="preserve">   </w:t>
            </w:r>
            <w:r w:rsidRPr="00417E2C">
              <w:rPr>
                <w:rFonts w:ascii="Arial" w:hAnsi="Arial" w:cs="Arial"/>
                <w:sz w:val="24"/>
                <w:szCs w:val="24"/>
              </w:rPr>
              <w:t>陈浩</w:t>
            </w:r>
            <w:r w:rsidRPr="00417E2C">
              <w:rPr>
                <w:rFonts w:ascii="Arial" w:hAnsi="Arial" w:cs="Arial" w:hint="eastAsia"/>
                <w:sz w:val="24"/>
                <w:szCs w:val="24"/>
              </w:rPr>
              <w:t>；</w:t>
            </w:r>
          </w:p>
          <w:p w:rsidR="004E5ABE" w:rsidRPr="00417E2C" w:rsidRDefault="004E5ABE" w:rsidP="004E5ABE">
            <w:pPr>
              <w:rPr>
                <w:rFonts w:ascii="Arial" w:hAnsi="Arial" w:cs="Arial"/>
                <w:sz w:val="24"/>
                <w:szCs w:val="24"/>
              </w:rPr>
            </w:pPr>
            <w:r w:rsidRPr="00417E2C">
              <w:rPr>
                <w:rFonts w:ascii="Arial" w:hAnsi="Arial" w:cs="Arial"/>
                <w:sz w:val="24"/>
                <w:szCs w:val="24"/>
              </w:rPr>
              <w:t>辰阳资产</w:t>
            </w:r>
            <w:r w:rsidRPr="00417E2C">
              <w:rPr>
                <w:rFonts w:ascii="Arial" w:hAnsi="Arial" w:cs="Arial" w:hint="eastAsia"/>
                <w:sz w:val="24"/>
                <w:szCs w:val="24"/>
              </w:rPr>
              <w:t xml:space="preserve">  </w:t>
            </w:r>
            <w:r w:rsidRPr="00417E2C">
              <w:rPr>
                <w:rFonts w:ascii="Arial" w:hAnsi="Arial" w:cs="Arial"/>
                <w:sz w:val="24"/>
                <w:szCs w:val="24"/>
              </w:rPr>
              <w:t>李响</w:t>
            </w:r>
            <w:r w:rsidRPr="00417E2C">
              <w:rPr>
                <w:rFonts w:ascii="Arial" w:hAnsi="Arial" w:cs="Arial" w:hint="eastAsia"/>
                <w:sz w:val="24"/>
                <w:szCs w:val="24"/>
              </w:rPr>
              <w:t>；</w:t>
            </w:r>
          </w:p>
          <w:p w:rsidR="0040307F" w:rsidRPr="00417E2C" w:rsidRDefault="004E5ABE" w:rsidP="00417E2C">
            <w:pPr>
              <w:rPr>
                <w:rFonts w:ascii="Arial" w:hAnsi="Arial" w:cs="Arial" w:hint="eastAsia"/>
                <w:sz w:val="20"/>
              </w:rPr>
            </w:pPr>
            <w:r w:rsidRPr="00417E2C">
              <w:rPr>
                <w:rFonts w:ascii="Arial" w:hAnsi="Arial" w:cs="Arial"/>
                <w:sz w:val="24"/>
                <w:szCs w:val="24"/>
              </w:rPr>
              <w:t>鹏扬基金</w:t>
            </w:r>
            <w:r w:rsidRPr="00417E2C">
              <w:rPr>
                <w:rFonts w:ascii="Arial" w:hAnsi="Arial" w:cs="Arial" w:hint="eastAsia"/>
                <w:sz w:val="24"/>
                <w:szCs w:val="24"/>
              </w:rPr>
              <w:t xml:space="preserve">  </w:t>
            </w:r>
            <w:r w:rsidRPr="00417E2C">
              <w:rPr>
                <w:rFonts w:ascii="Arial" w:hAnsi="Arial" w:cs="Arial"/>
                <w:sz w:val="24"/>
                <w:szCs w:val="24"/>
              </w:rPr>
              <w:t>王高远</w:t>
            </w:r>
          </w:p>
        </w:tc>
      </w:tr>
      <w:tr w:rsidR="0040307F" w:rsidTr="009F1448">
        <w:tblPrEx>
          <w:tblCellMar>
            <w:top w:w="0" w:type="dxa"/>
            <w:bottom w:w="0" w:type="dxa"/>
          </w:tblCellMar>
        </w:tblPrEx>
        <w:trPr>
          <w:trHeight w:val="701"/>
        </w:trPr>
        <w:tc>
          <w:tcPr>
            <w:tcW w:w="2041" w:type="dxa"/>
            <w:vAlign w:val="center"/>
          </w:tcPr>
          <w:p w:rsidR="0040307F" w:rsidRDefault="0040307F">
            <w:pPr>
              <w:rPr>
                <w:rFonts w:hint="eastAsia"/>
                <w:sz w:val="24"/>
              </w:rPr>
            </w:pPr>
            <w:r>
              <w:rPr>
                <w:rFonts w:hint="eastAsia"/>
                <w:b/>
                <w:bCs/>
                <w:sz w:val="24"/>
              </w:rPr>
              <w:t>时间</w:t>
            </w:r>
          </w:p>
        </w:tc>
        <w:tc>
          <w:tcPr>
            <w:tcW w:w="6799" w:type="dxa"/>
            <w:vAlign w:val="center"/>
          </w:tcPr>
          <w:p w:rsidR="0040307F" w:rsidRDefault="00417E2C" w:rsidP="00417E2C">
            <w:pPr>
              <w:rPr>
                <w:rFonts w:hint="eastAsia"/>
                <w:sz w:val="24"/>
              </w:rPr>
            </w:pPr>
            <w:r>
              <w:rPr>
                <w:rFonts w:hint="eastAsia"/>
                <w:sz w:val="24"/>
              </w:rPr>
              <w:t>2020</w:t>
            </w:r>
            <w:r w:rsidR="0040307F">
              <w:rPr>
                <w:rFonts w:hint="eastAsia"/>
                <w:sz w:val="24"/>
              </w:rPr>
              <w:t>年</w:t>
            </w:r>
            <w:r>
              <w:rPr>
                <w:rFonts w:hint="eastAsia"/>
                <w:sz w:val="24"/>
              </w:rPr>
              <w:t>4</w:t>
            </w:r>
            <w:r w:rsidR="0040307F">
              <w:rPr>
                <w:rFonts w:hint="eastAsia"/>
                <w:sz w:val="24"/>
              </w:rPr>
              <w:t>月</w:t>
            </w:r>
            <w:r>
              <w:rPr>
                <w:rFonts w:hint="eastAsia"/>
                <w:sz w:val="24"/>
              </w:rPr>
              <w:t>29</w:t>
            </w:r>
            <w:r w:rsidR="0040307F">
              <w:rPr>
                <w:rFonts w:hint="eastAsia"/>
                <w:sz w:val="24"/>
              </w:rPr>
              <w:t>日</w:t>
            </w:r>
          </w:p>
        </w:tc>
      </w:tr>
      <w:tr w:rsidR="0040307F" w:rsidTr="009F1448">
        <w:tblPrEx>
          <w:tblCellMar>
            <w:top w:w="0" w:type="dxa"/>
            <w:bottom w:w="0" w:type="dxa"/>
          </w:tblCellMar>
        </w:tblPrEx>
        <w:trPr>
          <w:trHeight w:val="696"/>
        </w:trPr>
        <w:tc>
          <w:tcPr>
            <w:tcW w:w="2041" w:type="dxa"/>
            <w:vAlign w:val="center"/>
          </w:tcPr>
          <w:p w:rsidR="0040307F" w:rsidRDefault="0040307F">
            <w:pPr>
              <w:rPr>
                <w:rFonts w:hint="eastAsia"/>
                <w:sz w:val="24"/>
              </w:rPr>
            </w:pPr>
            <w:r>
              <w:rPr>
                <w:rFonts w:hint="eastAsia"/>
                <w:b/>
                <w:bCs/>
                <w:sz w:val="24"/>
              </w:rPr>
              <w:t>地点</w:t>
            </w:r>
          </w:p>
        </w:tc>
        <w:tc>
          <w:tcPr>
            <w:tcW w:w="6799" w:type="dxa"/>
            <w:vAlign w:val="center"/>
          </w:tcPr>
          <w:p w:rsidR="0040307F" w:rsidRDefault="00417E2C">
            <w:pPr>
              <w:rPr>
                <w:rFonts w:hint="eastAsia"/>
                <w:sz w:val="24"/>
              </w:rPr>
            </w:pPr>
            <w:r>
              <w:rPr>
                <w:rFonts w:hint="eastAsia"/>
                <w:sz w:val="24"/>
              </w:rPr>
              <w:t>电话会议</w:t>
            </w:r>
          </w:p>
        </w:tc>
      </w:tr>
      <w:tr w:rsidR="0040307F" w:rsidTr="009F1448">
        <w:tblPrEx>
          <w:tblCellMar>
            <w:top w:w="0" w:type="dxa"/>
            <w:bottom w:w="0" w:type="dxa"/>
          </w:tblCellMar>
        </w:tblPrEx>
        <w:trPr>
          <w:trHeight w:val="848"/>
        </w:trPr>
        <w:tc>
          <w:tcPr>
            <w:tcW w:w="2041" w:type="dxa"/>
            <w:vAlign w:val="center"/>
          </w:tcPr>
          <w:p w:rsidR="0040307F" w:rsidRDefault="0040307F">
            <w:pPr>
              <w:rPr>
                <w:rFonts w:hint="eastAsia"/>
                <w:sz w:val="24"/>
              </w:rPr>
            </w:pPr>
            <w:r>
              <w:rPr>
                <w:rFonts w:hint="eastAsia"/>
                <w:b/>
                <w:bCs/>
                <w:sz w:val="24"/>
              </w:rPr>
              <w:t>上市公司接待人姓名</w:t>
            </w:r>
          </w:p>
        </w:tc>
        <w:tc>
          <w:tcPr>
            <w:tcW w:w="6799" w:type="dxa"/>
            <w:vAlign w:val="center"/>
          </w:tcPr>
          <w:p w:rsidR="0040307F" w:rsidRDefault="00417E2C" w:rsidP="00417E2C">
            <w:pPr>
              <w:rPr>
                <w:rFonts w:hint="eastAsia"/>
                <w:sz w:val="24"/>
              </w:rPr>
            </w:pPr>
            <w:r w:rsidRPr="00417E2C">
              <w:rPr>
                <w:rFonts w:hint="eastAsia"/>
                <w:sz w:val="24"/>
              </w:rPr>
              <w:t>董事长林金锡、董事会秘书刘芹</w:t>
            </w:r>
          </w:p>
        </w:tc>
      </w:tr>
      <w:tr w:rsidR="009F1448" w:rsidTr="009F1448">
        <w:tblPrEx>
          <w:tblCellMar>
            <w:top w:w="0" w:type="dxa"/>
            <w:bottom w:w="0" w:type="dxa"/>
          </w:tblCellMar>
        </w:tblPrEx>
        <w:trPr>
          <w:trHeight w:val="848"/>
        </w:trPr>
        <w:tc>
          <w:tcPr>
            <w:tcW w:w="2041" w:type="dxa"/>
            <w:vAlign w:val="center"/>
          </w:tcPr>
          <w:p w:rsidR="009F1448" w:rsidRDefault="009F1448">
            <w:pPr>
              <w:rPr>
                <w:rFonts w:hint="eastAsia"/>
                <w:b/>
                <w:bCs/>
                <w:sz w:val="24"/>
              </w:rPr>
            </w:pPr>
          </w:p>
        </w:tc>
        <w:tc>
          <w:tcPr>
            <w:tcW w:w="6799" w:type="dxa"/>
            <w:vAlign w:val="center"/>
          </w:tcPr>
          <w:p w:rsidR="009F1448" w:rsidRDefault="009F1448" w:rsidP="009F1448">
            <w:pPr>
              <w:spacing w:line="360" w:lineRule="auto"/>
              <w:rPr>
                <w:rFonts w:hint="eastAsia"/>
                <w:sz w:val="24"/>
              </w:rPr>
            </w:pPr>
            <w:r w:rsidRPr="00417E2C">
              <w:rPr>
                <w:rFonts w:hint="eastAsia"/>
                <w:sz w:val="24"/>
              </w:rPr>
              <w:t>一、董事长林金锡简要介绍公司</w:t>
            </w:r>
            <w:r>
              <w:rPr>
                <w:rFonts w:hint="eastAsia"/>
                <w:sz w:val="24"/>
              </w:rPr>
              <w:t>情况及年报和季报情况</w:t>
            </w:r>
          </w:p>
          <w:p w:rsidR="009F1448" w:rsidRPr="009F1448" w:rsidRDefault="009F1448" w:rsidP="009F1448">
            <w:pPr>
              <w:spacing w:line="360" w:lineRule="auto"/>
              <w:rPr>
                <w:rFonts w:hint="eastAsia"/>
                <w:sz w:val="24"/>
              </w:rPr>
            </w:pPr>
            <w:r>
              <w:rPr>
                <w:rFonts w:hint="eastAsia"/>
                <w:sz w:val="24"/>
              </w:rPr>
              <w:t>二、采取问答方式，</w:t>
            </w:r>
            <w:r w:rsidRPr="00565704">
              <w:rPr>
                <w:rFonts w:hint="eastAsia"/>
                <w:sz w:val="24"/>
              </w:rPr>
              <w:t>由董事长林金锡、董事会秘书负责回答：</w:t>
            </w:r>
          </w:p>
        </w:tc>
      </w:tr>
      <w:tr w:rsidR="0040307F">
        <w:tblPrEx>
          <w:tblCellMar>
            <w:top w:w="0" w:type="dxa"/>
            <w:bottom w:w="0" w:type="dxa"/>
          </w:tblCellMar>
        </w:tblPrEx>
        <w:trPr>
          <w:trHeight w:val="4291"/>
        </w:trPr>
        <w:tc>
          <w:tcPr>
            <w:tcW w:w="2041" w:type="dxa"/>
            <w:vAlign w:val="center"/>
          </w:tcPr>
          <w:p w:rsidR="0040307F" w:rsidRDefault="0040307F">
            <w:pPr>
              <w:rPr>
                <w:rFonts w:hint="eastAsia"/>
                <w:sz w:val="24"/>
              </w:rPr>
            </w:pPr>
          </w:p>
          <w:p w:rsidR="0040307F" w:rsidRDefault="0040307F">
            <w:pPr>
              <w:rPr>
                <w:rFonts w:hint="eastAsia"/>
              </w:rPr>
            </w:pPr>
          </w:p>
          <w:p w:rsidR="0040307F" w:rsidRDefault="0040307F">
            <w:pPr>
              <w:rPr>
                <w:rFonts w:hint="eastAsia"/>
              </w:rPr>
            </w:pPr>
          </w:p>
          <w:p w:rsidR="0040307F" w:rsidRDefault="0040307F">
            <w:pPr>
              <w:rPr>
                <w:rFonts w:hint="eastAsia"/>
              </w:rPr>
            </w:pPr>
          </w:p>
          <w:p w:rsidR="0040307F" w:rsidRDefault="0040307F">
            <w:pPr>
              <w:rPr>
                <w:rFonts w:hint="eastAsia"/>
              </w:rPr>
            </w:pPr>
          </w:p>
          <w:p w:rsidR="0040307F" w:rsidRDefault="0040307F">
            <w:pPr>
              <w:rPr>
                <w:rFonts w:hint="eastAsia"/>
              </w:rPr>
            </w:pPr>
          </w:p>
          <w:p w:rsidR="0040307F" w:rsidRDefault="0040307F">
            <w:pPr>
              <w:rPr>
                <w:rFonts w:hint="eastAsia"/>
              </w:rPr>
            </w:pPr>
            <w:r>
              <w:rPr>
                <w:rFonts w:hint="eastAsia"/>
                <w:b/>
                <w:bCs/>
                <w:sz w:val="24"/>
              </w:rPr>
              <w:t>投资者关系活动主要内容介绍</w:t>
            </w:r>
          </w:p>
        </w:tc>
        <w:tc>
          <w:tcPr>
            <w:tcW w:w="6799" w:type="dxa"/>
            <w:vMerge w:val="restart"/>
          </w:tcPr>
          <w:p w:rsidR="00565704" w:rsidRDefault="002A7D7D" w:rsidP="00565704">
            <w:pPr>
              <w:spacing w:line="360" w:lineRule="auto"/>
              <w:rPr>
                <w:rFonts w:ascii="宋体" w:hAnsi="宋体" w:hint="eastAsia"/>
                <w:sz w:val="24"/>
                <w:szCs w:val="24"/>
              </w:rPr>
            </w:pPr>
            <w:r>
              <w:rPr>
                <w:rFonts w:ascii="宋体" w:hAnsi="宋体" w:hint="eastAsia"/>
                <w:sz w:val="24"/>
                <w:szCs w:val="24"/>
              </w:rPr>
              <w:t>1、</w:t>
            </w:r>
            <w:r w:rsidR="00565704">
              <w:rPr>
                <w:rFonts w:ascii="宋体" w:hAnsi="宋体" w:hint="eastAsia"/>
                <w:sz w:val="24"/>
                <w:szCs w:val="24"/>
              </w:rPr>
              <w:t>公司2020年一季度业绩同比大幅增长的原因？</w:t>
            </w:r>
          </w:p>
          <w:p w:rsidR="00565704" w:rsidRDefault="00565704" w:rsidP="00565704">
            <w:pPr>
              <w:spacing w:line="360" w:lineRule="auto"/>
              <w:rPr>
                <w:rFonts w:ascii="宋体" w:hAnsi="宋体" w:hint="eastAsia"/>
                <w:sz w:val="24"/>
                <w:szCs w:val="24"/>
              </w:rPr>
            </w:pPr>
            <w:r>
              <w:rPr>
                <w:rFonts w:ascii="宋体" w:hAnsi="宋体" w:hint="eastAsia"/>
                <w:sz w:val="24"/>
                <w:szCs w:val="24"/>
              </w:rPr>
              <w:t>答：</w:t>
            </w:r>
            <w:r w:rsidR="004863D5" w:rsidRPr="004863D5">
              <w:rPr>
                <w:rFonts w:ascii="宋体" w:hAnsi="宋体"/>
                <w:sz w:val="24"/>
                <w:szCs w:val="24"/>
              </w:rPr>
              <w:t>报告期</w:t>
            </w:r>
            <w:r w:rsidR="00E652ED">
              <w:rPr>
                <w:rFonts w:ascii="宋体" w:hAnsi="宋体" w:hint="eastAsia"/>
                <w:sz w:val="24"/>
                <w:szCs w:val="24"/>
              </w:rPr>
              <w:t>，面对新冠疫情蔓延及复杂外部经营环境，公司在充分保障员工健康安全的前提下科学防控，及时复产复工，因此</w:t>
            </w:r>
            <w:r w:rsidR="004863D5" w:rsidRPr="004863D5">
              <w:rPr>
                <w:rFonts w:ascii="宋体" w:hAnsi="宋体"/>
                <w:sz w:val="24"/>
                <w:szCs w:val="24"/>
              </w:rPr>
              <w:t>公司光伏减反玻璃和太阳能瓦片玻璃的产销量较上年同期有较大幅度地提升</w:t>
            </w:r>
            <w:r w:rsidR="00E652ED">
              <w:rPr>
                <w:rFonts w:ascii="宋体" w:hAnsi="宋体" w:hint="eastAsia"/>
                <w:sz w:val="24"/>
                <w:szCs w:val="24"/>
              </w:rPr>
              <w:t>。同时，疫情期间</w:t>
            </w:r>
            <w:r w:rsidR="00E652ED" w:rsidRPr="00E652ED">
              <w:rPr>
                <w:rFonts w:ascii="宋体" w:hAnsi="宋体"/>
                <w:sz w:val="24"/>
                <w:szCs w:val="24"/>
              </w:rPr>
              <w:t>公司采取有效措施降本增效，缩减运营成本支出。</w:t>
            </w:r>
          </w:p>
          <w:p w:rsidR="002A7D7D" w:rsidRDefault="00E652ED" w:rsidP="00E652ED">
            <w:pPr>
              <w:spacing w:line="360" w:lineRule="auto"/>
              <w:rPr>
                <w:rFonts w:ascii="宋体" w:hAnsi="宋体" w:hint="eastAsia"/>
                <w:sz w:val="24"/>
                <w:szCs w:val="24"/>
              </w:rPr>
            </w:pPr>
            <w:r>
              <w:rPr>
                <w:rFonts w:ascii="宋体" w:hAnsi="宋体" w:hint="eastAsia"/>
                <w:sz w:val="24"/>
                <w:szCs w:val="24"/>
              </w:rPr>
              <w:t>2、</w:t>
            </w:r>
            <w:r w:rsidRPr="00E652ED">
              <w:rPr>
                <w:rFonts w:ascii="宋体" w:hAnsi="宋体" w:hint="eastAsia"/>
                <w:sz w:val="24"/>
                <w:szCs w:val="24"/>
              </w:rPr>
              <w:t>凤阳第一座窑炉</w:t>
            </w:r>
            <w:r>
              <w:rPr>
                <w:rFonts w:ascii="宋体" w:hAnsi="宋体" w:hint="eastAsia"/>
                <w:sz w:val="24"/>
                <w:szCs w:val="24"/>
              </w:rPr>
              <w:t>是否投出？是否已经给亚玛顿股份供货？预计</w:t>
            </w:r>
            <w:r w:rsidRPr="00E652ED">
              <w:rPr>
                <w:rFonts w:ascii="宋体" w:hAnsi="宋体" w:hint="eastAsia"/>
                <w:sz w:val="24"/>
                <w:szCs w:val="24"/>
              </w:rPr>
              <w:t>能满足公司多少比例光伏镀膜玻璃的产能？凤阳另外两座窑炉建设的计划？</w:t>
            </w:r>
          </w:p>
          <w:p w:rsidR="00E652ED" w:rsidRDefault="00CA4FC1" w:rsidP="001E2B2B">
            <w:pPr>
              <w:spacing w:line="360" w:lineRule="auto"/>
              <w:rPr>
                <w:rFonts w:ascii="宋体" w:hAnsi="宋体" w:hint="eastAsia"/>
                <w:sz w:val="24"/>
              </w:rPr>
            </w:pPr>
            <w:r>
              <w:rPr>
                <w:rFonts w:ascii="宋体" w:hAnsi="宋体" w:hint="eastAsia"/>
                <w:sz w:val="24"/>
              </w:rPr>
              <w:t>答：凤阳第一座</w:t>
            </w:r>
            <w:r w:rsidRPr="00CA4FC1">
              <w:rPr>
                <w:rFonts w:ascii="宋体" w:hAnsi="宋体" w:hint="eastAsia"/>
                <w:sz w:val="24"/>
              </w:rPr>
              <w:t>650吨/日熔量窑</w:t>
            </w:r>
            <w:r w:rsidR="00573583">
              <w:rPr>
                <w:rFonts w:ascii="宋体" w:hAnsi="宋体" w:hint="eastAsia"/>
                <w:sz w:val="24"/>
              </w:rPr>
              <w:t>炉</w:t>
            </w:r>
            <w:r w:rsidR="001B2A83">
              <w:rPr>
                <w:rFonts w:ascii="宋体" w:hAnsi="宋体" w:hint="eastAsia"/>
                <w:sz w:val="24"/>
              </w:rPr>
              <w:t>已</w:t>
            </w:r>
            <w:r w:rsidR="00573583">
              <w:rPr>
                <w:rFonts w:ascii="宋体" w:hAnsi="宋体" w:hint="eastAsia"/>
                <w:sz w:val="24"/>
              </w:rPr>
              <w:t>于3月30日</w:t>
            </w:r>
            <w:r w:rsidR="00C919A4">
              <w:rPr>
                <w:rFonts w:ascii="宋体" w:hAnsi="宋体" w:hint="eastAsia"/>
                <w:sz w:val="24"/>
              </w:rPr>
              <w:t>引板</w:t>
            </w:r>
            <w:r w:rsidR="00E305AA">
              <w:rPr>
                <w:rFonts w:ascii="宋体" w:hAnsi="宋体" w:hint="eastAsia"/>
                <w:sz w:val="24"/>
              </w:rPr>
              <w:t>成功，4月初开始已经陆续给亚玛顿股份供货了</w:t>
            </w:r>
            <w:r w:rsidR="001E2B2B">
              <w:rPr>
                <w:rFonts w:ascii="宋体" w:hAnsi="宋体" w:hint="eastAsia"/>
                <w:sz w:val="24"/>
              </w:rPr>
              <w:t>。</w:t>
            </w:r>
            <w:r w:rsidR="00E305AA" w:rsidRPr="00E305AA">
              <w:rPr>
                <w:rFonts w:ascii="宋体" w:hAnsi="宋体" w:hint="eastAsia"/>
                <w:sz w:val="24"/>
              </w:rPr>
              <w:t>凤阳第一座窑炉投产后预计能够满足80%左右光伏镀膜玻璃的产能</w:t>
            </w:r>
            <w:r w:rsidR="001E2B2B">
              <w:rPr>
                <w:rFonts w:ascii="宋体" w:hAnsi="宋体" w:hint="eastAsia"/>
                <w:sz w:val="24"/>
              </w:rPr>
              <w:t>。</w:t>
            </w:r>
            <w:r w:rsidR="001E2B2B" w:rsidRPr="001E2B2B">
              <w:rPr>
                <w:rFonts w:ascii="宋体" w:hAnsi="宋体" w:hint="eastAsia"/>
                <w:sz w:val="24"/>
              </w:rPr>
              <w:t>为了进一步满足公司光伏玻璃、太阳能屋顶瓦片玻璃、光电玻璃的市场需求，同时考虑到目前玻璃窑炉建设指标实行严格有序控制等原因，凤阳硅谷已经在紧锣密鼓进行后期两座窑炉的建设。</w:t>
            </w:r>
          </w:p>
          <w:p w:rsidR="001E2B2B" w:rsidRDefault="001E2B2B" w:rsidP="00C07DC2">
            <w:pPr>
              <w:spacing w:line="360" w:lineRule="auto"/>
              <w:rPr>
                <w:rFonts w:ascii="宋体" w:hAnsi="宋体" w:hint="eastAsia"/>
                <w:sz w:val="24"/>
              </w:rPr>
            </w:pPr>
            <w:r>
              <w:rPr>
                <w:rFonts w:ascii="宋体" w:hAnsi="宋体" w:hint="eastAsia"/>
                <w:sz w:val="24"/>
              </w:rPr>
              <w:t>3、随着凤阳</w:t>
            </w:r>
            <w:r w:rsidR="00C07DC2">
              <w:rPr>
                <w:rFonts w:ascii="宋体" w:hAnsi="宋体" w:hint="eastAsia"/>
                <w:sz w:val="24"/>
              </w:rPr>
              <w:t>公司原片玻璃的</w:t>
            </w:r>
            <w:r>
              <w:rPr>
                <w:rFonts w:ascii="宋体" w:hAnsi="宋体" w:hint="eastAsia"/>
                <w:sz w:val="24"/>
              </w:rPr>
              <w:t>正常供货，</w:t>
            </w:r>
            <w:r w:rsidR="00C07DC2">
              <w:rPr>
                <w:rFonts w:ascii="宋体" w:hAnsi="宋体" w:hint="eastAsia"/>
                <w:sz w:val="24"/>
              </w:rPr>
              <w:t>对</w:t>
            </w:r>
            <w:r>
              <w:rPr>
                <w:rFonts w:ascii="宋体" w:hAnsi="宋体" w:hint="eastAsia"/>
                <w:sz w:val="24"/>
              </w:rPr>
              <w:t>亚玛顿股份</w:t>
            </w:r>
            <w:r w:rsidR="00C07DC2">
              <w:rPr>
                <w:rFonts w:ascii="宋体" w:hAnsi="宋体" w:hint="eastAsia"/>
                <w:sz w:val="24"/>
              </w:rPr>
              <w:t>光伏玻璃的</w:t>
            </w:r>
            <w:r>
              <w:rPr>
                <w:rFonts w:ascii="宋体" w:hAnsi="宋体" w:hint="eastAsia"/>
                <w:sz w:val="24"/>
              </w:rPr>
              <w:t>毛利率会带来什么影响</w:t>
            </w:r>
            <w:r w:rsidR="00C07DC2">
              <w:rPr>
                <w:rFonts w:ascii="宋体" w:hAnsi="宋体" w:hint="eastAsia"/>
                <w:sz w:val="24"/>
              </w:rPr>
              <w:t>？</w:t>
            </w:r>
          </w:p>
          <w:p w:rsidR="00C07DC2" w:rsidRDefault="00C07DC2" w:rsidP="00C07DC2">
            <w:pPr>
              <w:spacing w:line="360" w:lineRule="auto"/>
              <w:rPr>
                <w:rFonts w:ascii="宋体" w:hAnsi="宋体" w:hint="eastAsia"/>
                <w:sz w:val="24"/>
              </w:rPr>
            </w:pPr>
            <w:r>
              <w:rPr>
                <w:rFonts w:ascii="宋体" w:hAnsi="宋体" w:hint="eastAsia"/>
                <w:sz w:val="24"/>
              </w:rPr>
              <w:t>答：因为凤阳公司与亚玛顿股份属于同一控股公司控制的企业，所以双方之间的交易属于关联交易，合同定价要按照市场公允价值</w:t>
            </w:r>
            <w:r w:rsidR="003534DC">
              <w:rPr>
                <w:rFonts w:ascii="宋体" w:hAnsi="宋体" w:hint="eastAsia"/>
                <w:sz w:val="24"/>
              </w:rPr>
              <w:t>进行约定。但是，凤阳的稳定供货以及公司原有的供应关系，公司光伏玻璃产品的产销量能够大幅提升，届时产能利用率的提升能够进一步降低成本，对公司毛利率产生积极影响。</w:t>
            </w:r>
          </w:p>
          <w:p w:rsidR="003534DC" w:rsidRDefault="003534DC" w:rsidP="00C07DC2">
            <w:pPr>
              <w:spacing w:line="360" w:lineRule="auto"/>
              <w:rPr>
                <w:rFonts w:ascii="宋体" w:hAnsi="宋体" w:hint="eastAsia"/>
                <w:sz w:val="24"/>
              </w:rPr>
            </w:pPr>
            <w:r>
              <w:rPr>
                <w:rFonts w:ascii="宋体" w:hAnsi="宋体" w:hint="eastAsia"/>
                <w:sz w:val="24"/>
              </w:rPr>
              <w:t>4、公司现有太阳能光伏电站的规模？以及出售的计划和进展？</w:t>
            </w:r>
          </w:p>
          <w:p w:rsidR="003534DC" w:rsidRDefault="003534DC" w:rsidP="00AA75AA">
            <w:pPr>
              <w:spacing w:line="360" w:lineRule="auto"/>
              <w:rPr>
                <w:rFonts w:ascii="宋体" w:hAnsi="宋体" w:hint="eastAsia"/>
                <w:sz w:val="24"/>
              </w:rPr>
            </w:pPr>
            <w:r>
              <w:rPr>
                <w:rFonts w:ascii="宋体" w:hAnsi="宋体" w:hint="eastAsia"/>
                <w:sz w:val="24"/>
              </w:rPr>
              <w:t>答：</w:t>
            </w:r>
            <w:r w:rsidRPr="003534DC">
              <w:rPr>
                <w:rFonts w:ascii="宋体" w:hAnsi="宋体"/>
                <w:sz w:val="24"/>
              </w:rPr>
              <w:t>2015年-2017年，为了进一步带动超薄双玻组件产品的市场推广，公司以自有资金建设方式进行光伏电站运营投资，通过自建太阳能光伏电站示范工程使客户更加直观、深入地了解 超薄双玻组件在实际应用端的优势。</w:t>
            </w:r>
            <w:r w:rsidR="00AA75AA">
              <w:rPr>
                <w:rFonts w:ascii="宋体" w:hAnsi="宋体" w:hint="eastAsia"/>
                <w:sz w:val="24"/>
              </w:rPr>
              <w:t>近几年，随着</w:t>
            </w:r>
            <w:r w:rsidR="00AA75AA" w:rsidRPr="00AA75AA">
              <w:rPr>
                <w:rFonts w:ascii="宋体" w:hAnsi="宋体"/>
                <w:sz w:val="24"/>
              </w:rPr>
              <w:t>双玻组件凭借独特优势为高效光伏产品带来稳定收益愈发受市场青睐，双玻组件市场占有率以及市场影响力大幅提升</w:t>
            </w:r>
            <w:r w:rsidR="00AA75AA">
              <w:rPr>
                <w:rFonts w:ascii="宋体" w:hAnsi="宋体" w:hint="eastAsia"/>
                <w:sz w:val="24"/>
              </w:rPr>
              <w:t>。为此，公司建设</w:t>
            </w:r>
            <w:r w:rsidR="00AA75AA">
              <w:rPr>
                <w:rFonts w:ascii="宋体" w:hAnsi="宋体" w:hint="eastAsia"/>
                <w:sz w:val="24"/>
              </w:rPr>
              <w:lastRenderedPageBreak/>
              <w:t>电站的初衷已经达到，同时也获得较好的发电收益，但由于</w:t>
            </w:r>
            <w:r w:rsidR="00AA75AA" w:rsidRPr="00AA75AA">
              <w:rPr>
                <w:rFonts w:ascii="宋体" w:hAnsi="宋体"/>
                <w:sz w:val="24"/>
              </w:rPr>
              <w:t>光伏电站国补资金不能及时到位，对公司的资金压力也日益凸现</w:t>
            </w:r>
            <w:r w:rsidR="00AA75AA">
              <w:rPr>
                <w:rFonts w:ascii="宋体" w:hAnsi="宋体" w:hint="eastAsia"/>
                <w:sz w:val="24"/>
              </w:rPr>
              <w:t>，为此公司调整战略，出售电站资产，</w:t>
            </w:r>
            <w:r w:rsidR="00AA75AA" w:rsidRPr="00AA75AA">
              <w:rPr>
                <w:rFonts w:ascii="宋体" w:hAnsi="宋体"/>
                <w:sz w:val="24"/>
              </w:rPr>
              <w:t>减少债务及带来的现金流回收有利于公司减少财务费用、提高资产流动性。</w:t>
            </w:r>
            <w:r w:rsidR="00AA75AA">
              <w:rPr>
                <w:rFonts w:ascii="宋体" w:hAnsi="宋体" w:hint="eastAsia"/>
                <w:sz w:val="24"/>
              </w:rPr>
              <w:t>截至2019年底，</w:t>
            </w:r>
            <w:r w:rsidR="00AA75AA" w:rsidRPr="00AA75AA">
              <w:rPr>
                <w:rFonts w:ascii="宋体" w:hAnsi="宋体"/>
                <w:sz w:val="24"/>
              </w:rPr>
              <w:t>公司持有并网光伏电站总容量约为189MW</w:t>
            </w:r>
            <w:r w:rsidR="00AA75AA">
              <w:rPr>
                <w:rFonts w:ascii="宋体" w:hAnsi="宋体" w:hint="eastAsia"/>
                <w:sz w:val="24"/>
              </w:rPr>
              <w:t>，随着光伏补贴第八批名录政策的出台，公司已经在积极申报，届时对电站出售带来积极影响。</w:t>
            </w:r>
          </w:p>
          <w:p w:rsidR="00D27B50" w:rsidRDefault="00D27B50" w:rsidP="00D27B50">
            <w:pPr>
              <w:spacing w:line="360" w:lineRule="auto"/>
              <w:rPr>
                <w:rFonts w:ascii="宋体" w:hAnsi="宋体" w:hint="eastAsia"/>
                <w:sz w:val="24"/>
              </w:rPr>
            </w:pPr>
            <w:r>
              <w:rPr>
                <w:rFonts w:ascii="宋体" w:hAnsi="宋体" w:hint="eastAsia"/>
                <w:sz w:val="24"/>
              </w:rPr>
              <w:t>5、</w:t>
            </w:r>
            <w:r w:rsidRPr="00D27B50">
              <w:rPr>
                <w:rFonts w:ascii="宋体" w:hAnsi="宋体" w:hint="eastAsia"/>
                <w:sz w:val="24"/>
              </w:rPr>
              <w:t xml:space="preserve">公司电子消费类显示玻璃目前的定位？目前为什么销售没有放量？ </w:t>
            </w:r>
          </w:p>
          <w:p w:rsidR="00D27B50" w:rsidRDefault="00D27B50" w:rsidP="00D27B50">
            <w:pPr>
              <w:spacing w:line="360" w:lineRule="auto"/>
              <w:rPr>
                <w:rFonts w:ascii="宋体" w:hAnsi="宋体" w:hint="eastAsia"/>
                <w:sz w:val="24"/>
              </w:rPr>
            </w:pPr>
            <w:r w:rsidRPr="00D27B50">
              <w:rPr>
                <w:rFonts w:ascii="宋体" w:hAnsi="宋体" w:hint="eastAsia"/>
                <w:sz w:val="24"/>
              </w:rPr>
              <w:t>答：公司产品定位为超薄大尺寸显示屏玻璃、大尺寸电视机玻璃前后盖板、超大尺寸触控玻璃、导光板玻璃、全贴合产品等。 该产品销售没有放量与原片玻璃供应有关，目前外购的原片价格较贵，然后经过公司精密加工后制成成品，由于原片价格较贵因此产品性价比不高。凤阳窑炉设计是按照光电玻璃原片生产进行配置，通过凤阳公司特有的生产工艺制成的原片与公司精密加工相结合，生产出高品质、高性价比的产品，以满足客户定制化需求。</w:t>
            </w:r>
          </w:p>
          <w:p w:rsidR="00B71DCB" w:rsidRDefault="00B71DCB" w:rsidP="00D27B50">
            <w:pPr>
              <w:spacing w:line="360" w:lineRule="auto"/>
              <w:rPr>
                <w:rFonts w:ascii="宋体" w:hAnsi="宋体" w:hint="eastAsia"/>
                <w:sz w:val="24"/>
              </w:rPr>
            </w:pPr>
            <w:r>
              <w:rPr>
                <w:rFonts w:ascii="宋体" w:hAnsi="宋体" w:hint="eastAsia"/>
                <w:sz w:val="24"/>
              </w:rPr>
              <w:t>6、基于凤阳原片玻璃的稳定供应，公司是否有光伏玻璃产能扩张的计划？</w:t>
            </w:r>
          </w:p>
          <w:p w:rsidR="00B71DCB" w:rsidRPr="00B71DCB" w:rsidRDefault="00B71DCB" w:rsidP="00D27B50">
            <w:pPr>
              <w:spacing w:line="360" w:lineRule="auto"/>
              <w:rPr>
                <w:rFonts w:ascii="宋体" w:hAnsi="宋体" w:hint="eastAsia"/>
                <w:sz w:val="24"/>
              </w:rPr>
            </w:pPr>
            <w:r>
              <w:rPr>
                <w:rFonts w:ascii="宋体" w:hAnsi="宋体" w:hint="eastAsia"/>
                <w:sz w:val="24"/>
              </w:rPr>
              <w:t>答：为了进一步节约包装</w:t>
            </w:r>
            <w:r w:rsidR="004E449C">
              <w:rPr>
                <w:rFonts w:ascii="宋体" w:hAnsi="宋体" w:hint="eastAsia"/>
                <w:sz w:val="24"/>
              </w:rPr>
              <w:t>、</w:t>
            </w:r>
            <w:r>
              <w:rPr>
                <w:rFonts w:ascii="宋体" w:hAnsi="宋体" w:hint="eastAsia"/>
                <w:sz w:val="24"/>
              </w:rPr>
              <w:t>运输成本</w:t>
            </w:r>
            <w:r w:rsidR="004E449C">
              <w:rPr>
                <w:rFonts w:ascii="宋体" w:hAnsi="宋体" w:hint="eastAsia"/>
                <w:sz w:val="24"/>
              </w:rPr>
              <w:t>以及实现光伏玻璃产业链一体化的优势，</w:t>
            </w:r>
            <w:r>
              <w:rPr>
                <w:rFonts w:ascii="宋体" w:hAnsi="宋体" w:hint="eastAsia"/>
                <w:sz w:val="24"/>
              </w:rPr>
              <w:t>公司已经在凤阳公司租用场地建设光伏玻璃的深</w:t>
            </w:r>
            <w:r w:rsidR="004E449C">
              <w:rPr>
                <w:rFonts w:ascii="宋体" w:hAnsi="宋体" w:hint="eastAsia"/>
                <w:sz w:val="24"/>
              </w:rPr>
              <w:t>加工生产线。</w:t>
            </w:r>
          </w:p>
          <w:p w:rsidR="00C753B5" w:rsidRDefault="00B71DCB" w:rsidP="00D27B50">
            <w:pPr>
              <w:spacing w:line="360" w:lineRule="auto"/>
              <w:rPr>
                <w:rFonts w:ascii="宋体" w:hAnsi="宋体" w:hint="eastAsia"/>
                <w:sz w:val="24"/>
              </w:rPr>
            </w:pPr>
            <w:r>
              <w:rPr>
                <w:rFonts w:ascii="宋体" w:hAnsi="宋体" w:hint="eastAsia"/>
                <w:sz w:val="24"/>
              </w:rPr>
              <w:t>7</w:t>
            </w:r>
            <w:r w:rsidR="00C753B5">
              <w:rPr>
                <w:rFonts w:ascii="宋体" w:hAnsi="宋体" w:hint="eastAsia"/>
                <w:sz w:val="24"/>
              </w:rPr>
              <w:t>、</w:t>
            </w:r>
            <w:r>
              <w:rPr>
                <w:rFonts w:ascii="宋体" w:hAnsi="宋体" w:hint="eastAsia"/>
                <w:sz w:val="24"/>
              </w:rPr>
              <w:t>公司预计半年度业绩较去年大幅增长，是基于哪些方面判断？</w:t>
            </w:r>
          </w:p>
          <w:p w:rsidR="00B71DCB" w:rsidRPr="00B71DCB" w:rsidRDefault="00B71DCB" w:rsidP="009F1448">
            <w:pPr>
              <w:spacing w:line="360" w:lineRule="auto"/>
              <w:rPr>
                <w:rFonts w:ascii="宋体" w:hAnsi="宋体" w:hint="eastAsia"/>
                <w:sz w:val="24"/>
              </w:rPr>
            </w:pPr>
            <w:r>
              <w:rPr>
                <w:rFonts w:ascii="宋体" w:hAnsi="宋体" w:hint="eastAsia"/>
                <w:sz w:val="24"/>
              </w:rPr>
              <w:t>答：</w:t>
            </w:r>
            <w:r w:rsidR="004E449C" w:rsidRPr="004E449C">
              <w:rPr>
                <w:rFonts w:ascii="宋体" w:hAnsi="宋体"/>
                <w:sz w:val="24"/>
              </w:rPr>
              <w:t>随着凤阳原材料生产基地顺利投产，长期制约公司发展的原材料供应问题等到解决，公司光伏玻璃的产销量将进一步提升</w:t>
            </w:r>
            <w:r w:rsidR="004E449C">
              <w:rPr>
                <w:rFonts w:ascii="宋体" w:hAnsi="宋体" w:hint="eastAsia"/>
                <w:sz w:val="24"/>
              </w:rPr>
              <w:t>，</w:t>
            </w:r>
            <w:r w:rsidR="00284144">
              <w:rPr>
                <w:rFonts w:ascii="宋体" w:hAnsi="宋体" w:hint="eastAsia"/>
                <w:sz w:val="24"/>
              </w:rPr>
              <w:t>同时，</w:t>
            </w:r>
            <w:r w:rsidR="009F1448">
              <w:rPr>
                <w:rFonts w:ascii="宋体" w:hAnsi="宋体" w:hint="eastAsia"/>
                <w:sz w:val="24"/>
              </w:rPr>
              <w:t>根据组件二季度订单情况，产能利用率将由较大提升，将对公司经营业绩产生积极的影响。</w:t>
            </w:r>
          </w:p>
        </w:tc>
      </w:tr>
      <w:tr w:rsidR="0040307F">
        <w:tblPrEx>
          <w:tblCellMar>
            <w:top w:w="0" w:type="dxa"/>
            <w:bottom w:w="0" w:type="dxa"/>
          </w:tblCellMar>
        </w:tblPrEx>
        <w:trPr>
          <w:trHeight w:val="7780"/>
        </w:trPr>
        <w:tc>
          <w:tcPr>
            <w:tcW w:w="2041" w:type="dxa"/>
          </w:tcPr>
          <w:p w:rsidR="0040307F" w:rsidRPr="004863D5" w:rsidRDefault="0040307F">
            <w:pPr>
              <w:jc w:val="center"/>
              <w:rPr>
                <w:rFonts w:hint="eastAsia"/>
                <w:sz w:val="24"/>
              </w:rPr>
            </w:pPr>
          </w:p>
        </w:tc>
        <w:tc>
          <w:tcPr>
            <w:tcW w:w="6799" w:type="dxa"/>
            <w:vMerge/>
          </w:tcPr>
          <w:p w:rsidR="0040307F" w:rsidRDefault="0040307F">
            <w:pPr>
              <w:jc w:val="center"/>
              <w:rPr>
                <w:rFonts w:hint="eastAsia"/>
                <w:sz w:val="24"/>
              </w:rPr>
            </w:pPr>
          </w:p>
        </w:tc>
      </w:tr>
      <w:tr w:rsidR="0040307F">
        <w:tblPrEx>
          <w:tblCellMar>
            <w:top w:w="0" w:type="dxa"/>
            <w:bottom w:w="0" w:type="dxa"/>
          </w:tblCellMar>
        </w:tblPrEx>
        <w:trPr>
          <w:trHeight w:val="1007"/>
        </w:trPr>
        <w:tc>
          <w:tcPr>
            <w:tcW w:w="2041" w:type="dxa"/>
            <w:vAlign w:val="center"/>
          </w:tcPr>
          <w:p w:rsidR="0040307F" w:rsidRDefault="0040307F">
            <w:pPr>
              <w:rPr>
                <w:rFonts w:hint="eastAsia"/>
                <w:sz w:val="24"/>
              </w:rPr>
            </w:pPr>
            <w:r>
              <w:rPr>
                <w:rFonts w:hint="eastAsia"/>
                <w:b/>
                <w:bCs/>
                <w:sz w:val="24"/>
              </w:rPr>
              <w:lastRenderedPageBreak/>
              <w:t>附件清单（如有）</w:t>
            </w:r>
          </w:p>
        </w:tc>
        <w:tc>
          <w:tcPr>
            <w:tcW w:w="6799" w:type="dxa"/>
            <w:vAlign w:val="center"/>
          </w:tcPr>
          <w:p w:rsidR="0040307F" w:rsidRDefault="0040307F">
            <w:pPr>
              <w:rPr>
                <w:rFonts w:hint="eastAsia"/>
                <w:sz w:val="24"/>
              </w:rPr>
            </w:pPr>
            <w:r>
              <w:rPr>
                <w:rFonts w:hint="eastAsia"/>
                <w:sz w:val="24"/>
              </w:rPr>
              <w:t>无</w:t>
            </w:r>
          </w:p>
        </w:tc>
      </w:tr>
      <w:tr w:rsidR="0040307F">
        <w:tblPrEx>
          <w:tblCellMar>
            <w:top w:w="0" w:type="dxa"/>
            <w:bottom w:w="0" w:type="dxa"/>
          </w:tblCellMar>
        </w:tblPrEx>
        <w:trPr>
          <w:trHeight w:val="1021"/>
        </w:trPr>
        <w:tc>
          <w:tcPr>
            <w:tcW w:w="2041" w:type="dxa"/>
            <w:vAlign w:val="center"/>
          </w:tcPr>
          <w:p w:rsidR="0040307F" w:rsidRDefault="0040307F">
            <w:pPr>
              <w:rPr>
                <w:rFonts w:hint="eastAsia"/>
                <w:sz w:val="24"/>
              </w:rPr>
            </w:pPr>
            <w:r>
              <w:rPr>
                <w:rFonts w:hint="eastAsia"/>
                <w:sz w:val="24"/>
              </w:rPr>
              <w:t>日期</w:t>
            </w:r>
          </w:p>
        </w:tc>
        <w:tc>
          <w:tcPr>
            <w:tcW w:w="6799" w:type="dxa"/>
            <w:vAlign w:val="center"/>
          </w:tcPr>
          <w:p w:rsidR="0040307F" w:rsidRDefault="009F1448" w:rsidP="009F1448">
            <w:pPr>
              <w:rPr>
                <w:rFonts w:hint="eastAsia"/>
                <w:sz w:val="24"/>
              </w:rPr>
            </w:pPr>
            <w:r>
              <w:rPr>
                <w:rFonts w:hint="eastAsia"/>
                <w:sz w:val="24"/>
              </w:rPr>
              <w:t>2020</w:t>
            </w:r>
            <w:r w:rsidR="0040307F">
              <w:rPr>
                <w:rFonts w:hint="eastAsia"/>
                <w:sz w:val="24"/>
              </w:rPr>
              <w:t>年</w:t>
            </w:r>
            <w:r>
              <w:rPr>
                <w:rFonts w:hint="eastAsia"/>
                <w:sz w:val="24"/>
              </w:rPr>
              <w:t>4</w:t>
            </w:r>
            <w:r w:rsidR="0040307F">
              <w:rPr>
                <w:rFonts w:hint="eastAsia"/>
                <w:sz w:val="24"/>
              </w:rPr>
              <w:t>月</w:t>
            </w:r>
            <w:r>
              <w:rPr>
                <w:rFonts w:hint="eastAsia"/>
                <w:sz w:val="24"/>
              </w:rPr>
              <w:t>30</w:t>
            </w:r>
            <w:r w:rsidR="0040307F">
              <w:rPr>
                <w:rFonts w:hint="eastAsia"/>
                <w:sz w:val="24"/>
              </w:rPr>
              <w:t>日</w:t>
            </w:r>
          </w:p>
        </w:tc>
      </w:tr>
    </w:tbl>
    <w:p w:rsidR="0040307F" w:rsidRDefault="0040307F">
      <w:pPr>
        <w:spacing w:line="360" w:lineRule="auto"/>
        <w:ind w:firstLineChars="175" w:firstLine="420"/>
        <w:rPr>
          <w:rFonts w:hint="eastAsia"/>
          <w:sz w:val="24"/>
        </w:rPr>
      </w:pPr>
    </w:p>
    <w:p w:rsidR="0040307F" w:rsidRDefault="0040307F">
      <w:pPr>
        <w:rPr>
          <w:rFonts w:hint="eastAsia"/>
        </w:rPr>
      </w:pPr>
    </w:p>
    <w:sectPr w:rsidR="0040307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E47" w:rsidRDefault="00957E47" w:rsidP="001341E8">
      <w:r>
        <w:separator/>
      </w:r>
    </w:p>
  </w:endnote>
  <w:endnote w:type="continuationSeparator" w:id="1">
    <w:p w:rsidR="00957E47" w:rsidRDefault="00957E47" w:rsidP="00134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E47" w:rsidRDefault="00957E47" w:rsidP="001341E8">
      <w:r>
        <w:separator/>
      </w:r>
    </w:p>
  </w:footnote>
  <w:footnote w:type="continuationSeparator" w:id="1">
    <w:p w:rsidR="00957E47" w:rsidRDefault="00957E47" w:rsidP="00134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abstractNum w:abstractNumId="1">
    <w:nsid w:val="0000000B"/>
    <w:multiLevelType w:val="singleLevel"/>
    <w:tmpl w:val="0000000B"/>
    <w:lvl w:ilvl="0">
      <w:start w:val="1"/>
      <w:numFmt w:val="chineseCounting"/>
      <w:suff w:val="nothing"/>
      <w:lvlText w:val="%1、"/>
      <w:lvlJc w:val="left"/>
    </w:lvl>
  </w:abstractNum>
  <w:abstractNum w:abstractNumId="2">
    <w:nsid w:val="014D1AF9"/>
    <w:multiLevelType w:val="hybridMultilevel"/>
    <w:tmpl w:val="0F2C550A"/>
    <w:lvl w:ilvl="0" w:tplc="E230F56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F84980"/>
    <w:multiLevelType w:val="hybridMultilevel"/>
    <w:tmpl w:val="D2F0ED88"/>
    <w:lvl w:ilvl="0" w:tplc="26F011B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F3C"/>
    <w:rsid w:val="001341E8"/>
    <w:rsid w:val="001B2A83"/>
    <w:rsid w:val="001E2B2B"/>
    <w:rsid w:val="00284144"/>
    <w:rsid w:val="002A7D7D"/>
    <w:rsid w:val="003534DC"/>
    <w:rsid w:val="0040307F"/>
    <w:rsid w:val="00417E2C"/>
    <w:rsid w:val="004863D5"/>
    <w:rsid w:val="004B0DE5"/>
    <w:rsid w:val="004E449C"/>
    <w:rsid w:val="004E5ABE"/>
    <w:rsid w:val="00565704"/>
    <w:rsid w:val="00573583"/>
    <w:rsid w:val="00672186"/>
    <w:rsid w:val="00805E15"/>
    <w:rsid w:val="008233A4"/>
    <w:rsid w:val="00957E47"/>
    <w:rsid w:val="009F1448"/>
    <w:rsid w:val="00AA75AA"/>
    <w:rsid w:val="00B71DCB"/>
    <w:rsid w:val="00C07DC2"/>
    <w:rsid w:val="00C753B5"/>
    <w:rsid w:val="00C919A4"/>
    <w:rsid w:val="00CA4FC1"/>
    <w:rsid w:val="00D212A4"/>
    <w:rsid w:val="00D27B50"/>
    <w:rsid w:val="00E305AA"/>
    <w:rsid w:val="00E323E0"/>
    <w:rsid w:val="00E652ED"/>
    <w:rsid w:val="00E83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divs>
    <w:div w:id="15886634">
      <w:bodyDiv w:val="1"/>
      <w:marLeft w:val="0"/>
      <w:marRight w:val="0"/>
      <w:marTop w:val="0"/>
      <w:marBottom w:val="0"/>
      <w:divBdr>
        <w:top w:val="none" w:sz="0" w:space="0" w:color="auto"/>
        <w:left w:val="none" w:sz="0" w:space="0" w:color="auto"/>
        <w:bottom w:val="none" w:sz="0" w:space="0" w:color="auto"/>
        <w:right w:val="none" w:sz="0" w:space="0" w:color="auto"/>
      </w:divBdr>
    </w:div>
    <w:div w:id="71004574">
      <w:bodyDiv w:val="1"/>
      <w:marLeft w:val="0"/>
      <w:marRight w:val="0"/>
      <w:marTop w:val="0"/>
      <w:marBottom w:val="0"/>
      <w:divBdr>
        <w:top w:val="none" w:sz="0" w:space="0" w:color="auto"/>
        <w:left w:val="none" w:sz="0" w:space="0" w:color="auto"/>
        <w:bottom w:val="none" w:sz="0" w:space="0" w:color="auto"/>
        <w:right w:val="none" w:sz="0" w:space="0" w:color="auto"/>
      </w:divBdr>
    </w:div>
    <w:div w:id="119303861">
      <w:bodyDiv w:val="1"/>
      <w:marLeft w:val="0"/>
      <w:marRight w:val="0"/>
      <w:marTop w:val="0"/>
      <w:marBottom w:val="0"/>
      <w:divBdr>
        <w:top w:val="none" w:sz="0" w:space="0" w:color="auto"/>
        <w:left w:val="none" w:sz="0" w:space="0" w:color="auto"/>
        <w:bottom w:val="none" w:sz="0" w:space="0" w:color="auto"/>
        <w:right w:val="none" w:sz="0" w:space="0" w:color="auto"/>
      </w:divBdr>
    </w:div>
    <w:div w:id="200630559">
      <w:bodyDiv w:val="1"/>
      <w:marLeft w:val="0"/>
      <w:marRight w:val="0"/>
      <w:marTop w:val="0"/>
      <w:marBottom w:val="0"/>
      <w:divBdr>
        <w:top w:val="none" w:sz="0" w:space="0" w:color="auto"/>
        <w:left w:val="none" w:sz="0" w:space="0" w:color="auto"/>
        <w:bottom w:val="none" w:sz="0" w:space="0" w:color="auto"/>
        <w:right w:val="none" w:sz="0" w:space="0" w:color="auto"/>
      </w:divBdr>
    </w:div>
    <w:div w:id="251865525">
      <w:bodyDiv w:val="1"/>
      <w:marLeft w:val="0"/>
      <w:marRight w:val="0"/>
      <w:marTop w:val="0"/>
      <w:marBottom w:val="0"/>
      <w:divBdr>
        <w:top w:val="none" w:sz="0" w:space="0" w:color="auto"/>
        <w:left w:val="none" w:sz="0" w:space="0" w:color="auto"/>
        <w:bottom w:val="none" w:sz="0" w:space="0" w:color="auto"/>
        <w:right w:val="none" w:sz="0" w:space="0" w:color="auto"/>
      </w:divBdr>
    </w:div>
    <w:div w:id="288165462">
      <w:bodyDiv w:val="1"/>
      <w:marLeft w:val="0"/>
      <w:marRight w:val="0"/>
      <w:marTop w:val="0"/>
      <w:marBottom w:val="0"/>
      <w:divBdr>
        <w:top w:val="none" w:sz="0" w:space="0" w:color="auto"/>
        <w:left w:val="none" w:sz="0" w:space="0" w:color="auto"/>
        <w:bottom w:val="none" w:sz="0" w:space="0" w:color="auto"/>
        <w:right w:val="none" w:sz="0" w:space="0" w:color="auto"/>
      </w:divBdr>
    </w:div>
    <w:div w:id="313610806">
      <w:bodyDiv w:val="1"/>
      <w:marLeft w:val="0"/>
      <w:marRight w:val="0"/>
      <w:marTop w:val="0"/>
      <w:marBottom w:val="0"/>
      <w:divBdr>
        <w:top w:val="none" w:sz="0" w:space="0" w:color="auto"/>
        <w:left w:val="none" w:sz="0" w:space="0" w:color="auto"/>
        <w:bottom w:val="none" w:sz="0" w:space="0" w:color="auto"/>
        <w:right w:val="none" w:sz="0" w:space="0" w:color="auto"/>
      </w:divBdr>
    </w:div>
    <w:div w:id="436406939">
      <w:bodyDiv w:val="1"/>
      <w:marLeft w:val="0"/>
      <w:marRight w:val="0"/>
      <w:marTop w:val="0"/>
      <w:marBottom w:val="0"/>
      <w:divBdr>
        <w:top w:val="none" w:sz="0" w:space="0" w:color="auto"/>
        <w:left w:val="none" w:sz="0" w:space="0" w:color="auto"/>
        <w:bottom w:val="none" w:sz="0" w:space="0" w:color="auto"/>
        <w:right w:val="none" w:sz="0" w:space="0" w:color="auto"/>
      </w:divBdr>
    </w:div>
    <w:div w:id="450973491">
      <w:bodyDiv w:val="1"/>
      <w:marLeft w:val="0"/>
      <w:marRight w:val="0"/>
      <w:marTop w:val="0"/>
      <w:marBottom w:val="0"/>
      <w:divBdr>
        <w:top w:val="none" w:sz="0" w:space="0" w:color="auto"/>
        <w:left w:val="none" w:sz="0" w:space="0" w:color="auto"/>
        <w:bottom w:val="none" w:sz="0" w:space="0" w:color="auto"/>
        <w:right w:val="none" w:sz="0" w:space="0" w:color="auto"/>
      </w:divBdr>
    </w:div>
    <w:div w:id="468330708">
      <w:bodyDiv w:val="1"/>
      <w:marLeft w:val="0"/>
      <w:marRight w:val="0"/>
      <w:marTop w:val="0"/>
      <w:marBottom w:val="0"/>
      <w:divBdr>
        <w:top w:val="none" w:sz="0" w:space="0" w:color="auto"/>
        <w:left w:val="none" w:sz="0" w:space="0" w:color="auto"/>
        <w:bottom w:val="none" w:sz="0" w:space="0" w:color="auto"/>
        <w:right w:val="none" w:sz="0" w:space="0" w:color="auto"/>
      </w:divBdr>
    </w:div>
    <w:div w:id="558709285">
      <w:bodyDiv w:val="1"/>
      <w:marLeft w:val="0"/>
      <w:marRight w:val="0"/>
      <w:marTop w:val="0"/>
      <w:marBottom w:val="0"/>
      <w:divBdr>
        <w:top w:val="none" w:sz="0" w:space="0" w:color="auto"/>
        <w:left w:val="none" w:sz="0" w:space="0" w:color="auto"/>
        <w:bottom w:val="none" w:sz="0" w:space="0" w:color="auto"/>
        <w:right w:val="none" w:sz="0" w:space="0" w:color="auto"/>
      </w:divBdr>
    </w:div>
    <w:div w:id="596520771">
      <w:bodyDiv w:val="1"/>
      <w:marLeft w:val="0"/>
      <w:marRight w:val="0"/>
      <w:marTop w:val="0"/>
      <w:marBottom w:val="0"/>
      <w:divBdr>
        <w:top w:val="none" w:sz="0" w:space="0" w:color="auto"/>
        <w:left w:val="none" w:sz="0" w:space="0" w:color="auto"/>
        <w:bottom w:val="none" w:sz="0" w:space="0" w:color="auto"/>
        <w:right w:val="none" w:sz="0" w:space="0" w:color="auto"/>
      </w:divBdr>
    </w:div>
    <w:div w:id="607660755">
      <w:bodyDiv w:val="1"/>
      <w:marLeft w:val="0"/>
      <w:marRight w:val="0"/>
      <w:marTop w:val="0"/>
      <w:marBottom w:val="0"/>
      <w:divBdr>
        <w:top w:val="none" w:sz="0" w:space="0" w:color="auto"/>
        <w:left w:val="none" w:sz="0" w:space="0" w:color="auto"/>
        <w:bottom w:val="none" w:sz="0" w:space="0" w:color="auto"/>
        <w:right w:val="none" w:sz="0" w:space="0" w:color="auto"/>
      </w:divBdr>
    </w:div>
    <w:div w:id="750274247">
      <w:bodyDiv w:val="1"/>
      <w:marLeft w:val="0"/>
      <w:marRight w:val="0"/>
      <w:marTop w:val="0"/>
      <w:marBottom w:val="0"/>
      <w:divBdr>
        <w:top w:val="none" w:sz="0" w:space="0" w:color="auto"/>
        <w:left w:val="none" w:sz="0" w:space="0" w:color="auto"/>
        <w:bottom w:val="none" w:sz="0" w:space="0" w:color="auto"/>
        <w:right w:val="none" w:sz="0" w:space="0" w:color="auto"/>
      </w:divBdr>
    </w:div>
    <w:div w:id="769201805">
      <w:bodyDiv w:val="1"/>
      <w:marLeft w:val="0"/>
      <w:marRight w:val="0"/>
      <w:marTop w:val="0"/>
      <w:marBottom w:val="0"/>
      <w:divBdr>
        <w:top w:val="none" w:sz="0" w:space="0" w:color="auto"/>
        <w:left w:val="none" w:sz="0" w:space="0" w:color="auto"/>
        <w:bottom w:val="none" w:sz="0" w:space="0" w:color="auto"/>
        <w:right w:val="none" w:sz="0" w:space="0" w:color="auto"/>
      </w:divBdr>
    </w:div>
    <w:div w:id="774905619">
      <w:bodyDiv w:val="1"/>
      <w:marLeft w:val="0"/>
      <w:marRight w:val="0"/>
      <w:marTop w:val="0"/>
      <w:marBottom w:val="0"/>
      <w:divBdr>
        <w:top w:val="none" w:sz="0" w:space="0" w:color="auto"/>
        <w:left w:val="none" w:sz="0" w:space="0" w:color="auto"/>
        <w:bottom w:val="none" w:sz="0" w:space="0" w:color="auto"/>
        <w:right w:val="none" w:sz="0" w:space="0" w:color="auto"/>
      </w:divBdr>
    </w:div>
    <w:div w:id="813840613">
      <w:bodyDiv w:val="1"/>
      <w:marLeft w:val="0"/>
      <w:marRight w:val="0"/>
      <w:marTop w:val="0"/>
      <w:marBottom w:val="0"/>
      <w:divBdr>
        <w:top w:val="none" w:sz="0" w:space="0" w:color="auto"/>
        <w:left w:val="none" w:sz="0" w:space="0" w:color="auto"/>
        <w:bottom w:val="none" w:sz="0" w:space="0" w:color="auto"/>
        <w:right w:val="none" w:sz="0" w:space="0" w:color="auto"/>
      </w:divBdr>
    </w:div>
    <w:div w:id="869685448">
      <w:bodyDiv w:val="1"/>
      <w:marLeft w:val="0"/>
      <w:marRight w:val="0"/>
      <w:marTop w:val="0"/>
      <w:marBottom w:val="0"/>
      <w:divBdr>
        <w:top w:val="none" w:sz="0" w:space="0" w:color="auto"/>
        <w:left w:val="none" w:sz="0" w:space="0" w:color="auto"/>
        <w:bottom w:val="none" w:sz="0" w:space="0" w:color="auto"/>
        <w:right w:val="none" w:sz="0" w:space="0" w:color="auto"/>
      </w:divBdr>
    </w:div>
    <w:div w:id="908001754">
      <w:bodyDiv w:val="1"/>
      <w:marLeft w:val="0"/>
      <w:marRight w:val="0"/>
      <w:marTop w:val="0"/>
      <w:marBottom w:val="0"/>
      <w:divBdr>
        <w:top w:val="none" w:sz="0" w:space="0" w:color="auto"/>
        <w:left w:val="none" w:sz="0" w:space="0" w:color="auto"/>
        <w:bottom w:val="none" w:sz="0" w:space="0" w:color="auto"/>
        <w:right w:val="none" w:sz="0" w:space="0" w:color="auto"/>
      </w:divBdr>
    </w:div>
    <w:div w:id="919019212">
      <w:bodyDiv w:val="1"/>
      <w:marLeft w:val="0"/>
      <w:marRight w:val="0"/>
      <w:marTop w:val="0"/>
      <w:marBottom w:val="0"/>
      <w:divBdr>
        <w:top w:val="none" w:sz="0" w:space="0" w:color="auto"/>
        <w:left w:val="none" w:sz="0" w:space="0" w:color="auto"/>
        <w:bottom w:val="none" w:sz="0" w:space="0" w:color="auto"/>
        <w:right w:val="none" w:sz="0" w:space="0" w:color="auto"/>
      </w:divBdr>
    </w:div>
    <w:div w:id="954563067">
      <w:bodyDiv w:val="1"/>
      <w:marLeft w:val="0"/>
      <w:marRight w:val="0"/>
      <w:marTop w:val="0"/>
      <w:marBottom w:val="0"/>
      <w:divBdr>
        <w:top w:val="none" w:sz="0" w:space="0" w:color="auto"/>
        <w:left w:val="none" w:sz="0" w:space="0" w:color="auto"/>
        <w:bottom w:val="none" w:sz="0" w:space="0" w:color="auto"/>
        <w:right w:val="none" w:sz="0" w:space="0" w:color="auto"/>
      </w:divBdr>
    </w:div>
    <w:div w:id="1016543624">
      <w:bodyDiv w:val="1"/>
      <w:marLeft w:val="0"/>
      <w:marRight w:val="0"/>
      <w:marTop w:val="0"/>
      <w:marBottom w:val="0"/>
      <w:divBdr>
        <w:top w:val="none" w:sz="0" w:space="0" w:color="auto"/>
        <w:left w:val="none" w:sz="0" w:space="0" w:color="auto"/>
        <w:bottom w:val="none" w:sz="0" w:space="0" w:color="auto"/>
        <w:right w:val="none" w:sz="0" w:space="0" w:color="auto"/>
      </w:divBdr>
    </w:div>
    <w:div w:id="1049260374">
      <w:bodyDiv w:val="1"/>
      <w:marLeft w:val="0"/>
      <w:marRight w:val="0"/>
      <w:marTop w:val="0"/>
      <w:marBottom w:val="0"/>
      <w:divBdr>
        <w:top w:val="none" w:sz="0" w:space="0" w:color="auto"/>
        <w:left w:val="none" w:sz="0" w:space="0" w:color="auto"/>
        <w:bottom w:val="none" w:sz="0" w:space="0" w:color="auto"/>
        <w:right w:val="none" w:sz="0" w:space="0" w:color="auto"/>
      </w:divBdr>
    </w:div>
    <w:div w:id="1080492187">
      <w:bodyDiv w:val="1"/>
      <w:marLeft w:val="0"/>
      <w:marRight w:val="0"/>
      <w:marTop w:val="0"/>
      <w:marBottom w:val="0"/>
      <w:divBdr>
        <w:top w:val="none" w:sz="0" w:space="0" w:color="auto"/>
        <w:left w:val="none" w:sz="0" w:space="0" w:color="auto"/>
        <w:bottom w:val="none" w:sz="0" w:space="0" w:color="auto"/>
        <w:right w:val="none" w:sz="0" w:space="0" w:color="auto"/>
      </w:divBdr>
    </w:div>
    <w:div w:id="1184828224">
      <w:bodyDiv w:val="1"/>
      <w:marLeft w:val="0"/>
      <w:marRight w:val="0"/>
      <w:marTop w:val="0"/>
      <w:marBottom w:val="0"/>
      <w:divBdr>
        <w:top w:val="none" w:sz="0" w:space="0" w:color="auto"/>
        <w:left w:val="none" w:sz="0" w:space="0" w:color="auto"/>
        <w:bottom w:val="none" w:sz="0" w:space="0" w:color="auto"/>
        <w:right w:val="none" w:sz="0" w:space="0" w:color="auto"/>
      </w:divBdr>
    </w:div>
    <w:div w:id="1202673679">
      <w:bodyDiv w:val="1"/>
      <w:marLeft w:val="0"/>
      <w:marRight w:val="0"/>
      <w:marTop w:val="0"/>
      <w:marBottom w:val="0"/>
      <w:divBdr>
        <w:top w:val="none" w:sz="0" w:space="0" w:color="auto"/>
        <w:left w:val="none" w:sz="0" w:space="0" w:color="auto"/>
        <w:bottom w:val="none" w:sz="0" w:space="0" w:color="auto"/>
        <w:right w:val="none" w:sz="0" w:space="0" w:color="auto"/>
      </w:divBdr>
    </w:div>
    <w:div w:id="1264338966">
      <w:bodyDiv w:val="1"/>
      <w:marLeft w:val="0"/>
      <w:marRight w:val="0"/>
      <w:marTop w:val="0"/>
      <w:marBottom w:val="0"/>
      <w:divBdr>
        <w:top w:val="none" w:sz="0" w:space="0" w:color="auto"/>
        <w:left w:val="none" w:sz="0" w:space="0" w:color="auto"/>
        <w:bottom w:val="none" w:sz="0" w:space="0" w:color="auto"/>
        <w:right w:val="none" w:sz="0" w:space="0" w:color="auto"/>
      </w:divBdr>
    </w:div>
    <w:div w:id="1294023295">
      <w:bodyDiv w:val="1"/>
      <w:marLeft w:val="0"/>
      <w:marRight w:val="0"/>
      <w:marTop w:val="0"/>
      <w:marBottom w:val="0"/>
      <w:divBdr>
        <w:top w:val="none" w:sz="0" w:space="0" w:color="auto"/>
        <w:left w:val="none" w:sz="0" w:space="0" w:color="auto"/>
        <w:bottom w:val="none" w:sz="0" w:space="0" w:color="auto"/>
        <w:right w:val="none" w:sz="0" w:space="0" w:color="auto"/>
      </w:divBdr>
    </w:div>
    <w:div w:id="1351881711">
      <w:bodyDiv w:val="1"/>
      <w:marLeft w:val="0"/>
      <w:marRight w:val="0"/>
      <w:marTop w:val="0"/>
      <w:marBottom w:val="0"/>
      <w:divBdr>
        <w:top w:val="none" w:sz="0" w:space="0" w:color="auto"/>
        <w:left w:val="none" w:sz="0" w:space="0" w:color="auto"/>
        <w:bottom w:val="none" w:sz="0" w:space="0" w:color="auto"/>
        <w:right w:val="none" w:sz="0" w:space="0" w:color="auto"/>
      </w:divBdr>
    </w:div>
    <w:div w:id="1381397110">
      <w:bodyDiv w:val="1"/>
      <w:marLeft w:val="0"/>
      <w:marRight w:val="0"/>
      <w:marTop w:val="0"/>
      <w:marBottom w:val="0"/>
      <w:divBdr>
        <w:top w:val="none" w:sz="0" w:space="0" w:color="auto"/>
        <w:left w:val="none" w:sz="0" w:space="0" w:color="auto"/>
        <w:bottom w:val="none" w:sz="0" w:space="0" w:color="auto"/>
        <w:right w:val="none" w:sz="0" w:space="0" w:color="auto"/>
      </w:divBdr>
    </w:div>
    <w:div w:id="1412510748">
      <w:bodyDiv w:val="1"/>
      <w:marLeft w:val="0"/>
      <w:marRight w:val="0"/>
      <w:marTop w:val="0"/>
      <w:marBottom w:val="0"/>
      <w:divBdr>
        <w:top w:val="none" w:sz="0" w:space="0" w:color="auto"/>
        <w:left w:val="none" w:sz="0" w:space="0" w:color="auto"/>
        <w:bottom w:val="none" w:sz="0" w:space="0" w:color="auto"/>
        <w:right w:val="none" w:sz="0" w:space="0" w:color="auto"/>
      </w:divBdr>
    </w:div>
    <w:div w:id="1466268369">
      <w:bodyDiv w:val="1"/>
      <w:marLeft w:val="0"/>
      <w:marRight w:val="0"/>
      <w:marTop w:val="0"/>
      <w:marBottom w:val="0"/>
      <w:divBdr>
        <w:top w:val="none" w:sz="0" w:space="0" w:color="auto"/>
        <w:left w:val="none" w:sz="0" w:space="0" w:color="auto"/>
        <w:bottom w:val="none" w:sz="0" w:space="0" w:color="auto"/>
        <w:right w:val="none" w:sz="0" w:space="0" w:color="auto"/>
      </w:divBdr>
    </w:div>
    <w:div w:id="1528639219">
      <w:bodyDiv w:val="1"/>
      <w:marLeft w:val="0"/>
      <w:marRight w:val="0"/>
      <w:marTop w:val="0"/>
      <w:marBottom w:val="0"/>
      <w:divBdr>
        <w:top w:val="none" w:sz="0" w:space="0" w:color="auto"/>
        <w:left w:val="none" w:sz="0" w:space="0" w:color="auto"/>
        <w:bottom w:val="none" w:sz="0" w:space="0" w:color="auto"/>
        <w:right w:val="none" w:sz="0" w:space="0" w:color="auto"/>
      </w:divBdr>
    </w:div>
    <w:div w:id="1571578453">
      <w:bodyDiv w:val="1"/>
      <w:marLeft w:val="0"/>
      <w:marRight w:val="0"/>
      <w:marTop w:val="0"/>
      <w:marBottom w:val="0"/>
      <w:divBdr>
        <w:top w:val="none" w:sz="0" w:space="0" w:color="auto"/>
        <w:left w:val="none" w:sz="0" w:space="0" w:color="auto"/>
        <w:bottom w:val="none" w:sz="0" w:space="0" w:color="auto"/>
        <w:right w:val="none" w:sz="0" w:space="0" w:color="auto"/>
      </w:divBdr>
    </w:div>
    <w:div w:id="1583636675">
      <w:bodyDiv w:val="1"/>
      <w:marLeft w:val="0"/>
      <w:marRight w:val="0"/>
      <w:marTop w:val="0"/>
      <w:marBottom w:val="0"/>
      <w:divBdr>
        <w:top w:val="none" w:sz="0" w:space="0" w:color="auto"/>
        <w:left w:val="none" w:sz="0" w:space="0" w:color="auto"/>
        <w:bottom w:val="none" w:sz="0" w:space="0" w:color="auto"/>
        <w:right w:val="none" w:sz="0" w:space="0" w:color="auto"/>
      </w:divBdr>
    </w:div>
    <w:div w:id="1603100067">
      <w:bodyDiv w:val="1"/>
      <w:marLeft w:val="0"/>
      <w:marRight w:val="0"/>
      <w:marTop w:val="0"/>
      <w:marBottom w:val="0"/>
      <w:divBdr>
        <w:top w:val="none" w:sz="0" w:space="0" w:color="auto"/>
        <w:left w:val="none" w:sz="0" w:space="0" w:color="auto"/>
        <w:bottom w:val="none" w:sz="0" w:space="0" w:color="auto"/>
        <w:right w:val="none" w:sz="0" w:space="0" w:color="auto"/>
      </w:divBdr>
    </w:div>
    <w:div w:id="1628732504">
      <w:bodyDiv w:val="1"/>
      <w:marLeft w:val="0"/>
      <w:marRight w:val="0"/>
      <w:marTop w:val="0"/>
      <w:marBottom w:val="0"/>
      <w:divBdr>
        <w:top w:val="none" w:sz="0" w:space="0" w:color="auto"/>
        <w:left w:val="none" w:sz="0" w:space="0" w:color="auto"/>
        <w:bottom w:val="none" w:sz="0" w:space="0" w:color="auto"/>
        <w:right w:val="none" w:sz="0" w:space="0" w:color="auto"/>
      </w:divBdr>
    </w:div>
    <w:div w:id="1678654289">
      <w:bodyDiv w:val="1"/>
      <w:marLeft w:val="0"/>
      <w:marRight w:val="0"/>
      <w:marTop w:val="0"/>
      <w:marBottom w:val="0"/>
      <w:divBdr>
        <w:top w:val="none" w:sz="0" w:space="0" w:color="auto"/>
        <w:left w:val="none" w:sz="0" w:space="0" w:color="auto"/>
        <w:bottom w:val="none" w:sz="0" w:space="0" w:color="auto"/>
        <w:right w:val="none" w:sz="0" w:space="0" w:color="auto"/>
      </w:divBdr>
    </w:div>
    <w:div w:id="1727796315">
      <w:bodyDiv w:val="1"/>
      <w:marLeft w:val="0"/>
      <w:marRight w:val="0"/>
      <w:marTop w:val="0"/>
      <w:marBottom w:val="0"/>
      <w:divBdr>
        <w:top w:val="none" w:sz="0" w:space="0" w:color="auto"/>
        <w:left w:val="none" w:sz="0" w:space="0" w:color="auto"/>
        <w:bottom w:val="none" w:sz="0" w:space="0" w:color="auto"/>
        <w:right w:val="none" w:sz="0" w:space="0" w:color="auto"/>
      </w:divBdr>
    </w:div>
    <w:div w:id="1753770038">
      <w:bodyDiv w:val="1"/>
      <w:marLeft w:val="0"/>
      <w:marRight w:val="0"/>
      <w:marTop w:val="0"/>
      <w:marBottom w:val="0"/>
      <w:divBdr>
        <w:top w:val="none" w:sz="0" w:space="0" w:color="auto"/>
        <w:left w:val="none" w:sz="0" w:space="0" w:color="auto"/>
        <w:bottom w:val="none" w:sz="0" w:space="0" w:color="auto"/>
        <w:right w:val="none" w:sz="0" w:space="0" w:color="auto"/>
      </w:divBdr>
    </w:div>
    <w:div w:id="1902475895">
      <w:bodyDiv w:val="1"/>
      <w:marLeft w:val="0"/>
      <w:marRight w:val="0"/>
      <w:marTop w:val="0"/>
      <w:marBottom w:val="0"/>
      <w:divBdr>
        <w:top w:val="none" w:sz="0" w:space="0" w:color="auto"/>
        <w:left w:val="none" w:sz="0" w:space="0" w:color="auto"/>
        <w:bottom w:val="none" w:sz="0" w:space="0" w:color="auto"/>
        <w:right w:val="none" w:sz="0" w:space="0" w:color="auto"/>
      </w:divBdr>
    </w:div>
    <w:div w:id="1985960826">
      <w:bodyDiv w:val="1"/>
      <w:marLeft w:val="0"/>
      <w:marRight w:val="0"/>
      <w:marTop w:val="0"/>
      <w:marBottom w:val="0"/>
      <w:divBdr>
        <w:top w:val="none" w:sz="0" w:space="0" w:color="auto"/>
        <w:left w:val="none" w:sz="0" w:space="0" w:color="auto"/>
        <w:bottom w:val="none" w:sz="0" w:space="0" w:color="auto"/>
        <w:right w:val="none" w:sz="0" w:space="0" w:color="auto"/>
      </w:divBdr>
    </w:div>
    <w:div w:id="2110657553">
      <w:bodyDiv w:val="1"/>
      <w:marLeft w:val="0"/>
      <w:marRight w:val="0"/>
      <w:marTop w:val="0"/>
      <w:marBottom w:val="0"/>
      <w:divBdr>
        <w:top w:val="none" w:sz="0" w:space="0" w:color="auto"/>
        <w:left w:val="none" w:sz="0" w:space="0" w:color="auto"/>
        <w:bottom w:val="none" w:sz="0" w:space="0" w:color="auto"/>
        <w:right w:val="none" w:sz="0" w:space="0" w:color="auto"/>
      </w:divBdr>
    </w:div>
    <w:div w:id="21393734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352</TotalTime>
  <Pages>4</Pages>
  <Words>309</Words>
  <Characters>1765</Characters>
  <Application>Microsoft Office Word</Application>
  <DocSecurity>0</DocSecurity>
  <PresentationFormat/>
  <Lines>14</Lines>
  <Paragraphs>4</Paragraphs>
  <Slides>0</Slides>
  <Notes>0</Notes>
  <HiddenSlides>0</HiddenSlides>
  <MMClips>0</MMClips>
  <ScaleCrop>false</ScaleCrop>
  <Company>China</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证券代码：002623                                              证券简称：亚玛顿</dc:title>
  <dc:creator>hang</dc:creator>
  <cp:lastModifiedBy>User</cp:lastModifiedBy>
  <cp:revision>2</cp:revision>
  <dcterms:created xsi:type="dcterms:W3CDTF">2012-12-21T07:11:00Z</dcterms:created>
  <dcterms:modified xsi:type="dcterms:W3CDTF">2020-04-30T09:06:00Z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