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证券代码：300679                                 证券简称：电连技术</w:t>
      </w:r>
    </w:p>
    <w:p>
      <w:pPr>
        <w:spacing w:before="156" w:beforeLines="50" w:after="156" w:afterLines="50" w:line="400" w:lineRule="exact"/>
        <w:jc w:val="center"/>
        <w:rPr>
          <w:rFonts w:ascii="宋体" w:hAnsi="宋体"/>
          <w:b/>
          <w:bCs/>
          <w:iCs/>
          <w:color w:val="000000"/>
          <w:sz w:val="32"/>
          <w:szCs w:val="32"/>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电连技术股份有限公司投资者关系活动记录表</w:t>
      </w:r>
    </w:p>
    <w:p>
      <w:pPr>
        <w:spacing w:before="156" w:beforeLines="50" w:after="156" w:afterLines="50" w:line="400" w:lineRule="exact"/>
        <w:jc w:val="center"/>
        <w:rPr>
          <w:rFonts w:ascii="宋体" w:hAnsi="宋体"/>
          <w:b/>
          <w:bCs/>
          <w:iCs/>
          <w:color w:val="000000"/>
          <w:sz w:val="32"/>
          <w:szCs w:val="32"/>
        </w:rPr>
      </w:pPr>
    </w:p>
    <w:p>
      <w:pPr>
        <w:spacing w:line="400" w:lineRule="exact"/>
        <w:ind w:firstLine="480"/>
        <w:rPr>
          <w:rFonts w:ascii="宋体" w:hAnsi="宋体"/>
          <w:bCs/>
          <w:iCs/>
          <w:color w:val="000000"/>
          <w:sz w:val="24"/>
        </w:rPr>
      </w:pPr>
      <w:r>
        <w:rPr>
          <w:rFonts w:hint="eastAsia" w:ascii="宋体" w:hAnsi="宋体"/>
          <w:bCs/>
          <w:iCs/>
          <w:color w:val="000000"/>
          <w:sz w:val="24"/>
        </w:rPr>
        <w:t xml:space="preserve">                                             </w:t>
      </w:r>
      <w:r>
        <w:rPr>
          <w:rFonts w:hint="eastAsia" w:ascii="宋体" w:hAnsi="宋体"/>
          <w:kern w:val="0"/>
          <w:sz w:val="24"/>
          <w:szCs w:val="28"/>
        </w:rPr>
        <w:t xml:space="preserve"> </w:t>
      </w:r>
      <w:r>
        <w:rPr>
          <w:rFonts w:ascii="宋体" w:hAnsi="宋体"/>
          <w:kern w:val="0"/>
          <w:sz w:val="24"/>
          <w:szCs w:val="28"/>
        </w:rPr>
        <w:t xml:space="preserve"> </w:t>
      </w:r>
      <w:r>
        <w:rPr>
          <w:rFonts w:hint="eastAsia" w:ascii="宋体" w:hAnsi="宋体"/>
          <w:kern w:val="0"/>
          <w:sz w:val="24"/>
          <w:szCs w:val="28"/>
        </w:rPr>
        <w:t>编号：2020-001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投资者关系活动类别</w:t>
            </w:r>
          </w:p>
          <w:p>
            <w:pPr>
              <w:spacing w:line="480" w:lineRule="atLeast"/>
              <w:jc w:val="center"/>
              <w:rPr>
                <w:rFonts w:ascii="宋体" w:hAnsi="宋体"/>
                <w:b/>
                <w:bCs/>
                <w:iCs/>
                <w:color w:val="000000"/>
                <w:kern w:val="0"/>
                <w:sz w:val="24"/>
              </w:rPr>
            </w:pPr>
          </w:p>
        </w:tc>
        <w:tc>
          <w:tcPr>
            <w:tcW w:w="6614" w:type="dxa"/>
          </w:tcPr>
          <w:p>
            <w:pPr>
              <w:spacing w:line="480" w:lineRule="atLeast"/>
              <w:rPr>
                <w:rFonts w:ascii="宋体" w:hAnsi="宋体"/>
                <w:bCs/>
                <w:iCs/>
                <w:color w:val="000000"/>
                <w:kern w:val="0"/>
                <w:sz w:val="22"/>
              </w:rPr>
            </w:pPr>
            <w:r>
              <w:rPr>
                <w:rFonts w:hint="eastAsia" w:ascii="MS Mincho" w:hAnsi="MS Mincho" w:eastAsia="MS Mincho" w:cs="MS Mincho"/>
                <w:bCs/>
                <w:iCs/>
                <w:color w:val="000000"/>
                <w:kern w:val="0"/>
                <w:sz w:val="22"/>
              </w:rPr>
              <w:t>☑</w:t>
            </w:r>
            <w:r>
              <w:rPr>
                <w:rFonts w:hint="eastAsia" w:ascii="宋体" w:hAnsi="宋体"/>
                <w:kern w:val="0"/>
                <w:sz w:val="24"/>
                <w:szCs w:val="28"/>
              </w:rPr>
              <w:t xml:space="preserve">特定对象调研        </w:t>
            </w:r>
            <w:r>
              <w:rPr>
                <w:rFonts w:hint="eastAsia" w:ascii="宋体" w:hAnsi="宋体"/>
                <w:bCs/>
                <w:iCs/>
                <w:color w:val="000000"/>
                <w:kern w:val="0"/>
                <w:sz w:val="22"/>
              </w:rPr>
              <w:t>□</w:t>
            </w:r>
            <w:r>
              <w:rPr>
                <w:rFonts w:hint="eastAsia" w:ascii="宋体" w:hAnsi="宋体"/>
                <w:kern w:val="0"/>
                <w:sz w:val="24"/>
                <w:szCs w:val="28"/>
              </w:rPr>
              <w:t>分析师会议</w:t>
            </w:r>
          </w:p>
          <w:p>
            <w:pPr>
              <w:spacing w:line="480" w:lineRule="atLeast"/>
              <w:rPr>
                <w:rFonts w:ascii="宋体" w:hAnsi="宋体"/>
                <w:bCs/>
                <w:iCs/>
                <w:color w:val="000000"/>
                <w:kern w:val="0"/>
                <w:sz w:val="22"/>
              </w:rPr>
            </w:pPr>
            <w:r>
              <w:rPr>
                <w:rFonts w:hint="eastAsia" w:ascii="宋体" w:hAnsi="宋体"/>
                <w:bCs/>
                <w:iCs/>
                <w:color w:val="000000"/>
                <w:kern w:val="0"/>
                <w:sz w:val="22"/>
              </w:rPr>
              <w:t>□</w:t>
            </w:r>
            <w:r>
              <w:rPr>
                <w:rFonts w:hint="eastAsia" w:ascii="宋体" w:hAnsi="宋体"/>
                <w:kern w:val="0"/>
                <w:sz w:val="24"/>
                <w:szCs w:val="28"/>
              </w:rPr>
              <w:t xml:space="preserve">媒体采访            </w:t>
            </w:r>
            <w:r>
              <w:rPr>
                <w:rFonts w:hint="eastAsia" w:ascii="宋体" w:hAnsi="宋体"/>
                <w:bCs/>
                <w:iCs/>
                <w:color w:val="000000"/>
                <w:kern w:val="0"/>
                <w:sz w:val="22"/>
              </w:rPr>
              <w:t>□</w:t>
            </w:r>
            <w:r>
              <w:rPr>
                <w:rFonts w:hint="eastAsia" w:ascii="宋体" w:hAnsi="宋体"/>
                <w:kern w:val="0"/>
                <w:sz w:val="24"/>
                <w:szCs w:val="28"/>
              </w:rPr>
              <w:t>业绩说明会</w:t>
            </w:r>
          </w:p>
          <w:p>
            <w:pPr>
              <w:spacing w:line="480" w:lineRule="atLeast"/>
              <w:rPr>
                <w:rFonts w:ascii="宋体" w:hAnsi="宋体"/>
                <w:bCs/>
                <w:iCs/>
                <w:color w:val="000000"/>
                <w:kern w:val="0"/>
                <w:sz w:val="22"/>
              </w:rPr>
            </w:pPr>
            <w:r>
              <w:rPr>
                <w:rFonts w:hint="eastAsia" w:ascii="宋体" w:hAnsi="宋体"/>
                <w:bCs/>
                <w:iCs/>
                <w:color w:val="000000"/>
                <w:kern w:val="0"/>
                <w:sz w:val="22"/>
              </w:rPr>
              <w:t>□</w:t>
            </w:r>
            <w:r>
              <w:rPr>
                <w:rFonts w:hint="eastAsia" w:ascii="宋体" w:hAnsi="宋体"/>
                <w:kern w:val="0"/>
                <w:sz w:val="24"/>
                <w:szCs w:val="28"/>
              </w:rPr>
              <w:t xml:space="preserve">新闻发布会          </w:t>
            </w:r>
            <w:r>
              <w:rPr>
                <w:rFonts w:hint="eastAsia" w:ascii="宋体" w:hAnsi="宋体"/>
                <w:bCs/>
                <w:iCs/>
                <w:color w:val="000000"/>
                <w:kern w:val="0"/>
                <w:sz w:val="22"/>
              </w:rPr>
              <w:t>□</w:t>
            </w:r>
            <w:r>
              <w:rPr>
                <w:rFonts w:hint="eastAsia" w:ascii="宋体" w:hAnsi="宋体"/>
                <w:kern w:val="0"/>
                <w:sz w:val="24"/>
                <w:szCs w:val="28"/>
              </w:rPr>
              <w:t>路演活动</w:t>
            </w:r>
          </w:p>
          <w:p>
            <w:pPr>
              <w:tabs>
                <w:tab w:val="left" w:pos="3045"/>
                <w:tab w:val="center" w:pos="3199"/>
              </w:tabs>
              <w:spacing w:line="480" w:lineRule="atLeast"/>
              <w:rPr>
                <w:rFonts w:ascii="宋体" w:hAnsi="宋体"/>
                <w:bCs/>
                <w:iCs/>
                <w:color w:val="000000"/>
                <w:kern w:val="0"/>
                <w:sz w:val="22"/>
              </w:rPr>
            </w:pPr>
            <w:r>
              <w:rPr>
                <w:rFonts w:hint="eastAsia" w:ascii="宋体" w:hAnsi="宋体"/>
                <w:bCs/>
                <w:iCs/>
                <w:color w:val="000000"/>
                <w:kern w:val="0"/>
                <w:sz w:val="22"/>
              </w:rPr>
              <w:sym w:font="Wingdings 2" w:char="00A3"/>
            </w:r>
            <w:r>
              <w:rPr>
                <w:rFonts w:hint="eastAsia" w:ascii="宋体" w:hAnsi="宋体"/>
                <w:kern w:val="0"/>
                <w:sz w:val="24"/>
                <w:szCs w:val="28"/>
              </w:rPr>
              <w:t>现场参观</w:t>
            </w:r>
            <w:r>
              <w:rPr>
                <w:rFonts w:hint="eastAsia" w:ascii="宋体" w:hAnsi="宋体"/>
                <w:bCs/>
                <w:iCs/>
                <w:color w:val="000000"/>
                <w:kern w:val="0"/>
                <w:sz w:val="22"/>
              </w:rPr>
              <w:tab/>
            </w:r>
          </w:p>
          <w:p>
            <w:pPr>
              <w:tabs>
                <w:tab w:val="center" w:pos="3199"/>
              </w:tabs>
              <w:spacing w:line="480" w:lineRule="atLeast"/>
              <w:rPr>
                <w:rFonts w:ascii="宋体" w:hAnsi="宋体"/>
                <w:bCs/>
                <w:iCs/>
                <w:color w:val="000000"/>
                <w:kern w:val="0"/>
                <w:sz w:val="24"/>
              </w:rPr>
            </w:pPr>
            <w:r>
              <w:rPr>
                <w:rFonts w:hint="eastAsia" w:ascii="宋体" w:hAnsi="宋体"/>
                <w:bCs/>
                <w:iCs/>
                <w:color w:val="000000"/>
                <w:kern w:val="0"/>
                <w:sz w:val="22"/>
              </w:rPr>
              <w:t>□</w:t>
            </w:r>
            <w:r>
              <w:rPr>
                <w:rFonts w:hint="eastAsia" w:ascii="宋体" w:hAnsi="宋体"/>
                <w:kern w:val="0"/>
                <w:sz w:val="24"/>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参与单位名称及人员姓名</w:t>
            </w:r>
          </w:p>
        </w:tc>
        <w:tc>
          <w:tcPr>
            <w:tcW w:w="6614" w:type="dxa"/>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个人投资者：翁世宏、王善斌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时间</w:t>
            </w:r>
          </w:p>
        </w:tc>
        <w:tc>
          <w:tcPr>
            <w:tcW w:w="6614" w:type="dxa"/>
          </w:tcPr>
          <w:p>
            <w:pPr>
              <w:spacing w:line="480" w:lineRule="atLeast"/>
              <w:rPr>
                <w:rFonts w:ascii="宋体" w:hAnsi="宋体"/>
                <w:bCs/>
                <w:iCs/>
                <w:color w:val="000000"/>
                <w:kern w:val="0"/>
                <w:sz w:val="24"/>
              </w:rPr>
            </w:pPr>
            <w:r>
              <w:rPr>
                <w:rFonts w:hint="eastAsia" w:ascii="宋体" w:hAnsi="宋体"/>
                <w:bCs/>
                <w:iCs/>
                <w:color w:val="000000"/>
                <w:kern w:val="0"/>
                <w:sz w:val="24"/>
              </w:rPr>
              <w:t>2020年5月8日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地点</w:t>
            </w:r>
          </w:p>
        </w:tc>
        <w:tc>
          <w:tcPr>
            <w:tcW w:w="6614" w:type="dxa"/>
          </w:tcPr>
          <w:p>
            <w:pPr>
              <w:spacing w:line="480" w:lineRule="atLeast"/>
              <w:rPr>
                <w:rFonts w:ascii="宋体" w:hAnsi="宋体"/>
                <w:bCs/>
                <w:iCs/>
                <w:color w:val="000000"/>
                <w:kern w:val="0"/>
                <w:sz w:val="24"/>
              </w:rPr>
            </w:pPr>
            <w:r>
              <w:rPr>
                <w:rFonts w:hint="eastAsia" w:ascii="宋体" w:hAnsi="宋体"/>
                <w:bCs/>
                <w:iCs/>
                <w:color w:val="000000"/>
                <w:kern w:val="0"/>
                <w:sz w:val="24"/>
              </w:rPr>
              <w:t>公司201会议室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上市公司接待人员姓名</w:t>
            </w:r>
          </w:p>
        </w:tc>
        <w:tc>
          <w:tcPr>
            <w:tcW w:w="6614" w:type="dxa"/>
            <w:vAlign w:val="center"/>
          </w:tcPr>
          <w:p>
            <w:pPr>
              <w:spacing w:line="480" w:lineRule="atLeast"/>
              <w:jc w:val="left"/>
              <w:rPr>
                <w:rFonts w:ascii="宋体" w:hAnsi="宋体"/>
                <w:bCs/>
                <w:iCs/>
                <w:color w:val="000000"/>
                <w:kern w:val="0"/>
                <w:sz w:val="24"/>
              </w:rPr>
            </w:pPr>
            <w:r>
              <w:rPr>
                <w:rFonts w:hint="eastAsia" w:ascii="宋体" w:hAnsi="宋体"/>
                <w:bCs/>
                <w:iCs/>
                <w:color w:val="000000"/>
                <w:kern w:val="0"/>
                <w:sz w:val="24"/>
              </w:rPr>
              <w:t>副总经理、董事会秘书：聂成文</w:t>
            </w:r>
          </w:p>
          <w:p>
            <w:pPr>
              <w:spacing w:line="480" w:lineRule="atLeast"/>
              <w:jc w:val="left"/>
              <w:rPr>
                <w:rFonts w:ascii="宋体" w:hAnsi="宋体"/>
                <w:bCs/>
                <w:iCs/>
                <w:color w:val="000000"/>
                <w:kern w:val="0"/>
                <w:sz w:val="24"/>
              </w:rPr>
            </w:pPr>
            <w:r>
              <w:rPr>
                <w:rFonts w:hint="eastAsia" w:ascii="宋体" w:hAnsi="宋体"/>
                <w:bCs/>
                <w:iCs/>
                <w:color w:val="000000"/>
                <w:kern w:val="0"/>
                <w:sz w:val="24"/>
              </w:rPr>
              <w:t>证券</w:t>
            </w:r>
            <w:r>
              <w:rPr>
                <w:rFonts w:hint="eastAsia" w:ascii="宋体" w:hAnsi="宋体"/>
                <w:bCs/>
                <w:iCs/>
                <w:color w:val="000000"/>
                <w:kern w:val="0"/>
                <w:sz w:val="24"/>
                <w:lang w:val="en-US" w:eastAsia="zh-CN"/>
              </w:rPr>
              <w:t>事务</w:t>
            </w:r>
            <w:r>
              <w:rPr>
                <w:rFonts w:hint="eastAsia" w:ascii="宋体" w:hAnsi="宋体"/>
                <w:bCs/>
                <w:iCs/>
                <w:color w:val="000000"/>
                <w:kern w:val="0"/>
                <w:sz w:val="24"/>
              </w:rPr>
              <w:t>专员：叶志宏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投资者关系活动主要内容介绍</w:t>
            </w:r>
          </w:p>
        </w:tc>
        <w:tc>
          <w:tcPr>
            <w:tcW w:w="6614" w:type="dxa"/>
          </w:tcPr>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r>
              <w:rPr>
                <w:rFonts w:hint="eastAsia" w:ascii="宋体" w:hAnsi="宋体"/>
                <w:b/>
                <w:bCs/>
                <w:sz w:val="24"/>
              </w:rPr>
              <w:t>投资者主要问题：</w:t>
            </w:r>
          </w:p>
          <w:p>
            <w:pPr>
              <w:adjustRightInd w:val="0"/>
              <w:snapToGrid w:val="0"/>
              <w:spacing w:line="360" w:lineRule="auto"/>
              <w:ind w:firstLine="354" w:firstLineChars="147"/>
              <w:rPr>
                <w:rFonts w:ascii="宋体" w:hAnsi="宋体"/>
                <w:b/>
                <w:sz w:val="24"/>
              </w:rPr>
            </w:pPr>
            <w:r>
              <w:rPr>
                <w:rFonts w:hint="eastAsia" w:ascii="宋体" w:hAnsi="宋体"/>
                <w:b/>
                <w:sz w:val="24"/>
              </w:rPr>
              <w:t>1、主营产品在现有竞争愈发激烈的格局下对公司的影响？</w:t>
            </w:r>
          </w:p>
          <w:p>
            <w:pPr>
              <w:adjustRightInd w:val="0"/>
              <w:snapToGrid w:val="0"/>
              <w:spacing w:line="360" w:lineRule="auto"/>
              <w:ind w:firstLine="480"/>
              <w:rPr>
                <w:rFonts w:ascii="宋体" w:hAnsi="宋体"/>
                <w:sz w:val="24"/>
              </w:rPr>
            </w:pPr>
            <w:r>
              <w:rPr>
                <w:rFonts w:hint="eastAsia" w:ascii="宋体" w:hAnsi="宋体"/>
                <w:sz w:val="24"/>
              </w:rPr>
              <w:t>答：目前，连接器的整体需求向着技术水平更高的方向发展，研发实力较强的跨国企业的拥有高端产品的相对竞争优势，致使全球连接器的市场份额相对集中在日本、欧美发达国家少数企业。</w:t>
            </w:r>
          </w:p>
          <w:p>
            <w:pPr>
              <w:adjustRightInd w:val="0"/>
              <w:snapToGrid w:val="0"/>
              <w:spacing w:line="360" w:lineRule="auto"/>
              <w:ind w:firstLine="480"/>
              <w:rPr>
                <w:rFonts w:ascii="宋体" w:hAnsi="宋体"/>
                <w:sz w:val="24"/>
              </w:rPr>
            </w:pPr>
            <w:r>
              <w:rPr>
                <w:rFonts w:hint="eastAsia" w:ascii="宋体" w:hAnsi="宋体"/>
                <w:sz w:val="24"/>
              </w:rPr>
              <w:t>公司的主要客户主要集中在手机行业的头部企业，公司主要产品由于行业C</w:t>
            </w:r>
            <w:r>
              <w:rPr>
                <w:rFonts w:ascii="宋体" w:hAnsi="宋体"/>
                <w:sz w:val="24"/>
              </w:rPr>
              <w:t>OST-DOWN影响</w:t>
            </w:r>
            <w:r>
              <w:rPr>
                <w:rFonts w:hint="eastAsia" w:ascii="宋体" w:hAnsi="宋体"/>
                <w:sz w:val="24"/>
              </w:rPr>
              <w:t>，</w:t>
            </w:r>
            <w:r>
              <w:rPr>
                <w:rFonts w:ascii="宋体" w:hAnsi="宋体"/>
                <w:sz w:val="24"/>
              </w:rPr>
              <w:t>产品</w:t>
            </w:r>
            <w:r>
              <w:rPr>
                <w:rFonts w:hint="eastAsia" w:ascii="宋体" w:hAnsi="宋体"/>
                <w:sz w:val="24"/>
              </w:rPr>
              <w:t>出现季节性调价。射频连接器及互连系统产品类在手机终端市场份额较为稳定，为公司的优势产品，终端客户在天线设计上的变化导致该品类产品在智能手机中的单机使用量呈现了一定程度的增长趋势，数量上总体增长比较明显。与此同时，受产品生命周期及行业内的竞争加剧的影响，价格有所下降，品类的毛利出现了小幅的下滑。</w:t>
            </w:r>
          </w:p>
          <w:p>
            <w:pPr>
              <w:adjustRightInd w:val="0"/>
              <w:snapToGrid w:val="0"/>
              <w:spacing w:line="360" w:lineRule="auto"/>
              <w:ind w:firstLine="480"/>
              <w:rPr>
                <w:rFonts w:ascii="宋体" w:hAnsi="宋体"/>
                <w:sz w:val="24"/>
              </w:rPr>
            </w:pPr>
            <w:r>
              <w:rPr>
                <w:rFonts w:ascii="宋体" w:hAnsi="宋体"/>
                <w:sz w:val="24"/>
              </w:rPr>
              <w:t>电磁兼容件产品由于技术壁垒较低，市场竞争一直较为激烈</w:t>
            </w:r>
            <w:r>
              <w:rPr>
                <w:rFonts w:hint="eastAsia" w:ascii="宋体" w:hAnsi="宋体"/>
                <w:sz w:val="24"/>
              </w:rPr>
              <w:t>。2019年，此</w:t>
            </w:r>
            <w:r>
              <w:rPr>
                <w:rFonts w:ascii="宋体" w:hAnsi="宋体"/>
                <w:sz w:val="24"/>
              </w:rPr>
              <w:t>类产品市场竞争出现了加剧的情况，加之季度原材料价格的波动导致</w:t>
            </w:r>
            <w:r>
              <w:rPr>
                <w:rFonts w:hint="eastAsia" w:ascii="宋体" w:hAnsi="宋体"/>
                <w:sz w:val="24"/>
              </w:rPr>
              <w:t>毛利同比下降较大</w:t>
            </w:r>
            <w:r>
              <w:rPr>
                <w:rFonts w:ascii="宋体" w:hAnsi="宋体"/>
                <w:sz w:val="24"/>
              </w:rPr>
              <w:t>，该类产品承受了较大的市场压力。</w:t>
            </w:r>
          </w:p>
          <w:p>
            <w:pPr>
              <w:adjustRightInd w:val="0"/>
              <w:snapToGrid w:val="0"/>
              <w:spacing w:line="360" w:lineRule="auto"/>
              <w:ind w:firstLine="480"/>
              <w:rPr>
                <w:rFonts w:ascii="宋体" w:hAnsi="宋体"/>
                <w:sz w:val="24"/>
              </w:rPr>
            </w:pPr>
            <w:r>
              <w:rPr>
                <w:rFonts w:ascii="宋体" w:hAnsi="宋体"/>
                <w:sz w:val="24"/>
              </w:rPr>
              <w:t>公司射频BTB产品已出合格产品，并批量用于核心客户，取得了较好的市场反映</w:t>
            </w:r>
            <w:r>
              <w:rPr>
                <w:rFonts w:hint="eastAsia" w:ascii="宋体" w:hAnsi="宋体"/>
                <w:sz w:val="24"/>
              </w:rPr>
              <w:t>，但该产品销售收入占总营收比例相对较小。此外，此类产品是欧美、日本企业的传统优势产品，国内竞争相对较小。</w:t>
            </w:r>
          </w:p>
          <w:p>
            <w:pPr>
              <w:adjustRightInd w:val="0"/>
              <w:snapToGrid w:val="0"/>
              <w:spacing w:line="360" w:lineRule="auto"/>
              <w:ind w:firstLine="480"/>
              <w:rPr>
                <w:rFonts w:ascii="宋体" w:hAnsi="宋体"/>
                <w:sz w:val="24"/>
              </w:rPr>
            </w:pPr>
            <w:r>
              <w:rPr>
                <w:rFonts w:hint="eastAsia" w:ascii="宋体" w:hAnsi="宋体"/>
                <w:sz w:val="24"/>
              </w:rPr>
              <w:t>汽车电子发展前景比较好，价值量占整车成本比例上升同时，市场需求比较</w:t>
            </w:r>
            <w:r>
              <w:rPr>
                <w:rFonts w:ascii="宋体" w:hAnsi="宋体"/>
                <w:sz w:val="24"/>
              </w:rPr>
              <w:t>旺盛</w:t>
            </w:r>
            <w:r>
              <w:rPr>
                <w:rFonts w:hint="eastAsia" w:ascii="宋体" w:hAnsi="宋体"/>
                <w:sz w:val="24"/>
              </w:rPr>
              <w:t>，但汽车连接器产品认证体系及制造工艺与消费电子有较大不同，需要更多的技术和市场积累，客户准入认证周期较长，市场规模效应尚未完全形成。目前，公司汽车行业客户以国内自有品牌车厂以及系统集成商为主，2019年</w:t>
            </w:r>
            <w:r>
              <w:rPr>
                <w:rFonts w:ascii="宋体" w:hAnsi="宋体"/>
                <w:sz w:val="24"/>
              </w:rPr>
              <w:t>汽车连接器产品的品类以及质量均出现了较大的提升，客户群不断扩大。</w:t>
            </w: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 xml:space="preserve">   </w:t>
            </w:r>
          </w:p>
          <w:p>
            <w:pPr>
              <w:adjustRightInd w:val="0"/>
              <w:snapToGrid w:val="0"/>
              <w:spacing w:line="360" w:lineRule="auto"/>
              <w:ind w:firstLine="482" w:firstLineChars="200"/>
              <w:rPr>
                <w:rFonts w:ascii="宋体" w:hAnsi="宋体"/>
                <w:b/>
                <w:sz w:val="24"/>
              </w:rPr>
            </w:pPr>
            <w:r>
              <w:rPr>
                <w:rFonts w:hint="eastAsia" w:ascii="宋体" w:hAnsi="宋体"/>
                <w:b/>
                <w:sz w:val="24"/>
              </w:rPr>
              <w:t>2、为何公司2020年第一季度产能与利润水平下降，实现的营业收入出现增长？</w:t>
            </w:r>
          </w:p>
          <w:p>
            <w:pPr>
              <w:adjustRightInd w:val="0"/>
              <w:snapToGrid w:val="0"/>
              <w:spacing w:line="360" w:lineRule="auto"/>
              <w:ind w:firstLine="480" w:firstLineChars="200"/>
              <w:rPr>
                <w:rFonts w:ascii="宋体" w:hAnsi="宋体"/>
                <w:sz w:val="24"/>
              </w:rPr>
            </w:pPr>
            <w:r>
              <w:rPr>
                <w:rFonts w:hint="eastAsia" w:ascii="宋体" w:hAnsi="宋体"/>
                <w:sz w:val="24"/>
              </w:rPr>
              <w:t>答</w:t>
            </w:r>
            <w:r>
              <w:rPr>
                <w:rFonts w:hint="eastAsia" w:ascii="宋体" w:hAnsi="宋体"/>
                <w:b/>
                <w:sz w:val="24"/>
              </w:rPr>
              <w:t>：</w:t>
            </w:r>
            <w:r>
              <w:rPr>
                <w:rFonts w:hint="eastAsia" w:ascii="宋体" w:hAnsi="宋体"/>
                <w:sz w:val="24"/>
              </w:rPr>
              <w:t>公司2020年第一季度因春节放假及新冠肺炎疫情开、复工延期影响，公司产能受到影响。加之季度未完工订单增加，部分子公司订单延期等因素导致亏损额上升；营收规模扩大导致固定成本较去年同期有所上升，主要产品价格同比小幅下调；模具开发费用计入研发费用，导致研发费用等期间费用同比上年同期显著增加等原因，公司归属于上市公司股东的净利润同比下降。营业收入确认方式导致一季度实现的营业收入出现增长。</w:t>
            </w:r>
          </w:p>
          <w:p>
            <w:pPr>
              <w:adjustRightInd w:val="0"/>
              <w:snapToGrid w:val="0"/>
              <w:spacing w:line="360" w:lineRule="auto"/>
              <w:ind w:firstLine="240" w:firstLineChars="1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3、随着5G推进的加快，公司在产品更新换代等方面做了哪些准备？</w:t>
            </w:r>
          </w:p>
          <w:p>
            <w:pPr>
              <w:adjustRightInd w:val="0"/>
              <w:snapToGrid w:val="0"/>
              <w:spacing w:line="360" w:lineRule="auto"/>
              <w:ind w:firstLine="480" w:firstLineChars="200"/>
              <w:rPr>
                <w:rFonts w:ascii="宋体" w:hAnsi="宋体"/>
                <w:sz w:val="24"/>
              </w:rPr>
            </w:pPr>
            <w:r>
              <w:rPr>
                <w:rFonts w:hint="eastAsia" w:ascii="宋体" w:hAnsi="宋体"/>
                <w:sz w:val="24"/>
              </w:rPr>
              <w:t>答</w:t>
            </w:r>
            <w:r>
              <w:rPr>
                <w:rFonts w:hint="eastAsia" w:ascii="宋体" w:hAnsi="宋体"/>
                <w:b/>
                <w:sz w:val="24"/>
              </w:rPr>
              <w:t>：</w:t>
            </w:r>
            <w:r>
              <w:rPr>
                <w:rFonts w:hint="eastAsia" w:ascii="宋体" w:hAnsi="宋体"/>
                <w:sz w:val="24"/>
              </w:rPr>
              <w:t>5G给公司带来可能的较好市场机会的同时也对公司产品技术升级、销售、生产等环节应对5G的要求带来了挑战。5G智能终端相较4G要求变化主要是连接数据量更大，连接通道更多，连接材料电气性能要求更高等方面。在产品更细换代方面，公司以产品链磨合布局成形和研发升级为工作重点，持续推进面向5G的射频技术及互连产品在性能要求及产品形态影响方面的研究开发和成果转化，为5G时代向客户提供可持续发展的研发技术支持。另外，公司加大对非手机行业的拓展，紧密跟踪以物联网智能移动终端及工业连接器为主的泛5G领域机会。最后，公司成立电连技术研究院，与高校、研究所合作研发，致力于在未来的5G毫米波时代，技术难度及复杂度均成倍加大的背景下，合理利用相关研发资源，争取公司的射频类产品能在包括5G通信领域在内的一些新的行业有更多的探索及突破。</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4、公司相关新产品进</w:t>
            </w:r>
            <w:r>
              <w:rPr>
                <w:rFonts w:hint="eastAsia" w:ascii="宋体" w:hAnsi="宋体"/>
                <w:b/>
                <w:sz w:val="24"/>
                <w:lang w:val="en-US" w:eastAsia="zh-CN"/>
              </w:rPr>
              <w:t>展情况如何</w:t>
            </w:r>
            <w:r>
              <w:rPr>
                <w:rFonts w:hint="eastAsia" w:ascii="宋体" w:hAnsi="宋体"/>
                <w:b/>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答</w:t>
            </w:r>
            <w:r>
              <w:rPr>
                <w:rFonts w:hint="eastAsia" w:ascii="宋体" w:hAnsi="宋体"/>
                <w:bCs/>
                <w:sz w:val="24"/>
              </w:rPr>
              <w:t>：公司非手机类相关新产品因</w:t>
            </w:r>
            <w:r>
              <w:rPr>
                <w:rFonts w:hint="eastAsia" w:ascii="宋体" w:hAnsi="宋体"/>
                <w:sz w:val="24"/>
              </w:rPr>
              <w:t>客户认证周期较长，市场规模效应尚未形成。手机类新品视5</w:t>
            </w:r>
            <w:r>
              <w:rPr>
                <w:rFonts w:ascii="宋体" w:hAnsi="宋体"/>
                <w:sz w:val="24"/>
              </w:rPr>
              <w:t>G的进展</w:t>
            </w:r>
            <w:r>
              <w:rPr>
                <w:rFonts w:hint="eastAsia" w:ascii="宋体" w:hAnsi="宋体"/>
                <w:sz w:val="24"/>
              </w:rPr>
              <w:t>力争在头部手机客户中取得进一步突破，扩展大客户产品的市场应用，增加产品品种和类型，提升市场份额。</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sz w:val="24"/>
              </w:rPr>
            </w:pPr>
            <w:r>
              <w:rPr>
                <w:rFonts w:hint="eastAsia" w:ascii="宋体" w:hAnsi="宋体"/>
                <w:b/>
                <w:sz w:val="24"/>
              </w:rPr>
              <w:t>5、公司实施回购股份是否存在相关考量？</w:t>
            </w:r>
          </w:p>
          <w:p>
            <w:pPr>
              <w:adjustRightInd w:val="0"/>
              <w:snapToGrid w:val="0"/>
              <w:spacing w:line="360" w:lineRule="auto"/>
              <w:ind w:firstLine="480" w:firstLineChars="200"/>
              <w:rPr>
                <w:rFonts w:ascii="宋体" w:hAnsi="宋体"/>
                <w:sz w:val="24"/>
              </w:rPr>
            </w:pPr>
            <w:r>
              <w:rPr>
                <w:rFonts w:hint="eastAsia" w:ascii="宋体" w:hAnsi="宋体"/>
                <w:sz w:val="24"/>
              </w:rPr>
              <w:t>答：公司实施回购股份用于股权激励或员工持股计划，助力公司长远发展。公司实施回购股份的时间、回购数量、回购价格等均符合相关规定。公司后续将根据市场情况在回购期限内实施回购计划，并将在回购期间根据相关法律、法规和规范性文件的规定及时履行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附件清单（如有）</w:t>
            </w:r>
          </w:p>
        </w:tc>
        <w:tc>
          <w:tcPr>
            <w:tcW w:w="6614" w:type="dxa"/>
          </w:tcPr>
          <w:p>
            <w:pPr>
              <w:spacing w:line="480" w:lineRule="atLeast"/>
              <w:jc w:val="left"/>
              <w:rPr>
                <w:rFonts w:ascii="宋体" w:hAnsi="宋体"/>
                <w:bCs/>
                <w:iCs/>
                <w:color w:val="000000"/>
                <w:kern w:val="0"/>
                <w:sz w:val="24"/>
              </w:rPr>
            </w:pPr>
            <w:r>
              <w:rPr>
                <w:rFonts w:hint="eastAsia" w:ascii="宋体" w:hAnsi="宋体"/>
                <w:bCs/>
                <w:iCs/>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日期</w:t>
            </w:r>
          </w:p>
        </w:tc>
        <w:tc>
          <w:tcPr>
            <w:tcW w:w="6614" w:type="dxa"/>
          </w:tcPr>
          <w:p>
            <w:pPr>
              <w:spacing w:line="480" w:lineRule="atLeast"/>
              <w:jc w:val="left"/>
              <w:rPr>
                <w:rFonts w:ascii="宋体" w:hAnsi="宋体"/>
                <w:bCs/>
                <w:iCs/>
                <w:color w:val="000000"/>
                <w:kern w:val="0"/>
                <w:sz w:val="24"/>
              </w:rPr>
            </w:pPr>
            <w:r>
              <w:rPr>
                <w:rFonts w:hint="eastAsia" w:ascii="宋体" w:hAnsi="宋体"/>
                <w:bCs/>
                <w:iCs/>
                <w:color w:val="000000"/>
                <w:kern w:val="0"/>
                <w:sz w:val="24"/>
              </w:rPr>
              <w:t>2020年5月</w:t>
            </w:r>
            <w:r>
              <w:rPr>
                <w:rFonts w:hint="eastAsia" w:ascii="宋体" w:hAnsi="宋体"/>
                <w:bCs/>
                <w:iCs/>
                <w:color w:val="000000"/>
                <w:kern w:val="0"/>
                <w:sz w:val="24"/>
                <w:lang w:val="en-US" w:eastAsia="zh-CN"/>
              </w:rPr>
              <w:t>9</w:t>
            </w:r>
            <w:bookmarkStart w:id="0" w:name="_GoBack"/>
            <w:bookmarkEnd w:id="0"/>
            <w:r>
              <w:rPr>
                <w:rFonts w:hint="eastAsia" w:ascii="宋体" w:hAnsi="宋体"/>
                <w:bCs/>
                <w:iCs/>
                <w:color w:val="000000"/>
                <w:kern w:val="0"/>
                <w:sz w:val="24"/>
              </w:rPr>
              <w:t>日</w:t>
            </w:r>
          </w:p>
        </w:tc>
      </w:tr>
    </w:tbl>
    <w:p>
      <w:pPr>
        <w:ind w:firstLine="420"/>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DE"/>
    <w:rsid w:val="001375C1"/>
    <w:rsid w:val="0054550C"/>
    <w:rsid w:val="0089095C"/>
    <w:rsid w:val="008A5454"/>
    <w:rsid w:val="00985FEE"/>
    <w:rsid w:val="00B34CF9"/>
    <w:rsid w:val="00C70479"/>
    <w:rsid w:val="00ED1BDE"/>
    <w:rsid w:val="00F17D33"/>
    <w:rsid w:val="0200226B"/>
    <w:rsid w:val="020C55E9"/>
    <w:rsid w:val="032C294B"/>
    <w:rsid w:val="03404195"/>
    <w:rsid w:val="03FD4013"/>
    <w:rsid w:val="046B7F20"/>
    <w:rsid w:val="051608BD"/>
    <w:rsid w:val="053F7388"/>
    <w:rsid w:val="055E448C"/>
    <w:rsid w:val="05CF7D2B"/>
    <w:rsid w:val="06161C9E"/>
    <w:rsid w:val="06325E92"/>
    <w:rsid w:val="08A05121"/>
    <w:rsid w:val="08C35F3F"/>
    <w:rsid w:val="09747115"/>
    <w:rsid w:val="09854E62"/>
    <w:rsid w:val="09920FA8"/>
    <w:rsid w:val="09EB589A"/>
    <w:rsid w:val="0B522A2F"/>
    <w:rsid w:val="0B82576C"/>
    <w:rsid w:val="0CDE6DB8"/>
    <w:rsid w:val="0D4307DF"/>
    <w:rsid w:val="0E1B5131"/>
    <w:rsid w:val="0EA64935"/>
    <w:rsid w:val="0EF157CC"/>
    <w:rsid w:val="1050357B"/>
    <w:rsid w:val="106F3D57"/>
    <w:rsid w:val="113E7FFE"/>
    <w:rsid w:val="128014F8"/>
    <w:rsid w:val="12CC1A6F"/>
    <w:rsid w:val="12DA1AFD"/>
    <w:rsid w:val="131C2FB5"/>
    <w:rsid w:val="15E80ABF"/>
    <w:rsid w:val="166B5505"/>
    <w:rsid w:val="17284535"/>
    <w:rsid w:val="17F80A21"/>
    <w:rsid w:val="18183540"/>
    <w:rsid w:val="18943021"/>
    <w:rsid w:val="1943122E"/>
    <w:rsid w:val="19A16579"/>
    <w:rsid w:val="1AA420C3"/>
    <w:rsid w:val="1B8052E8"/>
    <w:rsid w:val="1C132F31"/>
    <w:rsid w:val="1D524C17"/>
    <w:rsid w:val="1E4D2E21"/>
    <w:rsid w:val="200251D6"/>
    <w:rsid w:val="223E65DC"/>
    <w:rsid w:val="23330B0B"/>
    <w:rsid w:val="2638078F"/>
    <w:rsid w:val="26A71930"/>
    <w:rsid w:val="26D84342"/>
    <w:rsid w:val="2809434C"/>
    <w:rsid w:val="28407482"/>
    <w:rsid w:val="29ED0CB4"/>
    <w:rsid w:val="2B4A3DAD"/>
    <w:rsid w:val="2BE65479"/>
    <w:rsid w:val="2DE1490C"/>
    <w:rsid w:val="2E6B6A9E"/>
    <w:rsid w:val="2F2A00CC"/>
    <w:rsid w:val="2FFA16CE"/>
    <w:rsid w:val="30551E03"/>
    <w:rsid w:val="34BF0FBF"/>
    <w:rsid w:val="34EE7167"/>
    <w:rsid w:val="361D0069"/>
    <w:rsid w:val="39D85E2F"/>
    <w:rsid w:val="3A4155A7"/>
    <w:rsid w:val="3AAF6AE9"/>
    <w:rsid w:val="3AC74D81"/>
    <w:rsid w:val="3C2B4EA2"/>
    <w:rsid w:val="3D2C1F7F"/>
    <w:rsid w:val="3E8E45D2"/>
    <w:rsid w:val="3FE81740"/>
    <w:rsid w:val="408D4A61"/>
    <w:rsid w:val="411179FD"/>
    <w:rsid w:val="41294362"/>
    <w:rsid w:val="41671C49"/>
    <w:rsid w:val="422C4682"/>
    <w:rsid w:val="42465573"/>
    <w:rsid w:val="424F0A65"/>
    <w:rsid w:val="43F61FCA"/>
    <w:rsid w:val="44523E38"/>
    <w:rsid w:val="47FF6329"/>
    <w:rsid w:val="49165368"/>
    <w:rsid w:val="49785DB8"/>
    <w:rsid w:val="4A1A1504"/>
    <w:rsid w:val="4ABE34C9"/>
    <w:rsid w:val="4B20546D"/>
    <w:rsid w:val="4C9246B1"/>
    <w:rsid w:val="4E6A4FD4"/>
    <w:rsid w:val="4F49300E"/>
    <w:rsid w:val="4FAE3918"/>
    <w:rsid w:val="51494355"/>
    <w:rsid w:val="51B97DA2"/>
    <w:rsid w:val="51DA0617"/>
    <w:rsid w:val="560D310C"/>
    <w:rsid w:val="57202B04"/>
    <w:rsid w:val="57D116F2"/>
    <w:rsid w:val="57E773FD"/>
    <w:rsid w:val="586E1902"/>
    <w:rsid w:val="5A930FB4"/>
    <w:rsid w:val="5AA960C7"/>
    <w:rsid w:val="5CC303D6"/>
    <w:rsid w:val="5CC45477"/>
    <w:rsid w:val="5E4A3064"/>
    <w:rsid w:val="61FC3FA4"/>
    <w:rsid w:val="62261BDF"/>
    <w:rsid w:val="63F27994"/>
    <w:rsid w:val="6407348A"/>
    <w:rsid w:val="641D178D"/>
    <w:rsid w:val="642F2B4F"/>
    <w:rsid w:val="654D1EEA"/>
    <w:rsid w:val="66C61055"/>
    <w:rsid w:val="6B0D607F"/>
    <w:rsid w:val="6C2A3D04"/>
    <w:rsid w:val="6CDE7037"/>
    <w:rsid w:val="6E1156E1"/>
    <w:rsid w:val="6ED04634"/>
    <w:rsid w:val="73076E8F"/>
    <w:rsid w:val="757E5755"/>
    <w:rsid w:val="776F3BA1"/>
    <w:rsid w:val="778772DB"/>
    <w:rsid w:val="77AB4815"/>
    <w:rsid w:val="79BE3ABF"/>
    <w:rsid w:val="7B1040DF"/>
    <w:rsid w:val="7D2A7D32"/>
    <w:rsid w:val="7E237B9C"/>
    <w:rsid w:val="7E2B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cs="宋体"/>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295</Words>
  <Characters>1683</Characters>
  <Lines>14</Lines>
  <Paragraphs>3</Paragraphs>
  <TotalTime>11</TotalTime>
  <ScaleCrop>false</ScaleCrop>
  <LinksUpToDate>false</LinksUpToDate>
  <CharactersWithSpaces>1975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2020-05-09T02:01:00Z</dcterms:created>
  <dc:creator>人力资源部 覃丽梅</dc:creator>
  <cp:lastModifiedBy>修</cp:lastModifiedBy>
  <dcterms:modified xsi:type="dcterms:W3CDTF">2020-05-09T04:22:41Z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