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760F" w:rsidRPr="00CA5660" w:rsidRDefault="00E4760F" w:rsidP="008C645D">
      <w:pPr>
        <w:adjustRightInd w:val="0"/>
        <w:snapToGrid w:val="0"/>
        <w:spacing w:beforeLines="50" w:afterLines="50" w:line="360" w:lineRule="auto"/>
        <w:rPr>
          <w:rFonts w:asciiTheme="minorEastAsia" w:eastAsiaTheme="minorEastAsia" w:hAnsiTheme="minorEastAsia" w:cs="Arial"/>
          <w:bCs/>
          <w:iCs/>
          <w:sz w:val="24"/>
        </w:rPr>
      </w:pPr>
      <w:r w:rsidRPr="00CA5660">
        <w:rPr>
          <w:rFonts w:asciiTheme="minorEastAsia" w:eastAsiaTheme="minorEastAsia" w:hAnsiTheme="minorEastAsia" w:cs="Arial"/>
          <w:bCs/>
          <w:iCs/>
          <w:sz w:val="24"/>
        </w:rPr>
        <w:t>证券代码：300296                                  证券简称：利亚德</w:t>
      </w:r>
    </w:p>
    <w:p w:rsidR="00E4760F" w:rsidRPr="00CA5660" w:rsidRDefault="00CC46FF" w:rsidP="008C645D">
      <w:pPr>
        <w:adjustRightInd w:val="0"/>
        <w:snapToGrid w:val="0"/>
        <w:spacing w:beforeLines="50" w:afterLines="50" w:line="360" w:lineRule="auto"/>
        <w:jc w:val="center"/>
        <w:rPr>
          <w:rFonts w:asciiTheme="minorEastAsia" w:eastAsiaTheme="minorEastAsia" w:hAnsiTheme="minorEastAsia" w:cs="Arial"/>
          <w:b/>
          <w:bCs/>
          <w:iCs/>
          <w:sz w:val="24"/>
        </w:rPr>
      </w:pPr>
      <w:r w:rsidRPr="00CA5660">
        <w:rPr>
          <w:rFonts w:asciiTheme="minorEastAsia" w:eastAsiaTheme="minorEastAsia" w:hAnsiTheme="minorEastAsia" w:cs="Arial"/>
          <w:b/>
          <w:bCs/>
          <w:iCs/>
          <w:sz w:val="24"/>
        </w:rPr>
        <w:t>利亚德光电股份有限公司投资者关系活动记录表</w:t>
      </w:r>
    </w:p>
    <w:p w:rsidR="00E4760F" w:rsidRPr="00CA5660" w:rsidRDefault="00E4760F" w:rsidP="007E4446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bCs/>
          <w:iCs/>
          <w:sz w:val="24"/>
        </w:rPr>
      </w:pPr>
      <w:r w:rsidRPr="00CA5660">
        <w:rPr>
          <w:rFonts w:asciiTheme="minorEastAsia" w:eastAsiaTheme="minorEastAsia" w:hAnsiTheme="minorEastAsia" w:cs="Arial"/>
          <w:bCs/>
          <w:iCs/>
          <w:sz w:val="24"/>
        </w:rPr>
        <w:t>编号：</w:t>
      </w:r>
      <w:r w:rsidR="004B0F8E" w:rsidRPr="00CA5660">
        <w:rPr>
          <w:rFonts w:asciiTheme="minorEastAsia" w:eastAsiaTheme="minorEastAsia" w:hAnsiTheme="minorEastAsia" w:cs="Arial" w:hint="eastAsia"/>
          <w:bCs/>
          <w:iCs/>
          <w:sz w:val="24"/>
        </w:rPr>
        <w:t>2020-0</w:t>
      </w:r>
      <w:r w:rsidR="00956982">
        <w:rPr>
          <w:rFonts w:asciiTheme="minorEastAsia" w:eastAsiaTheme="minorEastAsia" w:hAnsiTheme="minorEastAsia" w:cs="Arial" w:hint="eastAsia"/>
          <w:bCs/>
          <w:iCs/>
          <w:sz w:val="24"/>
        </w:rPr>
        <w:t>1</w:t>
      </w:r>
      <w:r w:rsidR="00D87C54">
        <w:rPr>
          <w:rFonts w:asciiTheme="minorEastAsia" w:eastAsiaTheme="minorEastAsia" w:hAnsiTheme="minorEastAsia" w:cs="Arial" w:hint="eastAsia"/>
          <w:bCs/>
          <w:iCs/>
          <w:sz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7279"/>
      </w:tblGrid>
      <w:tr w:rsidR="00E4760F" w:rsidRPr="00CA5660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0F" w:rsidRPr="00CA5660" w:rsidRDefault="00E4760F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投资者关系活动类别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CD" w:rsidRPr="00CA5660" w:rsidRDefault="00C02911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■</w:t>
            </w:r>
            <w:r w:rsidR="000C12CD"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特定对象调研        □分析师会议</w:t>
            </w:r>
          </w:p>
          <w:p w:rsidR="000C12CD" w:rsidRPr="00CA5660" w:rsidRDefault="000C12CD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□媒体采访</w:t>
            </w:r>
            <w:r w:rsidR="002542BD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 xml:space="preserve">            </w:t>
            </w:r>
            <w:r w:rsidR="00C02911"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□</w:t>
            </w: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业绩说明会</w:t>
            </w:r>
          </w:p>
          <w:p w:rsidR="000C12CD" w:rsidRPr="00CA5660" w:rsidRDefault="007F16C9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□</w:t>
            </w:r>
            <w:r w:rsidR="000C12CD"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新闻发布会</w:t>
            </w:r>
            <w:r w:rsidR="002542BD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 xml:space="preserve">          </w:t>
            </w:r>
            <w:r w:rsidR="002D6732"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□</w:t>
            </w:r>
            <w:r w:rsidR="000C12CD"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路演活动</w:t>
            </w:r>
          </w:p>
          <w:p w:rsidR="000C12CD" w:rsidRPr="00CA5660" w:rsidRDefault="004B0F8E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□</w:t>
            </w:r>
            <w:r w:rsidR="000C12CD"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现场参观</w:t>
            </w:r>
            <w:r w:rsidR="000C12CD"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ab/>
            </w:r>
          </w:p>
          <w:p w:rsidR="00E4760F" w:rsidRPr="00CA5660" w:rsidRDefault="004B0F8E" w:rsidP="007E4446">
            <w:pPr>
              <w:tabs>
                <w:tab w:val="center" w:pos="3199"/>
              </w:tabs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■</w:t>
            </w:r>
            <w:r w:rsidR="000C12CD"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其他（</w:t>
            </w:r>
            <w:r w:rsidR="002C2BEC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  <w:u w:val="single"/>
              </w:rPr>
              <w:t>电话会议</w:t>
            </w:r>
            <w:r w:rsidR="000C12CD" w:rsidRPr="00CA5660">
              <w:rPr>
                <w:rFonts w:asciiTheme="minorEastAsia" w:eastAsiaTheme="minorEastAsia" w:hAnsiTheme="minorEastAsia" w:cs="Arial"/>
                <w:bCs/>
                <w:iCs/>
                <w:sz w:val="24"/>
                <w:u w:val="single"/>
              </w:rPr>
              <w:t>）</w:t>
            </w:r>
          </w:p>
        </w:tc>
      </w:tr>
      <w:tr w:rsidR="00E4760F" w:rsidRPr="007C641B" w:rsidTr="00CD02A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0F" w:rsidRPr="00CA5660" w:rsidRDefault="00E4760F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87" w:type="dxa"/>
              <w:jc w:val="center"/>
              <w:tblLayout w:type="fixed"/>
              <w:tblLook w:val="04A0"/>
            </w:tblPr>
            <w:tblGrid>
              <w:gridCol w:w="1647"/>
              <w:gridCol w:w="4140"/>
            </w:tblGrid>
            <w:tr w:rsidR="009F2929" w:rsidRPr="007C641B" w:rsidTr="00E26530">
              <w:trPr>
                <w:trHeight w:val="375"/>
                <w:jc w:val="center"/>
              </w:trPr>
              <w:tc>
                <w:tcPr>
                  <w:tcW w:w="1647" w:type="dxa"/>
                  <w:shd w:val="clear" w:color="auto" w:fill="auto"/>
                  <w:vAlign w:val="center"/>
                  <w:hideMark/>
                </w:tcPr>
                <w:p w:rsidR="009F2929" w:rsidRPr="009F2929" w:rsidRDefault="00D87C54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  <w:t>林钜胜</w:t>
                  </w:r>
                </w:p>
              </w:tc>
              <w:tc>
                <w:tcPr>
                  <w:tcW w:w="4140" w:type="dxa"/>
                  <w:shd w:val="clear" w:color="auto" w:fill="auto"/>
                  <w:vAlign w:val="center"/>
                  <w:hideMark/>
                </w:tcPr>
                <w:p w:rsidR="009F2929" w:rsidRPr="009F2929" w:rsidRDefault="00D87C54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  <w:t>南山人寿</w:t>
                  </w:r>
                </w:p>
              </w:tc>
            </w:tr>
            <w:tr w:rsidR="009F2929" w:rsidRPr="007C641B" w:rsidTr="00E26530">
              <w:trPr>
                <w:trHeight w:val="375"/>
                <w:jc w:val="center"/>
              </w:trPr>
              <w:tc>
                <w:tcPr>
                  <w:tcW w:w="1647" w:type="dxa"/>
                  <w:shd w:val="clear" w:color="auto" w:fill="auto"/>
                  <w:vAlign w:val="center"/>
                  <w:hideMark/>
                </w:tcPr>
                <w:p w:rsidR="009F2929" w:rsidRPr="009F2929" w:rsidRDefault="008C645D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  <w:t>李品瑛</w:t>
                  </w:r>
                </w:p>
              </w:tc>
              <w:tc>
                <w:tcPr>
                  <w:tcW w:w="4140" w:type="dxa"/>
                  <w:shd w:val="clear" w:color="auto" w:fill="auto"/>
                  <w:vAlign w:val="center"/>
                  <w:hideMark/>
                </w:tcPr>
                <w:p w:rsidR="009F2929" w:rsidRPr="009F2929" w:rsidRDefault="00D87C54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  <w:t>安联投信</w:t>
                  </w:r>
                </w:p>
              </w:tc>
            </w:tr>
            <w:tr w:rsidR="009F2929" w:rsidRPr="007C641B" w:rsidTr="00E26530">
              <w:trPr>
                <w:trHeight w:val="375"/>
                <w:jc w:val="center"/>
              </w:trPr>
              <w:tc>
                <w:tcPr>
                  <w:tcW w:w="1647" w:type="dxa"/>
                  <w:shd w:val="clear" w:color="auto" w:fill="auto"/>
                  <w:vAlign w:val="center"/>
                  <w:hideMark/>
                </w:tcPr>
                <w:p w:rsidR="009F2929" w:rsidRPr="009F2929" w:rsidRDefault="00D87C54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  <w:t>林贞仪</w:t>
                  </w:r>
                  <w:proofErr w:type="gramEnd"/>
                </w:p>
              </w:tc>
              <w:tc>
                <w:tcPr>
                  <w:tcW w:w="4140" w:type="dxa"/>
                  <w:shd w:val="clear" w:color="auto" w:fill="auto"/>
                  <w:vAlign w:val="center"/>
                  <w:hideMark/>
                </w:tcPr>
                <w:p w:rsidR="009F2929" w:rsidRPr="009F2929" w:rsidRDefault="00D87C54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  <w:t>中国信托银行</w:t>
                  </w:r>
                </w:p>
              </w:tc>
            </w:tr>
            <w:tr w:rsidR="009F2929" w:rsidRPr="007C641B" w:rsidTr="00E26530">
              <w:trPr>
                <w:trHeight w:val="375"/>
                <w:jc w:val="center"/>
              </w:trPr>
              <w:tc>
                <w:tcPr>
                  <w:tcW w:w="1647" w:type="dxa"/>
                  <w:shd w:val="clear" w:color="auto" w:fill="auto"/>
                  <w:vAlign w:val="center"/>
                  <w:hideMark/>
                </w:tcPr>
                <w:p w:rsidR="009F2929" w:rsidRPr="009F2929" w:rsidRDefault="00D87C54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  <w:t>周子琪</w:t>
                  </w:r>
                  <w:proofErr w:type="gramEnd"/>
                </w:p>
              </w:tc>
              <w:tc>
                <w:tcPr>
                  <w:tcW w:w="4140" w:type="dxa"/>
                  <w:shd w:val="clear" w:color="auto" w:fill="auto"/>
                  <w:vAlign w:val="center"/>
                  <w:hideMark/>
                </w:tcPr>
                <w:p w:rsidR="009F2929" w:rsidRPr="009F2929" w:rsidRDefault="00D87C54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  <w:t>茂林投资</w:t>
                  </w:r>
                </w:p>
              </w:tc>
            </w:tr>
            <w:tr w:rsidR="00D87C54" w:rsidRPr="007C641B" w:rsidTr="00E26530">
              <w:trPr>
                <w:trHeight w:val="375"/>
                <w:jc w:val="center"/>
              </w:trPr>
              <w:tc>
                <w:tcPr>
                  <w:tcW w:w="1647" w:type="dxa"/>
                  <w:shd w:val="clear" w:color="auto" w:fill="auto"/>
                  <w:vAlign w:val="center"/>
                  <w:hideMark/>
                </w:tcPr>
                <w:p w:rsidR="00D87C54" w:rsidRPr="009F2929" w:rsidRDefault="00D87C54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bCs/>
                      <w:iCs/>
                      <w:sz w:val="24"/>
                    </w:rPr>
                    <w:t>袁文龙</w:t>
                  </w:r>
                </w:p>
              </w:tc>
              <w:tc>
                <w:tcPr>
                  <w:tcW w:w="4140" w:type="dxa"/>
                  <w:shd w:val="clear" w:color="auto" w:fill="auto"/>
                  <w:vAlign w:val="center"/>
                  <w:hideMark/>
                </w:tcPr>
                <w:p w:rsidR="00D87C54" w:rsidRPr="009F2929" w:rsidRDefault="00D87C54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bCs/>
                      <w:iCs/>
                      <w:sz w:val="24"/>
                    </w:rPr>
                    <w:t>联</w:t>
                  </w:r>
                  <w:proofErr w:type="gramStart"/>
                  <w:r>
                    <w:rPr>
                      <w:rFonts w:asciiTheme="minorEastAsia" w:eastAsiaTheme="minorEastAsia" w:hAnsiTheme="minorEastAsia" w:cs="Arial" w:hint="eastAsia"/>
                      <w:bCs/>
                      <w:iCs/>
                      <w:sz w:val="24"/>
                    </w:rPr>
                    <w:t>睿</w:t>
                  </w:r>
                  <w:proofErr w:type="gramEnd"/>
                  <w:r>
                    <w:rPr>
                      <w:rFonts w:asciiTheme="minorEastAsia" w:eastAsiaTheme="minorEastAsia" w:hAnsiTheme="minorEastAsia" w:cs="Arial" w:hint="eastAsia"/>
                      <w:bCs/>
                      <w:iCs/>
                      <w:sz w:val="24"/>
                    </w:rPr>
                    <w:t>投资</w:t>
                  </w:r>
                </w:p>
              </w:tc>
            </w:tr>
            <w:tr w:rsidR="00D87C54" w:rsidRPr="007C641B" w:rsidTr="00E26530">
              <w:trPr>
                <w:trHeight w:val="375"/>
                <w:jc w:val="center"/>
              </w:trPr>
              <w:tc>
                <w:tcPr>
                  <w:tcW w:w="1647" w:type="dxa"/>
                  <w:shd w:val="clear" w:color="auto" w:fill="auto"/>
                  <w:vAlign w:val="center"/>
                  <w:hideMark/>
                </w:tcPr>
                <w:p w:rsidR="00D87C54" w:rsidRPr="009F2929" w:rsidRDefault="00D87C54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bCs/>
                      <w:iCs/>
                      <w:sz w:val="24"/>
                    </w:rPr>
                    <w:t>余宗颖</w:t>
                  </w:r>
                </w:p>
              </w:tc>
              <w:tc>
                <w:tcPr>
                  <w:tcW w:w="4140" w:type="dxa"/>
                  <w:shd w:val="clear" w:color="auto" w:fill="auto"/>
                  <w:vAlign w:val="center"/>
                  <w:hideMark/>
                </w:tcPr>
                <w:p w:rsidR="00D87C54" w:rsidRPr="009F2929" w:rsidRDefault="00D87C54" w:rsidP="009F2929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Arial" w:hint="eastAsia"/>
                      <w:bCs/>
                      <w:iCs/>
                      <w:sz w:val="24"/>
                    </w:rPr>
                    <w:t>永丰投顾</w:t>
                  </w:r>
                  <w:proofErr w:type="gramEnd"/>
                </w:p>
              </w:tc>
            </w:tr>
          </w:tbl>
          <w:p w:rsidR="00083742" w:rsidRPr="007D3C8A" w:rsidRDefault="00083742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</w:p>
        </w:tc>
      </w:tr>
      <w:tr w:rsidR="00E4760F" w:rsidRPr="007C641B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CA5660" w:rsidRDefault="00E4760F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时间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CA5660" w:rsidRDefault="00197344" w:rsidP="00D87C54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20</w:t>
            </w:r>
            <w:r w:rsidR="004B0F8E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20</w:t>
            </w: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年</w:t>
            </w:r>
            <w:r w:rsidR="00D87C54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5</w:t>
            </w: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月</w:t>
            </w:r>
            <w:r w:rsidR="00D87C54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11</w:t>
            </w: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日</w:t>
            </w:r>
            <w:r w:rsidR="00AE75DB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1</w:t>
            </w:r>
            <w:r w:rsidR="00D87C54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1</w:t>
            </w:r>
            <w:r w:rsidR="00A77BF2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:</w:t>
            </w:r>
            <w:r w:rsidR="007C641B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0</w:t>
            </w:r>
            <w:r w:rsidR="00A77BF2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0</w:t>
            </w:r>
            <w:r w:rsidR="00C02911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-</w:t>
            </w:r>
            <w:r w:rsidR="00676098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1</w:t>
            </w:r>
            <w:r w:rsidR="00D87C54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2</w:t>
            </w:r>
            <w:r w:rsidR="00C02911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:</w:t>
            </w:r>
            <w:r w:rsidR="007C641B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0</w:t>
            </w:r>
            <w:r w:rsidR="00C02911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0</w:t>
            </w:r>
          </w:p>
        </w:tc>
      </w:tr>
      <w:tr w:rsidR="00E4760F" w:rsidRPr="007C641B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CA5660" w:rsidRDefault="00E4760F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地点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CA5660" w:rsidRDefault="0059576E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电话</w:t>
            </w:r>
          </w:p>
        </w:tc>
      </w:tr>
      <w:tr w:rsidR="00E4760F" w:rsidRPr="007C641B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CA5660" w:rsidRDefault="00E4760F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上市公司接待人员姓名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jc w:val="center"/>
              <w:tblLayout w:type="fixed"/>
              <w:tblLook w:val="0000"/>
            </w:tblPr>
            <w:tblGrid>
              <w:gridCol w:w="1838"/>
              <w:gridCol w:w="3827"/>
            </w:tblGrid>
            <w:tr w:rsidR="002C24BF" w:rsidRPr="007C641B" w:rsidTr="00D10ECF">
              <w:trPr>
                <w:trHeight w:val="510"/>
                <w:jc w:val="center"/>
              </w:trPr>
              <w:tc>
                <w:tcPr>
                  <w:tcW w:w="1838" w:type="dxa"/>
                  <w:vAlign w:val="center"/>
                </w:tcPr>
                <w:p w:rsidR="002C24BF" w:rsidRPr="007C641B" w:rsidRDefault="002C24BF" w:rsidP="002C24BF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 w:rsidRPr="007C641B"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  <w:t>李楠楠</w:t>
                  </w:r>
                </w:p>
              </w:tc>
              <w:tc>
                <w:tcPr>
                  <w:tcW w:w="3827" w:type="dxa"/>
                  <w:vAlign w:val="center"/>
                </w:tcPr>
                <w:p w:rsidR="002C24BF" w:rsidRPr="007C641B" w:rsidRDefault="002C24BF" w:rsidP="002C24BF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 w:rsidRPr="007C641B">
                    <w:rPr>
                      <w:rFonts w:asciiTheme="minorEastAsia" w:eastAsiaTheme="minorEastAsia" w:hAnsiTheme="minorEastAsia" w:cs="Arial" w:hint="eastAsia"/>
                      <w:bCs/>
                      <w:iCs/>
                      <w:sz w:val="24"/>
                    </w:rPr>
                    <w:t>董事会秘书兼副总经理</w:t>
                  </w:r>
                </w:p>
              </w:tc>
            </w:tr>
            <w:tr w:rsidR="00A77BF2" w:rsidRPr="007C641B" w:rsidTr="00D10ECF">
              <w:trPr>
                <w:trHeight w:val="510"/>
                <w:jc w:val="center"/>
              </w:trPr>
              <w:tc>
                <w:tcPr>
                  <w:tcW w:w="1838" w:type="dxa"/>
                  <w:vAlign w:val="center"/>
                </w:tcPr>
                <w:p w:rsidR="00A77BF2" w:rsidRPr="007C641B" w:rsidRDefault="00A77BF2" w:rsidP="002C24BF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 w:rsidRPr="007C641B"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  <w:t>刘阳</w:t>
                  </w:r>
                </w:p>
              </w:tc>
              <w:tc>
                <w:tcPr>
                  <w:tcW w:w="3827" w:type="dxa"/>
                  <w:vAlign w:val="center"/>
                </w:tcPr>
                <w:p w:rsidR="00A77BF2" w:rsidRPr="007C641B" w:rsidRDefault="00A77BF2" w:rsidP="002C24BF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Arial"/>
                      <w:bCs/>
                      <w:iCs/>
                      <w:sz w:val="24"/>
                    </w:rPr>
                  </w:pPr>
                  <w:r w:rsidRPr="007C641B">
                    <w:rPr>
                      <w:rFonts w:asciiTheme="minorEastAsia" w:eastAsiaTheme="minorEastAsia" w:hAnsiTheme="minorEastAsia" w:cs="Arial" w:hint="eastAsia"/>
                      <w:bCs/>
                      <w:iCs/>
                      <w:sz w:val="24"/>
                    </w:rPr>
                    <w:t>投资者关系专员</w:t>
                  </w:r>
                </w:p>
              </w:tc>
            </w:tr>
          </w:tbl>
          <w:p w:rsidR="007F16C9" w:rsidRPr="007C641B" w:rsidRDefault="007F16C9" w:rsidP="007E444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</w:p>
        </w:tc>
      </w:tr>
      <w:tr w:rsidR="00E4760F" w:rsidRPr="00CA5660" w:rsidTr="00E6070D">
        <w:trPr>
          <w:trHeight w:val="55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0F" w:rsidRPr="00CA5660" w:rsidRDefault="00E4760F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2E" w:rsidRPr="00CA5660" w:rsidRDefault="00792795" w:rsidP="007E444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  <w:lang w:val="zh-CN"/>
              </w:rPr>
            </w:pPr>
            <w:r w:rsidRPr="00CA5660">
              <w:rPr>
                <w:rFonts w:asciiTheme="minorEastAsia" w:eastAsiaTheme="minorEastAsia" w:hAnsiTheme="minorEastAsia" w:cs="Arial"/>
                <w:kern w:val="0"/>
                <w:sz w:val="24"/>
                <w:lang w:val="zh-CN"/>
              </w:rPr>
              <w:t>本次投资者关系活动</w:t>
            </w:r>
            <w:r w:rsidR="00DB62B1" w:rsidRPr="00CA5660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以</w:t>
            </w:r>
            <w:r w:rsidR="0059576E" w:rsidRPr="00CA5660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电话</w:t>
            </w:r>
            <w:r w:rsidR="003F4773" w:rsidRPr="00CA5660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会议</w:t>
            </w:r>
            <w:r w:rsidRPr="00CA5660">
              <w:rPr>
                <w:rFonts w:asciiTheme="minorEastAsia" w:eastAsiaTheme="minorEastAsia" w:hAnsiTheme="minorEastAsia" w:cs="Arial"/>
                <w:kern w:val="0"/>
                <w:sz w:val="24"/>
                <w:lang w:val="zh-CN"/>
              </w:rPr>
              <w:t>的方式</w:t>
            </w:r>
            <w:r w:rsidR="0059576E" w:rsidRPr="00CA5660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进行</w:t>
            </w:r>
            <w:r w:rsidRPr="00CA5660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。</w:t>
            </w:r>
            <w:r w:rsidR="009A2D49" w:rsidRPr="00CA5660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会议中，</w:t>
            </w:r>
            <w:r w:rsidR="00DA1C7C" w:rsidRPr="00CA5660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公司</w:t>
            </w:r>
            <w:proofErr w:type="gramStart"/>
            <w:r w:rsidR="003F4773" w:rsidRPr="00CA5660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董秘</w:t>
            </w:r>
            <w:r w:rsidR="00A77BF2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对</w:t>
            </w:r>
            <w:proofErr w:type="gramEnd"/>
            <w:r w:rsidR="00A77BF2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公司</w:t>
            </w:r>
            <w:r w:rsidR="00C5356A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战略调整以来公司取得的进展及目前</w:t>
            </w:r>
            <w:r w:rsidR="00016A36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情况</w:t>
            </w:r>
            <w:r w:rsidR="00A77BF2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进行了</w:t>
            </w:r>
            <w:r w:rsidR="00C5356A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介绍</w:t>
            </w:r>
            <w:r w:rsidR="00094FFC" w:rsidRPr="00CA5660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，并回答了投资者的提问</w:t>
            </w:r>
            <w:r w:rsidRPr="00CA5660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一</w:t>
            </w:r>
            <w:r w:rsidRPr="006A0CFE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、</w:t>
            </w:r>
            <w:r w:rsidRPr="006A0CFE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结构调整达到预期</w:t>
            </w:r>
            <w:r w:rsidRPr="006A0CFE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财务指标日益优化</w:t>
            </w:r>
          </w:p>
          <w:p w:rsidR="006A0CFE" w:rsidRPr="006A0CFE" w:rsidRDefault="00D87C54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2019年</w:t>
            </w:r>
            <w:r w:rsidR="006A0CFE"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，公司实现营业收入超过9</w:t>
            </w:r>
            <w:r w:rsidR="006A0CFE"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0亿元</w:t>
            </w:r>
            <w:r w:rsidR="006A0CFE"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="006A0CFE"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同比增长</w:t>
            </w:r>
            <w:r w:rsidR="006A0CFE"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</w:t>
            </w:r>
            <w:r w:rsidR="006A0CFE"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7.49</w:t>
            </w:r>
            <w:r w:rsidR="006A0CFE"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%；其中国内占比</w:t>
            </w:r>
            <w:r w:rsidR="006A0CFE"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69.40</w:t>
            </w:r>
            <w:r w:rsidR="006A0CFE"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%，</w:t>
            </w:r>
            <w:r w:rsidR="006A0CFE"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海外占比30.60</w:t>
            </w:r>
            <w:r w:rsidR="006A0CFE"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1、主营业务结构体现战略定位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智能显示营</w:t>
            </w:r>
            <w:proofErr w:type="gramStart"/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收实现</w:t>
            </w:r>
            <w:proofErr w:type="gramEnd"/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64.44亿元，同比增长26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%。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公司通过推出新产品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、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拓展新市场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等方式，提高了智能显示板块的增速，使其业务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lastRenderedPageBreak/>
              <w:t>占比进一步提高到7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0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%以上。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由于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L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CD毛利率略有调整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及结算的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L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ED常规显示屏项目毛利率略有下调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智能显示毛利率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下降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3.61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个百分点；夜游经济由于单个项目规模缩小，价格竞争激烈，毛利率降至行业平均水平，由于结合现金流等财务指标的综合考虑，公司控制该业务板块营收规模，报告期该业务下滑1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2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%；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文旅新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业态毛利率较为稳定，增速符合预期；V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R体验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国内市场以解决方案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方式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拓展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毛利率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在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合理范围内下调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2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、经营性现金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流日益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优化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公司将经营性现金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流指标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作为成员公司年度考核指标之一，并成立了专门的集团应收款管理部，加大对应收款的管理力度，使经营性现金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流日益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优化。2019年，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公司实现经营性现金流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9.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13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亿元，与净利润比超过100%（与加回商誉减值3.36亿元后净利润10.4亿元比为87.81%）。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3、应收款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公司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2019年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应收款增加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5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.5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7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亿元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其中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1年以内应收款增加3亿元；应收款增长率较上年同期有所下降。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截至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目前，2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019年武汉军运会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汇总项目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回款比例为70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%，2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018年青岛上合峰会回款比例为70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4、存货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存货中，原材料、在产品、库存商品及发出商品合计占比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38%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较期初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余额减少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2个百分点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，此部分大多为智能显示产品形成的存货，属于正常生产备货所需，随着订单的执行将逐步消化。工程成本（未验收资产）占比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17%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较期初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余额增加3个百分点，表明智能显示板块未验收未确认收入的项目增多；工程成本中建造合同形成的未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100%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完工未结算资产及建造合同形成的已完工未结算资产合计占比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44%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较期初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余额减少2个百分点，表示夜游经济板块按照完工百分比法形成的存货，比重在减少。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5、净利率归入行业常态区间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公司的净利率随着业务结构的调整经历了两个调整周期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。2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012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-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2016年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，公司自主研发的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小间距业务占</w:t>
            </w:r>
            <w:proofErr w:type="gramStart"/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比逐步</w:t>
            </w:r>
            <w:proofErr w:type="gramEnd"/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提高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proofErr w:type="gramStart"/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同时小</w:t>
            </w:r>
            <w:proofErr w:type="gramEnd"/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间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lastRenderedPageBreak/>
              <w:t>距电视毛利率也从最高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3.30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%调整到目前的稳定水平3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5.77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%，故公司净利率从1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0.23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提高到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6.35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又回落到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5.28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%。2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016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-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2018年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小间距进入稳定毛利水平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，公司开创的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夜游经济业务占</w:t>
            </w:r>
            <w:proofErr w:type="gramStart"/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比逐步</w:t>
            </w:r>
            <w:proofErr w:type="gramEnd"/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提高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同时夜游经济毛利率随着政策因素带来的影响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从最高毛利率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1.94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调整到目前的稳定水平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1.35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%。2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019年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小间距及夜游经济毛利率均趋于稳定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公司加回商誉减值后的净利率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1.5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为目前公司常态水平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6、商誉减值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截止2019年年末，公司大额收购的资产均已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对赌期结束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，基本均完成对赌业绩。由于2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018年开始的政府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“去杠杆”政策，逐步对公司夜游经济业务及部分文化业务产生业绩影响；2019年12月，中央“不忘初心、牢记使命”主题教育领导小组印发《关于整治“景观亮化工程”过度化等“政绩工程”、“面子工程”问题的通知》，虽然集团旗下照明公司均开始向文化转型，开展新的道路照明业务等，但未来几年夜游经济板块业绩存在不确定性，公司做出商誉减值336,083,655元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7、季度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业绩环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比增长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公司第四季度净利润中核减了商誉减值3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.36亿元及业绩对赌奖励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5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,830万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加回后经营净利润为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96,949,400元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。数据显示，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第二季度的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营收及净利润是本年度最低值，第三季度开始营收及净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利润环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比增长，业绩呈现明显上升趋势。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二、智能显示常规产品稳定增长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1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、小间距保持高速增长，同比增速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32.35%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，其中海外小间距占比34%，增速加快达到6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1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2、常规显示屏增速稳定。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由于透明屏新产品的加入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，并加入渠道销售模式，同时显示在夜游、文化等业务板块中的应用逐步增多，L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ED显示屏增速达到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4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3、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LCD</w:t>
            </w:r>
            <w:proofErr w:type="gramStart"/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大屏拼墙被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L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ED小间距替代加速。美国平达的小间距收入占其营业收入比重提升至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9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%。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lastRenderedPageBreak/>
              <w:t>4、渠道销售增速平稳。以产品价格为主导的经销市场在增加新进竞争对手后，必然将迎来价格竞争，但当品牌影响逐步成为主导因素后，经销市场将会体现品牌红利。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三、全球首家Mini/</w:t>
            </w:r>
            <w:r w:rsidRPr="006A0CFE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Micro LED显示量产基地下半年落成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利亚德与台湾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晶元光电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合资公司——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利晶微电子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技术（江苏）有限公司于2020年3月26日在无锡注册完成。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目前量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产基地正在装修，研发及生产设备在采购过程中，主要管理人员及研发人员已经到位，生产人员正在陆续到岗。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无锡基地主要经营范围是：研发和生产以倒装封装、巨量转移为主要生产工艺的Mini LED背光显示、Mini/Micro自发光显示产品。预计5年内投资金额10亿元，分两个阶段实施。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第一阶段：2020年7月至-2022年12月；2020年7月，厂房装修完成，设备调试完成，人员到岗，Mini LED背光显示及自发光显示试产；2020年10月，Mini LED背光显示及Mini/Micro自发光显示正式投产，2021年Micro自发光显示批量生产，2022年Mini LED背光显示、Mini/Micro LED自发光显示达产。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第二阶段：2023年至2025年；量产基地扩产，Micro LED自发光显示大规模量产。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四、新产品投放市场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1、LED透明屏产品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公司于2019年4月开发的该产品投放市场，当年已实现2亿元订单，并在国庆70周年晚会等重要项目中应用。随着透明屏产品的不断稳定成熟，应用的市场领域越来越广阔，包括玻璃橱窗、玻璃幕墙、商业中庭、营业网点等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2、大屏幕视频会议系统</w:t>
            </w:r>
          </w:p>
          <w:p w:rsid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产品定位：通过桌面方案整合屏和周边其他的硬件。通过开放硬件平台，让系统集成商可以很好的将我们的产品集成到方案中，也可以让更多的软件公司基于我们的硬件平台去开发各种会议应用。最终面向不同的行业用户的不同会议场景。</w:t>
            </w:r>
          </w:p>
          <w:p w:rsidR="005229CB" w:rsidRPr="005229CB" w:rsidRDefault="005229CB" w:rsidP="005229C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5229CB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lastRenderedPageBreak/>
              <w:t>解决方案</w:t>
            </w:r>
            <w:r w:rsidRPr="005229CB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：</w:t>
            </w:r>
          </w:p>
          <w:p w:rsidR="005229CB" w:rsidRPr="005229CB" w:rsidRDefault="005229CB" w:rsidP="005229C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29C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高端会议室：从视频、音频、控制、家具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等做</w:t>
            </w:r>
            <w:r w:rsidRPr="005229C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全方位的设计，实现无缝的大尺寸显示，实现隐藏式的摄像头安装，实现立体的声音采集和还原。家具的摆放，灯光的部署也要根据摄像头拍摄的需求进行设计。最终给用户的感觉是一种沉浸在其中和对方开会的感觉。</w:t>
            </w:r>
          </w:p>
          <w:p w:rsidR="005229CB" w:rsidRPr="005229CB" w:rsidRDefault="005229CB" w:rsidP="005229C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29C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普通会议室：整合100吋</w:t>
            </w:r>
            <w:r w:rsidRPr="005229CB">
              <w:rPr>
                <w:rFonts w:asciiTheme="minorEastAsia" w:eastAsiaTheme="minorEastAsia" w:hAnsiTheme="minorEastAsia" w:cs="Arial"/>
                <w:kern w:val="0"/>
                <w:sz w:val="24"/>
              </w:rPr>
              <w:t>LCD</w:t>
            </w:r>
            <w:r w:rsidRPr="005229C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和小间距L</w:t>
            </w:r>
            <w:r w:rsidRPr="005229CB">
              <w:rPr>
                <w:rFonts w:asciiTheme="minorEastAsia" w:eastAsiaTheme="minorEastAsia" w:hAnsiTheme="minorEastAsia" w:cs="Arial"/>
                <w:kern w:val="0"/>
                <w:sz w:val="24"/>
              </w:rPr>
              <w:t>ED</w:t>
            </w:r>
            <w:r w:rsidRPr="005229C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一体机，结合现有的</w:t>
            </w:r>
            <w:proofErr w:type="spellStart"/>
            <w:r w:rsidRPr="005229C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lemuse</w:t>
            </w:r>
            <w:proofErr w:type="spellEnd"/>
            <w:r w:rsidRPr="005229C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音频，面向便捷会议室市场。</w:t>
            </w:r>
          </w:p>
          <w:p w:rsidR="005229CB" w:rsidRPr="005229CB" w:rsidRDefault="005229CB" w:rsidP="005229C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29CB">
              <w:rPr>
                <w:rFonts w:asciiTheme="minorEastAsia" w:eastAsiaTheme="minorEastAsia" w:hAnsiTheme="minorEastAsia" w:cs="Arial"/>
                <w:kern w:val="0"/>
                <w:sz w:val="24"/>
              </w:rPr>
              <w:t>营业</w:t>
            </w:r>
            <w:r w:rsidRPr="005229C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网点：结合透明</w:t>
            </w:r>
            <w:r w:rsidRPr="005229CB">
              <w:rPr>
                <w:rFonts w:asciiTheme="minorEastAsia" w:eastAsiaTheme="minorEastAsia" w:hAnsiTheme="minorEastAsia" w:cs="Arial"/>
                <w:kern w:val="0"/>
                <w:sz w:val="24"/>
              </w:rPr>
              <w:t>LCD</w:t>
            </w:r>
            <w:r w:rsidRPr="005229C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可以抓住用户眼球的特点，结合自身的全套音视频产品，提供营业网点的显示、扩声全套方案。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五、正在培育的市场和产品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为了提高LED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显示市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占率，公司将陆续拓展细分市场。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1、家用显示市场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019年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1月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4日公司成功在北京举行新品发布会，共发布两个消费者品牌（美国PLANAR品牌和新创的L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EMASS品牌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）以及三款消费者电视产品。2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020年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1月7日，在美国拉斯维加斯C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ES消费电子展上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利亚德消费者电视也展示了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5款电视，其中两款</w:t>
            </w:r>
            <w:r w:rsidRPr="006A0CFE">
              <w:rPr>
                <w:rFonts w:asciiTheme="minorEastAsia" w:eastAsiaTheme="minorEastAsia" w:hAnsiTheme="minorEastAsia" w:cs="Arial"/>
                <w:kern w:val="0"/>
                <w:sz w:val="24"/>
              </w:rPr>
              <w:t>荣获全球电视技术创新金奖</w:t>
            </w: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今年，公司将在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一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二线城市通过国美等门店全面展示产品，同时通过京东、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天猫等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平台增加曝光度，扩大宣传。在三四线城市，除了传统家电连锁渠道外，将积极布局渠道与工程代理扩大覆盖面。</w:t>
            </w:r>
          </w:p>
          <w:p w:rsidR="006A0CFE" w:rsidRPr="006A0CFE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2、影院市场</w:t>
            </w:r>
          </w:p>
          <w:p w:rsidR="006A0CFE" w:rsidRPr="00016A36" w:rsidRDefault="006A0CFE" w:rsidP="006A0CF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目前，公司专门针对影院市场的电影屏的屏</w:t>
            </w:r>
            <w:proofErr w:type="gramStart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体设计</w:t>
            </w:r>
            <w:proofErr w:type="gramEnd"/>
            <w:r w:rsidRPr="006A0CF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打样调试均已经完成，在与合作商沟通技术对接，和DCI实验室在进行方案和资料的审</w:t>
            </w:r>
            <w:r w:rsidRPr="00016A36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核准备。</w:t>
            </w:r>
          </w:p>
          <w:p w:rsidR="00510642" w:rsidRPr="00016A36" w:rsidRDefault="00C5356A" w:rsidP="0051064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</w:rPr>
              <w:t>六</w:t>
            </w:r>
            <w:r w:rsidR="00510642" w:rsidRPr="00016A3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</w:rPr>
              <w:t>、</w:t>
            </w:r>
            <w:r w:rsidR="00D87C54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</w:rPr>
              <w:t>目前经营情况介绍</w:t>
            </w:r>
          </w:p>
          <w:p w:rsidR="00510642" w:rsidRPr="00016A36" w:rsidRDefault="00510642" w:rsidP="0051064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  <w:r w:rsidRPr="00016A36">
              <w:rPr>
                <w:rFonts w:asciiTheme="minorEastAsia" w:eastAsiaTheme="minorEastAsia" w:hAnsiTheme="minorEastAsia" w:cs="Arial" w:hint="eastAsia"/>
                <w:bCs/>
                <w:kern w:val="0"/>
                <w:sz w:val="24"/>
              </w:rPr>
              <w:t>2019年，公司为新的战略目标做了很多准备工作，2020年我们也</w:t>
            </w:r>
            <w:r w:rsidR="00C5356A">
              <w:rPr>
                <w:rFonts w:asciiTheme="minorEastAsia" w:eastAsiaTheme="minorEastAsia" w:hAnsiTheme="minorEastAsia" w:cs="Arial" w:hint="eastAsia"/>
                <w:bCs/>
                <w:kern w:val="0"/>
                <w:sz w:val="24"/>
              </w:rPr>
              <w:t>将</w:t>
            </w:r>
            <w:r w:rsidRPr="00016A36">
              <w:rPr>
                <w:rFonts w:asciiTheme="minorEastAsia" w:eastAsiaTheme="minorEastAsia" w:hAnsiTheme="minorEastAsia" w:cs="Arial" w:hint="eastAsia"/>
                <w:bCs/>
                <w:kern w:val="0"/>
                <w:sz w:val="24"/>
              </w:rPr>
              <w:t>继续沿着这个思路开发新产品、稳定老产品。</w:t>
            </w:r>
          </w:p>
          <w:p w:rsidR="00510642" w:rsidRPr="00016A36" w:rsidRDefault="00C5356A" w:rsidP="00C5356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kern w:val="0"/>
                <w:sz w:val="24"/>
              </w:rPr>
            </w:pPr>
            <w:r w:rsidRPr="00C5356A">
              <w:rPr>
                <w:rFonts w:ascii="宋体" w:cs="宋体" w:hint="eastAsia"/>
                <w:kern w:val="0"/>
                <w:sz w:val="24"/>
              </w:rPr>
              <w:t>公司</w:t>
            </w:r>
            <w:r w:rsidR="00D87C54">
              <w:rPr>
                <w:rFonts w:ascii="宋体" w:cs="宋体" w:hint="eastAsia"/>
                <w:kern w:val="0"/>
                <w:sz w:val="24"/>
              </w:rPr>
              <w:t>于</w:t>
            </w:r>
            <w:r w:rsidRPr="00C5356A">
              <w:rPr>
                <w:rFonts w:ascii="宋体" w:cs="宋体" w:hint="eastAsia"/>
                <w:kern w:val="0"/>
                <w:sz w:val="24"/>
              </w:rPr>
              <w:t>在</w:t>
            </w:r>
            <w:r w:rsidRPr="00C5356A">
              <w:rPr>
                <w:rFonts w:ascii="宋体" w:cs="宋体"/>
                <w:kern w:val="0"/>
                <w:sz w:val="24"/>
              </w:rPr>
              <w:t>2</w:t>
            </w:r>
            <w:r w:rsidRPr="00C5356A">
              <w:rPr>
                <w:rFonts w:ascii="宋体" w:cs="宋体" w:hint="eastAsia"/>
                <w:kern w:val="0"/>
                <w:sz w:val="24"/>
              </w:rPr>
              <w:t>月</w:t>
            </w:r>
            <w:r w:rsidRPr="00C5356A">
              <w:rPr>
                <w:rFonts w:ascii="宋体" w:cs="宋体"/>
                <w:kern w:val="0"/>
                <w:sz w:val="24"/>
              </w:rPr>
              <w:t>10</w:t>
            </w:r>
            <w:r w:rsidRPr="00C5356A">
              <w:rPr>
                <w:rFonts w:ascii="宋体" w:cs="宋体" w:hint="eastAsia"/>
                <w:kern w:val="0"/>
                <w:sz w:val="24"/>
              </w:rPr>
              <w:t>日开始陆续复工，生产复产，但由于物流原因，</w:t>
            </w:r>
            <w:r w:rsidRPr="00C5356A">
              <w:rPr>
                <w:rFonts w:ascii="宋体" w:cs="宋体" w:hint="eastAsia"/>
                <w:kern w:val="0"/>
                <w:sz w:val="24"/>
              </w:rPr>
              <w:lastRenderedPageBreak/>
              <w:t>产品生产出来无法运输；客户现场不能进入，导致已经在实施现场的产品无法安装和调试</w:t>
            </w:r>
            <w:r>
              <w:rPr>
                <w:rFonts w:ascii="宋体" w:cs="宋体" w:hint="eastAsia"/>
                <w:kern w:val="0"/>
                <w:sz w:val="24"/>
              </w:rPr>
              <w:t>，使得</w:t>
            </w:r>
            <w:r w:rsidR="00D87C54">
              <w:rPr>
                <w:rFonts w:ascii="宋体" w:cs="宋体" w:hint="eastAsia"/>
                <w:kern w:val="0"/>
                <w:sz w:val="24"/>
              </w:rPr>
              <w:t>一季度</w:t>
            </w:r>
            <w:r w:rsidRPr="00C5356A">
              <w:rPr>
                <w:rFonts w:ascii="宋体" w:cs="宋体" w:hint="eastAsia"/>
                <w:kern w:val="0"/>
                <w:sz w:val="24"/>
              </w:rPr>
              <w:t>公司境内业务营业收入及净利润受疫情影响较大，境外业务受境内物流出口影响收入</w:t>
            </w:r>
            <w:r w:rsidR="00D87C54">
              <w:rPr>
                <w:rFonts w:ascii="宋体" w:cs="宋体" w:hint="eastAsia"/>
                <w:kern w:val="0"/>
                <w:sz w:val="24"/>
              </w:rPr>
              <w:t>也</w:t>
            </w:r>
            <w:r w:rsidRPr="00C5356A">
              <w:rPr>
                <w:rFonts w:ascii="宋体" w:cs="宋体" w:hint="eastAsia"/>
                <w:kern w:val="0"/>
                <w:sz w:val="24"/>
              </w:rPr>
              <w:t>略有下降。</w:t>
            </w:r>
          </w:p>
          <w:p w:rsidR="00510642" w:rsidRPr="00016A36" w:rsidRDefault="00D87C54" w:rsidP="0051064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二季度以来</w:t>
            </w:r>
            <w:r w:rsidR="00510642" w:rsidRPr="00016A36">
              <w:rPr>
                <w:rFonts w:ascii="宋体" w:cs="宋体" w:hint="eastAsia"/>
                <w:kern w:val="0"/>
                <w:sz w:val="24"/>
              </w:rPr>
              <w:t>，国内疫情已</w:t>
            </w:r>
            <w:r w:rsidR="00C5356A">
              <w:rPr>
                <w:rFonts w:ascii="宋体" w:cs="宋体" w:hint="eastAsia"/>
                <w:kern w:val="0"/>
                <w:sz w:val="24"/>
              </w:rPr>
              <w:t>基本</w:t>
            </w:r>
            <w:r w:rsidR="00510642" w:rsidRPr="00016A36">
              <w:rPr>
                <w:rFonts w:ascii="宋体" w:cs="宋体" w:hint="eastAsia"/>
                <w:kern w:val="0"/>
                <w:sz w:val="24"/>
              </w:rPr>
              <w:t>得到控制，招投标业务</w:t>
            </w:r>
            <w:r>
              <w:rPr>
                <w:rFonts w:ascii="宋体" w:cs="宋体" w:hint="eastAsia"/>
                <w:kern w:val="0"/>
                <w:sz w:val="24"/>
              </w:rPr>
              <w:t>也</w:t>
            </w:r>
            <w:r w:rsidR="00510642" w:rsidRPr="00016A36">
              <w:rPr>
                <w:rFonts w:ascii="宋体" w:cs="宋体" w:hint="eastAsia"/>
                <w:kern w:val="0"/>
                <w:sz w:val="24"/>
              </w:rPr>
              <w:t>已正常开展。</w:t>
            </w:r>
            <w:r>
              <w:rPr>
                <w:rFonts w:ascii="宋体" w:cs="宋体" w:hint="eastAsia"/>
                <w:kern w:val="0"/>
                <w:sz w:val="24"/>
              </w:rPr>
              <w:t>各地随着解封政策的实施</w:t>
            </w:r>
            <w:r w:rsidR="00510642" w:rsidRPr="00016A36">
              <w:rPr>
                <w:rFonts w:ascii="宋体" w:cs="宋体" w:hint="eastAsia"/>
                <w:kern w:val="0"/>
                <w:sz w:val="24"/>
              </w:rPr>
              <w:t>，物流和现场</w:t>
            </w:r>
            <w:r>
              <w:rPr>
                <w:rFonts w:ascii="宋体" w:cs="宋体" w:hint="eastAsia"/>
                <w:kern w:val="0"/>
                <w:sz w:val="24"/>
              </w:rPr>
              <w:t>施工已</w:t>
            </w:r>
            <w:r w:rsidR="00510642" w:rsidRPr="00016A36">
              <w:rPr>
                <w:rFonts w:ascii="宋体" w:cs="宋体" w:hint="eastAsia"/>
                <w:kern w:val="0"/>
                <w:sz w:val="24"/>
              </w:rPr>
              <w:t>逐</w:t>
            </w:r>
            <w:r w:rsidR="00C5356A">
              <w:rPr>
                <w:rFonts w:ascii="宋体" w:cs="宋体" w:hint="eastAsia"/>
                <w:kern w:val="0"/>
                <w:sz w:val="24"/>
              </w:rPr>
              <w:t>步</w:t>
            </w:r>
            <w:r>
              <w:rPr>
                <w:rFonts w:ascii="宋体" w:cs="宋体" w:hint="eastAsia"/>
                <w:kern w:val="0"/>
                <w:sz w:val="24"/>
              </w:rPr>
              <w:t>得到</w:t>
            </w:r>
            <w:r w:rsidR="00C5356A">
              <w:rPr>
                <w:rFonts w:ascii="宋体" w:cs="宋体" w:hint="eastAsia"/>
                <w:kern w:val="0"/>
                <w:sz w:val="24"/>
              </w:rPr>
              <w:t>放开。海外大部分业务在美国，以当地自产自销为主，目前</w:t>
            </w:r>
            <w:r>
              <w:rPr>
                <w:rFonts w:ascii="宋体" w:cs="宋体" w:hint="eastAsia"/>
                <w:kern w:val="0"/>
                <w:sz w:val="24"/>
              </w:rPr>
              <w:t>，海外</w:t>
            </w:r>
            <w:r w:rsidR="00C5356A">
              <w:rPr>
                <w:rFonts w:ascii="宋体" w:cs="宋体" w:hint="eastAsia"/>
                <w:kern w:val="0"/>
                <w:sz w:val="24"/>
              </w:rPr>
              <w:t>工厂</w:t>
            </w:r>
            <w:r w:rsidR="00510642" w:rsidRPr="00016A36">
              <w:rPr>
                <w:rFonts w:ascii="宋体" w:cs="宋体" w:hint="eastAsia"/>
                <w:kern w:val="0"/>
                <w:sz w:val="24"/>
              </w:rPr>
              <w:t>未停工，</w:t>
            </w:r>
            <w:r>
              <w:rPr>
                <w:rFonts w:ascii="宋体" w:cs="宋体" w:hint="eastAsia"/>
                <w:kern w:val="0"/>
                <w:sz w:val="24"/>
              </w:rPr>
              <w:t>但受影响程度还需看海外对疫情发展及防控措施情况</w:t>
            </w:r>
            <w:r w:rsidR="00510642" w:rsidRPr="00016A36">
              <w:rPr>
                <w:rFonts w:ascii="宋体" w:cs="宋体" w:hint="eastAsia"/>
                <w:kern w:val="0"/>
                <w:sz w:val="24"/>
              </w:rPr>
              <w:t>。</w:t>
            </w:r>
          </w:p>
          <w:p w:rsidR="00510642" w:rsidRPr="00510642" w:rsidRDefault="00510642" w:rsidP="00FF5A4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</w:p>
          <w:p w:rsidR="009A6038" w:rsidRPr="00CA5660" w:rsidRDefault="00510642" w:rsidP="00FF5A4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</w:rPr>
              <w:t>三</w:t>
            </w:r>
            <w:r w:rsidR="009F0B7E" w:rsidRPr="00CA566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</w:rPr>
              <w:t>、投资者问题</w:t>
            </w:r>
          </w:p>
          <w:p w:rsidR="00514645" w:rsidRDefault="00510642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</w:t>
            </w:r>
            <w:r w:rsidR="00E6215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、</w:t>
            </w:r>
            <w:r w:rsidR="00514645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请问贵司与</w:t>
            </w:r>
            <w:proofErr w:type="gramStart"/>
            <w:r w:rsidR="00514645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台湾晶电的</w:t>
            </w:r>
            <w:proofErr w:type="gramEnd"/>
            <w:r w:rsidR="00514645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合作模式是怎样的？</w:t>
            </w:r>
          </w:p>
          <w:p w:rsidR="00514645" w:rsidRDefault="00514645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答：</w:t>
            </w:r>
            <w:proofErr w:type="gramStart"/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台湾晶电是</w:t>
            </w:r>
            <w:proofErr w:type="gramEnd"/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上游芯片生产商，利亚德</w:t>
            </w:r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是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应用产品生产商</w:t>
            </w:r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和推广方。未来通过巨量转移技术生产Mini/</w:t>
            </w:r>
            <w:proofErr w:type="spellStart"/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MicroLED</w:t>
            </w:r>
            <w:proofErr w:type="spellEnd"/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省去了中间封装环节，上游芯片厂和下游应用端只有紧密合作才能实现共赢。在这个背景下，</w:t>
            </w:r>
            <w:proofErr w:type="gramStart"/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台湾晶电和利亚</w:t>
            </w:r>
            <w:proofErr w:type="gramEnd"/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德强</w:t>
            </w:r>
            <w:proofErr w:type="gramStart"/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强</w:t>
            </w:r>
            <w:proofErr w:type="gramEnd"/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联合，通过成立合资企业的方式来共同推进Mini/</w:t>
            </w:r>
            <w:proofErr w:type="spellStart"/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MicroLED</w:t>
            </w:r>
            <w:proofErr w:type="spellEnd"/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产业的加速落地，并有利于双方在LED产业</w:t>
            </w:r>
            <w:proofErr w:type="gramStart"/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链发挥</w:t>
            </w:r>
            <w:proofErr w:type="gramEnd"/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协同效应占据先发优势。</w:t>
            </w:r>
          </w:p>
          <w:p w:rsidR="00514645" w:rsidRDefault="00514645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5C1F94" w:rsidRDefault="00514645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2、</w:t>
            </w:r>
            <w:r w:rsidR="0061767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请问Mini/Micro量产基地</w:t>
            </w:r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的</w:t>
            </w:r>
            <w:r w:rsidR="0061767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目标客户</w:t>
            </w:r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有哪些</w:t>
            </w:r>
            <w:r w:rsidR="005C1F9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？</w:t>
            </w:r>
          </w:p>
          <w:p w:rsidR="005C1F94" w:rsidRDefault="005C1F94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答：</w:t>
            </w:r>
            <w:r w:rsidR="0061767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合资公司的客户有两类，一个是背光模组客户，比如用于手机、pad、笔记本、电视等电子产品的背光，这类客户以主流大型公司为主，合资公司一直有在对接沟通；二是自发光产品，合资公司生产完的自发光Mini/Micro大屏将由利亚德进行销售，我们将通过成熟的直销和渠道</w:t>
            </w:r>
            <w:r w:rsidR="003A585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方式</w:t>
            </w:r>
            <w:r w:rsidR="0061767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="003A585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在</w:t>
            </w:r>
            <w:r w:rsidR="0061767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国内外市场同时进行</w:t>
            </w:r>
            <w:r w:rsidR="003A585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推广</w:t>
            </w:r>
            <w:r w:rsidR="0061767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</w:t>
            </w:r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目前也都</w:t>
            </w:r>
            <w:r w:rsidR="003A585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在铺垫中。</w:t>
            </w:r>
          </w:p>
          <w:p w:rsidR="005C1F94" w:rsidRDefault="005C1F94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6968E7" w:rsidRDefault="001F3DBC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</w:t>
            </w:r>
            <w:r w:rsidR="003A585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、</w:t>
            </w:r>
            <w:r w:rsid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公司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合资企业生产的Mini</w:t>
            </w:r>
            <w:r w:rsid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LED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背光产品</w:t>
            </w:r>
            <w:r w:rsid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有什么特点？</w:t>
            </w:r>
          </w:p>
          <w:p w:rsidR="006968E7" w:rsidRPr="006968E7" w:rsidRDefault="006968E7" w:rsidP="006968E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答：具体来说，合资企业</w:t>
            </w:r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Mini LED显示用于背光的应用市场包括大尺寸LCD 显示，</w:t>
            </w:r>
            <w:proofErr w:type="gramStart"/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电竞等</w:t>
            </w:r>
            <w:proofErr w:type="gramEnd"/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高端显示器，笔记本、平板显示和车载显示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等</w:t>
            </w:r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其特点包括：</w:t>
            </w:r>
          </w:p>
          <w:p w:rsidR="006968E7" w:rsidRPr="006968E7" w:rsidRDefault="006968E7" w:rsidP="006968E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lastRenderedPageBreak/>
              <w:t>（1）</w:t>
            </w:r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针对LCD显示产品对高亮，高对比度，</w:t>
            </w:r>
            <w:proofErr w:type="gramStart"/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宽色域</w:t>
            </w:r>
            <w:proofErr w:type="gramEnd"/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，低功耗的需求，全倒装Mini LED显示做背光可实现高分区动态调光，减少光晕效应，提高对比度的同时更节能，结合量子点薄膜能实现DCI-P3色域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；</w:t>
            </w:r>
          </w:p>
          <w:p w:rsidR="006968E7" w:rsidRPr="006968E7" w:rsidRDefault="006968E7" w:rsidP="006968E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（2）</w:t>
            </w:r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针对</w:t>
            </w:r>
            <w:proofErr w:type="gramStart"/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电竞等</w:t>
            </w:r>
            <w:proofErr w:type="gramEnd"/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高端显示器高亮、高刷、高对比度和低曲率半径的要求，可将Mini LED背光和柔性基板技术结合，满足低曲率半径的同时实现薄型化直下式Mini LED背光，提供完美沉浸感；</w:t>
            </w:r>
          </w:p>
          <w:p w:rsidR="006968E7" w:rsidRPr="006968E7" w:rsidRDefault="006968E7" w:rsidP="006968E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（3）</w:t>
            </w:r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由于Mini LED背光的轻薄特性，其在笔电、平板等领域也将有较大发展空间；</w:t>
            </w:r>
          </w:p>
          <w:p w:rsidR="006968E7" w:rsidRDefault="006968E7" w:rsidP="006968E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（4）</w:t>
            </w:r>
            <w:r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在车载显示领域，Mini LED可解决普通显示屏亮度缺陷及OLED的可靠性短板，亦可实现曲面显示。</w:t>
            </w:r>
          </w:p>
          <w:p w:rsidR="006968E7" w:rsidRPr="006968E7" w:rsidRDefault="006968E7" w:rsidP="006968E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956982" w:rsidRDefault="006968E7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4、合资企业生产的Mini LED背光产品</w:t>
            </w:r>
            <w:r w:rsidR="001F3DB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是否会比市场上其他企业现有的Mini背光产品价格更有优势</w:t>
            </w:r>
            <w:r w:rsidR="003A585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？</w:t>
            </w:r>
          </w:p>
          <w:p w:rsidR="00570DD6" w:rsidRDefault="003A585F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答：</w:t>
            </w:r>
            <w:r w:rsidR="006968E7"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根据集</w:t>
            </w:r>
            <w:proofErr w:type="gramStart"/>
            <w:r w:rsidR="006968E7"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邦</w:t>
            </w:r>
            <w:proofErr w:type="gramEnd"/>
            <w:r w:rsidR="006968E7"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咨询光电研究(</w:t>
            </w:r>
            <w:proofErr w:type="spellStart"/>
            <w:r w:rsidR="006968E7"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WitsView</w:t>
            </w:r>
            <w:proofErr w:type="spellEnd"/>
            <w:r w:rsidR="006968E7"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)的《新型显示技术成本分析报告》指出，65寸4K电视若采用Mini LED背光，整个显示器模组的生产成本预估较2018年下降约5~10%，对于Mini LED推广将有所助益。</w:t>
            </w:r>
          </w:p>
          <w:p w:rsidR="003A585F" w:rsidRDefault="001F3DBC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合资企业生产的Mini背光产品</w:t>
            </w:r>
            <w:r w:rsidR="006968E7" w:rsidRP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可进行直下式区域调光</w:t>
            </w:r>
            <w:r w:rsidR="006968E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与现有其他厂商的Mini背光产品的技术路线和应用方案不一样，</w:t>
            </w:r>
            <w:r w:rsidR="00570DD6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是现有技术的一次重要升级，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初期阶段成本不一定会更低，但随着技术的成熟和规模效应，成本会</w:t>
            </w:r>
            <w:r w:rsidR="008E78D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逐步下降</w:t>
            </w:r>
            <w:r w:rsidR="00E2071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</w:t>
            </w:r>
          </w:p>
          <w:p w:rsidR="006968E7" w:rsidRDefault="006968E7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6968E7" w:rsidRDefault="006968E7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5、</w:t>
            </w:r>
            <w:r w:rsidR="00570DD6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合资企业的Mini/Micro LED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自发光产品</w:t>
            </w:r>
            <w:r w:rsidR="00570DD6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的应用领域有哪些？</w:t>
            </w:r>
          </w:p>
          <w:p w:rsidR="00570DD6" w:rsidRDefault="00570DD6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答：</w:t>
            </w:r>
            <w:r w:rsidRPr="00570DD6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Mini/Micro 自发光LED市场发展有两大方向，分别是大尺寸LED显示和小尺寸LED显示。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大尺寸的如</w:t>
            </w:r>
            <w:r w:rsidRPr="00570DD6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应用于指控大厅、高端商业及会议中心、家庭影院及家用大尺寸智能LED电视等领域；小尺寸显示领域的应用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将</w:t>
            </w:r>
            <w:r w:rsidRPr="00570DD6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集中在穿戴式显示，如watch、VR/AR眼镜等。</w:t>
            </w:r>
          </w:p>
          <w:p w:rsidR="000C7603" w:rsidRDefault="000C7603" w:rsidP="0059533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1F4648" w:rsidRPr="00CA5660" w:rsidRDefault="001F4648" w:rsidP="009569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A5660">
              <w:rPr>
                <w:rFonts w:asciiTheme="minorEastAsia" w:eastAsiaTheme="minorEastAsia" w:hAnsiTheme="minorEastAsia" w:cstheme="minorHAnsi"/>
                <w:kern w:val="0"/>
                <w:sz w:val="24"/>
                <w:lang w:val="zh-CN"/>
              </w:rPr>
              <w:lastRenderedPageBreak/>
              <w:t>接待过程中，公司接待人员与投资者进行了充分的交流与沟通，严格按照有关制度规定，没有出现未</w:t>
            </w:r>
            <w:r w:rsidRPr="00CA5660">
              <w:rPr>
                <w:rFonts w:asciiTheme="minorEastAsia" w:eastAsiaTheme="minorEastAsia" w:hAnsiTheme="minorEastAsia" w:cs="Arial"/>
                <w:kern w:val="0"/>
                <w:sz w:val="24"/>
                <w:lang w:val="zh-CN"/>
              </w:rPr>
              <w:t>公开重大信息泄露等情况。</w:t>
            </w:r>
          </w:p>
        </w:tc>
      </w:tr>
      <w:tr w:rsidR="00E4760F" w:rsidRPr="00CA5660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0F" w:rsidRPr="00CA5660" w:rsidRDefault="00E4760F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lastRenderedPageBreak/>
              <w:t>附件清单（如有）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E2" w:rsidRPr="00CA5660" w:rsidRDefault="00E4760F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无</w:t>
            </w:r>
          </w:p>
        </w:tc>
      </w:tr>
      <w:tr w:rsidR="00E4760F" w:rsidRPr="00CA5660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0F" w:rsidRPr="00CA5660" w:rsidRDefault="00E4760F" w:rsidP="007E444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日期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CA5660" w:rsidRDefault="00142EFE" w:rsidP="008E78D7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sz w:val="24"/>
              </w:rPr>
            </w:pPr>
            <w:r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20</w:t>
            </w:r>
            <w:r w:rsidR="003F4773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20</w:t>
            </w:r>
            <w:r w:rsidR="00E4760F" w:rsidRPr="00CA5660">
              <w:rPr>
                <w:rFonts w:asciiTheme="minorEastAsia" w:eastAsiaTheme="minorEastAsia" w:hAnsiTheme="minorEastAsia" w:cs="Arial"/>
                <w:bCs/>
                <w:iCs/>
                <w:sz w:val="24"/>
              </w:rPr>
              <w:t>年</w:t>
            </w:r>
            <w:r w:rsidR="008E78D7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5</w:t>
            </w:r>
            <w:r w:rsidR="005E4793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月</w:t>
            </w:r>
            <w:r w:rsidR="008E78D7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11</w:t>
            </w:r>
            <w:r w:rsidR="005E4793" w:rsidRPr="00CA5660">
              <w:rPr>
                <w:rFonts w:asciiTheme="minorEastAsia" w:eastAsiaTheme="minorEastAsia" w:hAnsiTheme="minorEastAsia" w:cs="Arial" w:hint="eastAsia"/>
                <w:bCs/>
                <w:iCs/>
                <w:sz w:val="24"/>
              </w:rPr>
              <w:t>日</w:t>
            </w:r>
          </w:p>
        </w:tc>
      </w:tr>
    </w:tbl>
    <w:p w:rsidR="00E4760F" w:rsidRPr="00CA5660" w:rsidRDefault="00E4760F" w:rsidP="007E4446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sz w:val="24"/>
        </w:rPr>
      </w:pPr>
    </w:p>
    <w:sectPr w:rsidR="00E4760F" w:rsidRPr="00CA5660" w:rsidSect="00A4128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1D" w:rsidRDefault="00AB4B1D" w:rsidP="00397F7C">
      <w:r>
        <w:separator/>
      </w:r>
    </w:p>
  </w:endnote>
  <w:endnote w:type="continuationSeparator" w:id="0">
    <w:p w:rsidR="00AB4B1D" w:rsidRDefault="00AB4B1D" w:rsidP="0039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5559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HAnsi"/>
      </w:rPr>
    </w:sdtEndPr>
    <w:sdtContent>
      <w:p w:rsidR="00283EAD" w:rsidRPr="008150F9" w:rsidRDefault="00C00F6E" w:rsidP="008150F9">
        <w:pPr>
          <w:pStyle w:val="a9"/>
          <w:jc w:val="center"/>
          <w:rPr>
            <w:rFonts w:asciiTheme="minorHAnsi" w:eastAsiaTheme="minorEastAsia" w:hAnsiTheme="minorHAnsi" w:cstheme="minorHAnsi"/>
          </w:rPr>
        </w:pPr>
        <w:r w:rsidRPr="008150F9">
          <w:rPr>
            <w:rFonts w:asciiTheme="minorHAnsi" w:eastAsiaTheme="minorEastAsia" w:hAnsiTheme="minorHAnsi" w:cstheme="minorHAnsi"/>
          </w:rPr>
          <w:fldChar w:fldCharType="begin"/>
        </w:r>
        <w:r w:rsidR="00283EAD" w:rsidRPr="008150F9">
          <w:rPr>
            <w:rFonts w:asciiTheme="minorHAnsi" w:eastAsiaTheme="minorEastAsia" w:hAnsiTheme="minorHAnsi" w:cstheme="minorHAnsi"/>
          </w:rPr>
          <w:instrText xml:space="preserve"> PAGE   \* MERGEFORMAT </w:instrText>
        </w:r>
        <w:r w:rsidRPr="008150F9">
          <w:rPr>
            <w:rFonts w:asciiTheme="minorHAnsi" w:eastAsiaTheme="minorEastAsia" w:hAnsiTheme="minorHAnsi" w:cstheme="minorHAnsi"/>
          </w:rPr>
          <w:fldChar w:fldCharType="separate"/>
        </w:r>
        <w:r w:rsidR="008C645D" w:rsidRPr="008C645D">
          <w:rPr>
            <w:rFonts w:asciiTheme="minorHAnsi" w:eastAsiaTheme="minorEastAsia" w:hAnsiTheme="minorHAnsi" w:cstheme="minorHAnsi"/>
            <w:noProof/>
            <w:lang w:val="zh-CN"/>
          </w:rPr>
          <w:t>1</w:t>
        </w:r>
        <w:r w:rsidRPr="008150F9">
          <w:rPr>
            <w:rFonts w:asciiTheme="minorHAnsi" w:eastAsiaTheme="minorEastAsia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1D" w:rsidRDefault="00AB4B1D" w:rsidP="00397F7C">
      <w:r>
        <w:separator/>
      </w:r>
    </w:p>
  </w:footnote>
  <w:footnote w:type="continuationSeparator" w:id="0">
    <w:p w:rsidR="00AB4B1D" w:rsidRDefault="00AB4B1D" w:rsidP="00397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1EB"/>
    <w:multiLevelType w:val="hybridMultilevel"/>
    <w:tmpl w:val="241EF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111DA1"/>
    <w:multiLevelType w:val="multilevel"/>
    <w:tmpl w:val="A012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BF0357"/>
    <w:multiLevelType w:val="hybridMultilevel"/>
    <w:tmpl w:val="25EE9314"/>
    <w:lvl w:ilvl="0" w:tplc="DF66E64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B2357D"/>
    <w:multiLevelType w:val="hybridMultilevel"/>
    <w:tmpl w:val="52A609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1F04600"/>
    <w:multiLevelType w:val="hybridMultilevel"/>
    <w:tmpl w:val="745C731C"/>
    <w:lvl w:ilvl="0" w:tplc="9F980746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FB71B4"/>
    <w:multiLevelType w:val="hybridMultilevel"/>
    <w:tmpl w:val="2AF6A3C6"/>
    <w:lvl w:ilvl="0" w:tplc="724C60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5714A66"/>
    <w:multiLevelType w:val="hybridMultilevel"/>
    <w:tmpl w:val="F38A9D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721DB5"/>
    <w:multiLevelType w:val="hybridMultilevel"/>
    <w:tmpl w:val="B364772E"/>
    <w:lvl w:ilvl="0" w:tplc="B7E8D71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8A764AE"/>
    <w:multiLevelType w:val="hybridMultilevel"/>
    <w:tmpl w:val="85DE30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190B6400"/>
    <w:multiLevelType w:val="multilevel"/>
    <w:tmpl w:val="5B461272"/>
    <w:lvl w:ilvl="0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、%2、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、%2、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、%2、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、%2、%3.%4.%5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、%2、%3.%4.%5.%6."/>
      <w:lvlJc w:val="left"/>
      <w:pPr>
        <w:ind w:left="840" w:hanging="840"/>
      </w:pPr>
      <w:rPr>
        <w:rFonts w:hint="default"/>
      </w:rPr>
    </w:lvl>
    <w:lvl w:ilvl="6">
      <w:start w:val="1"/>
      <w:numFmt w:val="decimal"/>
      <w:lvlText w:val="%1、%2、%3.%4.%5.%6.%7."/>
      <w:lvlJc w:val="left"/>
      <w:pPr>
        <w:ind w:left="840" w:hanging="840"/>
      </w:pPr>
      <w:rPr>
        <w:rFonts w:hint="default"/>
      </w:rPr>
    </w:lvl>
    <w:lvl w:ilvl="7">
      <w:start w:val="1"/>
      <w:numFmt w:val="decimal"/>
      <w:lvlText w:val="%1、%2、%3.%4.%5.%6.%7.%8."/>
      <w:lvlJc w:val="left"/>
      <w:pPr>
        <w:ind w:left="840" w:hanging="840"/>
      </w:pPr>
      <w:rPr>
        <w:rFonts w:hint="default"/>
      </w:rPr>
    </w:lvl>
    <w:lvl w:ilvl="8">
      <w:start w:val="1"/>
      <w:numFmt w:val="decimal"/>
      <w:lvlText w:val="%1、%2、%3.%4.%5.%6.%7.%8.%9."/>
      <w:lvlJc w:val="left"/>
      <w:pPr>
        <w:ind w:left="840" w:hanging="840"/>
      </w:pPr>
      <w:rPr>
        <w:rFonts w:hint="default"/>
      </w:rPr>
    </w:lvl>
  </w:abstractNum>
  <w:abstractNum w:abstractNumId="10">
    <w:nsid w:val="1ECE0728"/>
    <w:multiLevelType w:val="hybridMultilevel"/>
    <w:tmpl w:val="2C5625C0"/>
    <w:lvl w:ilvl="0" w:tplc="93606B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0FB6CC8"/>
    <w:multiLevelType w:val="hybridMultilevel"/>
    <w:tmpl w:val="C96CEDC8"/>
    <w:lvl w:ilvl="0" w:tplc="7A6CFC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29C6596"/>
    <w:multiLevelType w:val="multilevel"/>
    <w:tmpl w:val="E72ADB2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" w:hanging="4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4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" w:hanging="4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" w:hanging="4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" w:hanging="4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" w:hanging="4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" w:hanging="465"/>
      </w:pPr>
      <w:rPr>
        <w:rFonts w:hint="default"/>
      </w:rPr>
    </w:lvl>
  </w:abstractNum>
  <w:abstractNum w:abstractNumId="13">
    <w:nsid w:val="2AB52E0C"/>
    <w:multiLevelType w:val="hybridMultilevel"/>
    <w:tmpl w:val="846C8DE6"/>
    <w:lvl w:ilvl="0" w:tplc="130AC2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E2A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A87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275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6DF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048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AD6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0ED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2BB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F219A"/>
    <w:multiLevelType w:val="multilevel"/>
    <w:tmpl w:val="89A0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48737B"/>
    <w:multiLevelType w:val="hybridMultilevel"/>
    <w:tmpl w:val="9296F496"/>
    <w:lvl w:ilvl="0" w:tplc="DBC00A46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65050CC"/>
    <w:multiLevelType w:val="hybridMultilevel"/>
    <w:tmpl w:val="9F480244"/>
    <w:lvl w:ilvl="0" w:tplc="75B40D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BA2AB8"/>
    <w:multiLevelType w:val="hybridMultilevel"/>
    <w:tmpl w:val="FBDA9B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7FD277E"/>
    <w:multiLevelType w:val="hybridMultilevel"/>
    <w:tmpl w:val="8BA00A98"/>
    <w:lvl w:ilvl="0" w:tplc="04090001">
      <w:start w:val="1"/>
      <w:numFmt w:val="bullet"/>
      <w:lvlText w:val=""/>
      <w:lvlJc w:val="left"/>
      <w:pPr>
        <w:ind w:left="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398C6BDB"/>
    <w:multiLevelType w:val="multilevel"/>
    <w:tmpl w:val="0246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672889"/>
    <w:multiLevelType w:val="multilevel"/>
    <w:tmpl w:val="3B67288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264D17"/>
    <w:multiLevelType w:val="hybridMultilevel"/>
    <w:tmpl w:val="19C4B9A2"/>
    <w:lvl w:ilvl="0" w:tplc="2B58414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F9F09C9"/>
    <w:multiLevelType w:val="multilevel"/>
    <w:tmpl w:val="37FE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FD158D"/>
    <w:multiLevelType w:val="multilevel"/>
    <w:tmpl w:val="E70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19A7C45"/>
    <w:multiLevelType w:val="hybridMultilevel"/>
    <w:tmpl w:val="9CC26CC8"/>
    <w:lvl w:ilvl="0" w:tplc="99C6D3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4E41F0A"/>
    <w:multiLevelType w:val="hybridMultilevel"/>
    <w:tmpl w:val="E3A84874"/>
    <w:lvl w:ilvl="0" w:tplc="0409000B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6">
    <w:nsid w:val="45725A97"/>
    <w:multiLevelType w:val="hybridMultilevel"/>
    <w:tmpl w:val="48D2F7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1F2750B"/>
    <w:multiLevelType w:val="hybridMultilevel"/>
    <w:tmpl w:val="5C70982C"/>
    <w:lvl w:ilvl="0" w:tplc="F01AB564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25976CA"/>
    <w:multiLevelType w:val="hybridMultilevel"/>
    <w:tmpl w:val="01209CB4"/>
    <w:lvl w:ilvl="0" w:tplc="B53A28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4F623AF"/>
    <w:multiLevelType w:val="hybridMultilevel"/>
    <w:tmpl w:val="5E9C0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6B1073F"/>
    <w:multiLevelType w:val="hybridMultilevel"/>
    <w:tmpl w:val="D116EF6A"/>
    <w:lvl w:ilvl="0" w:tplc="4322DA7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87C5570"/>
    <w:multiLevelType w:val="multilevel"/>
    <w:tmpl w:val="EE4E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B83011C"/>
    <w:multiLevelType w:val="hybridMultilevel"/>
    <w:tmpl w:val="7E7AB44A"/>
    <w:lvl w:ilvl="0" w:tplc="0409000D">
      <w:start w:val="1"/>
      <w:numFmt w:val="bullet"/>
      <w:lvlText w:val=""/>
      <w:lvlJc w:val="left"/>
      <w:pPr>
        <w:ind w:left="3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8" w:hanging="420"/>
      </w:pPr>
      <w:rPr>
        <w:rFonts w:ascii="Wingdings" w:hAnsi="Wingdings" w:hint="default"/>
      </w:rPr>
    </w:lvl>
  </w:abstractNum>
  <w:abstractNum w:abstractNumId="33">
    <w:nsid w:val="5F020F96"/>
    <w:multiLevelType w:val="hybridMultilevel"/>
    <w:tmpl w:val="3DB22CCA"/>
    <w:lvl w:ilvl="0" w:tplc="98FC67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862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6A6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C4D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498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26E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EDB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080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47E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A6560D"/>
    <w:multiLevelType w:val="hybridMultilevel"/>
    <w:tmpl w:val="CF86D486"/>
    <w:lvl w:ilvl="0" w:tplc="845AD584">
      <w:start w:val="1"/>
      <w:numFmt w:val="upperLetter"/>
      <w:lvlText w:val="%1、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>
    <w:nsid w:val="73723878"/>
    <w:multiLevelType w:val="hybridMultilevel"/>
    <w:tmpl w:val="A6464B62"/>
    <w:lvl w:ilvl="0" w:tplc="5EFC5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94B7289"/>
    <w:multiLevelType w:val="hybridMultilevel"/>
    <w:tmpl w:val="93DCD56E"/>
    <w:lvl w:ilvl="0" w:tplc="9C18CF9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B8F7B1E"/>
    <w:multiLevelType w:val="multilevel"/>
    <w:tmpl w:val="E166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CB45394"/>
    <w:multiLevelType w:val="hybridMultilevel"/>
    <w:tmpl w:val="A65A5752"/>
    <w:lvl w:ilvl="0" w:tplc="C4240AFC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CF22BFA"/>
    <w:multiLevelType w:val="multilevel"/>
    <w:tmpl w:val="5B461272"/>
    <w:lvl w:ilvl="0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、%2、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、%2、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、%2、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、%2、%3.%4.%5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、%2、%3.%4.%5.%6."/>
      <w:lvlJc w:val="left"/>
      <w:pPr>
        <w:ind w:left="840" w:hanging="840"/>
      </w:pPr>
      <w:rPr>
        <w:rFonts w:hint="default"/>
      </w:rPr>
    </w:lvl>
    <w:lvl w:ilvl="6">
      <w:start w:val="1"/>
      <w:numFmt w:val="decimal"/>
      <w:lvlText w:val="%1、%2、%3.%4.%5.%6.%7."/>
      <w:lvlJc w:val="left"/>
      <w:pPr>
        <w:ind w:left="840" w:hanging="840"/>
      </w:pPr>
      <w:rPr>
        <w:rFonts w:hint="default"/>
      </w:rPr>
    </w:lvl>
    <w:lvl w:ilvl="7">
      <w:start w:val="1"/>
      <w:numFmt w:val="decimal"/>
      <w:lvlText w:val="%1、%2、%3.%4.%5.%6.%7.%8."/>
      <w:lvlJc w:val="left"/>
      <w:pPr>
        <w:ind w:left="840" w:hanging="840"/>
      </w:pPr>
      <w:rPr>
        <w:rFonts w:hint="default"/>
      </w:rPr>
    </w:lvl>
    <w:lvl w:ilvl="8">
      <w:start w:val="1"/>
      <w:numFmt w:val="decimal"/>
      <w:lvlText w:val="%1、%2、%3.%4.%5.%6.%7.%8.%9."/>
      <w:lvlJc w:val="left"/>
      <w:pPr>
        <w:ind w:left="840" w:hanging="840"/>
      </w:pPr>
      <w:rPr>
        <w:rFonts w:hint="default"/>
      </w:r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34"/>
  </w:num>
  <w:num w:numId="5">
    <w:abstractNumId w:val="30"/>
  </w:num>
  <w:num w:numId="6">
    <w:abstractNumId w:val="27"/>
  </w:num>
  <w:num w:numId="7">
    <w:abstractNumId w:val="21"/>
  </w:num>
  <w:num w:numId="8">
    <w:abstractNumId w:val="15"/>
  </w:num>
  <w:num w:numId="9">
    <w:abstractNumId w:val="38"/>
  </w:num>
  <w:num w:numId="10">
    <w:abstractNumId w:val="35"/>
  </w:num>
  <w:num w:numId="11">
    <w:abstractNumId w:val="2"/>
  </w:num>
  <w:num w:numId="12">
    <w:abstractNumId w:val="36"/>
  </w:num>
  <w:num w:numId="13">
    <w:abstractNumId w:val="4"/>
  </w:num>
  <w:num w:numId="14">
    <w:abstractNumId w:val="24"/>
  </w:num>
  <w:num w:numId="15">
    <w:abstractNumId w:val="3"/>
  </w:num>
  <w:num w:numId="16">
    <w:abstractNumId w:val="16"/>
  </w:num>
  <w:num w:numId="17">
    <w:abstractNumId w:val="11"/>
  </w:num>
  <w:num w:numId="18">
    <w:abstractNumId w:val="0"/>
  </w:num>
  <w:num w:numId="19">
    <w:abstractNumId w:val="9"/>
  </w:num>
  <w:num w:numId="20">
    <w:abstractNumId w:val="39"/>
  </w:num>
  <w:num w:numId="21">
    <w:abstractNumId w:val="8"/>
  </w:num>
  <w:num w:numId="22">
    <w:abstractNumId w:val="7"/>
  </w:num>
  <w:num w:numId="23">
    <w:abstractNumId w:val="25"/>
  </w:num>
  <w:num w:numId="24">
    <w:abstractNumId w:val="18"/>
  </w:num>
  <w:num w:numId="25">
    <w:abstractNumId w:val="22"/>
  </w:num>
  <w:num w:numId="26">
    <w:abstractNumId w:val="14"/>
  </w:num>
  <w:num w:numId="27">
    <w:abstractNumId w:val="37"/>
  </w:num>
  <w:num w:numId="28">
    <w:abstractNumId w:val="1"/>
  </w:num>
  <w:num w:numId="29">
    <w:abstractNumId w:val="31"/>
  </w:num>
  <w:num w:numId="30">
    <w:abstractNumId w:val="19"/>
  </w:num>
  <w:num w:numId="31">
    <w:abstractNumId w:val="23"/>
  </w:num>
  <w:num w:numId="32">
    <w:abstractNumId w:val="17"/>
  </w:num>
  <w:num w:numId="33">
    <w:abstractNumId w:val="26"/>
  </w:num>
  <w:num w:numId="34">
    <w:abstractNumId w:val="29"/>
  </w:num>
  <w:num w:numId="35">
    <w:abstractNumId w:val="6"/>
  </w:num>
  <w:num w:numId="36">
    <w:abstractNumId w:val="5"/>
  </w:num>
  <w:num w:numId="37">
    <w:abstractNumId w:val="10"/>
  </w:num>
  <w:num w:numId="38">
    <w:abstractNumId w:val="13"/>
  </w:num>
  <w:num w:numId="39">
    <w:abstractNumId w:val="33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97F7C"/>
    <w:rsid w:val="00005D27"/>
    <w:rsid w:val="00006898"/>
    <w:rsid w:val="00006CBF"/>
    <w:rsid w:val="0000744C"/>
    <w:rsid w:val="00013505"/>
    <w:rsid w:val="00013905"/>
    <w:rsid w:val="0001415B"/>
    <w:rsid w:val="0001631C"/>
    <w:rsid w:val="00016A36"/>
    <w:rsid w:val="00020D90"/>
    <w:rsid w:val="000215CA"/>
    <w:rsid w:val="00026A51"/>
    <w:rsid w:val="00030E03"/>
    <w:rsid w:val="0003139E"/>
    <w:rsid w:val="00031878"/>
    <w:rsid w:val="00031CF7"/>
    <w:rsid w:val="00032BE6"/>
    <w:rsid w:val="00032D45"/>
    <w:rsid w:val="00032E1B"/>
    <w:rsid w:val="000330FF"/>
    <w:rsid w:val="00033985"/>
    <w:rsid w:val="0003716C"/>
    <w:rsid w:val="0004172A"/>
    <w:rsid w:val="00041A52"/>
    <w:rsid w:val="0004224E"/>
    <w:rsid w:val="000422F4"/>
    <w:rsid w:val="00045853"/>
    <w:rsid w:val="00046252"/>
    <w:rsid w:val="000475CA"/>
    <w:rsid w:val="0005103E"/>
    <w:rsid w:val="000566AF"/>
    <w:rsid w:val="00060503"/>
    <w:rsid w:val="000633BA"/>
    <w:rsid w:val="000634B2"/>
    <w:rsid w:val="0006355F"/>
    <w:rsid w:val="00063D28"/>
    <w:rsid w:val="000663A5"/>
    <w:rsid w:val="00070F46"/>
    <w:rsid w:val="00071889"/>
    <w:rsid w:val="00072222"/>
    <w:rsid w:val="00074597"/>
    <w:rsid w:val="00075E86"/>
    <w:rsid w:val="00077AAF"/>
    <w:rsid w:val="00080A2A"/>
    <w:rsid w:val="000819F5"/>
    <w:rsid w:val="00082696"/>
    <w:rsid w:val="00082A16"/>
    <w:rsid w:val="000833BB"/>
    <w:rsid w:val="00083742"/>
    <w:rsid w:val="0008628E"/>
    <w:rsid w:val="000901B5"/>
    <w:rsid w:val="000903E6"/>
    <w:rsid w:val="00094FFC"/>
    <w:rsid w:val="000959D7"/>
    <w:rsid w:val="00097F92"/>
    <w:rsid w:val="000A03BA"/>
    <w:rsid w:val="000A06DC"/>
    <w:rsid w:val="000A217C"/>
    <w:rsid w:val="000A2A9C"/>
    <w:rsid w:val="000A2FB0"/>
    <w:rsid w:val="000A405C"/>
    <w:rsid w:val="000A6E40"/>
    <w:rsid w:val="000A76DF"/>
    <w:rsid w:val="000B10DB"/>
    <w:rsid w:val="000B1B42"/>
    <w:rsid w:val="000B34E1"/>
    <w:rsid w:val="000B3EF0"/>
    <w:rsid w:val="000B4552"/>
    <w:rsid w:val="000B46A3"/>
    <w:rsid w:val="000C12CD"/>
    <w:rsid w:val="000C15FE"/>
    <w:rsid w:val="000C45D7"/>
    <w:rsid w:val="000C4924"/>
    <w:rsid w:val="000C6F55"/>
    <w:rsid w:val="000C7603"/>
    <w:rsid w:val="000C7FEF"/>
    <w:rsid w:val="000D2167"/>
    <w:rsid w:val="000D41E6"/>
    <w:rsid w:val="000D4317"/>
    <w:rsid w:val="000D725E"/>
    <w:rsid w:val="000E1DC4"/>
    <w:rsid w:val="000E3A92"/>
    <w:rsid w:val="000E3F63"/>
    <w:rsid w:val="000E46B8"/>
    <w:rsid w:val="000E5D56"/>
    <w:rsid w:val="000E6282"/>
    <w:rsid w:val="000E6B9E"/>
    <w:rsid w:val="000E6C73"/>
    <w:rsid w:val="000F05B3"/>
    <w:rsid w:val="000F0F75"/>
    <w:rsid w:val="000F253B"/>
    <w:rsid w:val="000F7F6C"/>
    <w:rsid w:val="00101A3A"/>
    <w:rsid w:val="00102400"/>
    <w:rsid w:val="00103161"/>
    <w:rsid w:val="00105775"/>
    <w:rsid w:val="00106F96"/>
    <w:rsid w:val="001108B8"/>
    <w:rsid w:val="00111381"/>
    <w:rsid w:val="001130E8"/>
    <w:rsid w:val="001142A1"/>
    <w:rsid w:val="00114486"/>
    <w:rsid w:val="001168F6"/>
    <w:rsid w:val="00116944"/>
    <w:rsid w:val="0011738E"/>
    <w:rsid w:val="00121C28"/>
    <w:rsid w:val="00124148"/>
    <w:rsid w:val="00124BA4"/>
    <w:rsid w:val="001266ED"/>
    <w:rsid w:val="00126BB7"/>
    <w:rsid w:val="00126BE4"/>
    <w:rsid w:val="00130C78"/>
    <w:rsid w:val="0013132E"/>
    <w:rsid w:val="0013469E"/>
    <w:rsid w:val="00135026"/>
    <w:rsid w:val="0013592A"/>
    <w:rsid w:val="00135A92"/>
    <w:rsid w:val="001401FC"/>
    <w:rsid w:val="001420D0"/>
    <w:rsid w:val="00142EFE"/>
    <w:rsid w:val="00143AE0"/>
    <w:rsid w:val="00144D78"/>
    <w:rsid w:val="00145004"/>
    <w:rsid w:val="001461BE"/>
    <w:rsid w:val="00147938"/>
    <w:rsid w:val="00147F76"/>
    <w:rsid w:val="001504C1"/>
    <w:rsid w:val="001506A5"/>
    <w:rsid w:val="0015427D"/>
    <w:rsid w:val="00154C6A"/>
    <w:rsid w:val="001568A1"/>
    <w:rsid w:val="00162255"/>
    <w:rsid w:val="0016438B"/>
    <w:rsid w:val="00164422"/>
    <w:rsid w:val="00165DE2"/>
    <w:rsid w:val="00165F26"/>
    <w:rsid w:val="0016607D"/>
    <w:rsid w:val="00166117"/>
    <w:rsid w:val="00166863"/>
    <w:rsid w:val="00166A49"/>
    <w:rsid w:val="00167826"/>
    <w:rsid w:val="00167AD3"/>
    <w:rsid w:val="00167EDD"/>
    <w:rsid w:val="00170D37"/>
    <w:rsid w:val="001736E5"/>
    <w:rsid w:val="00181059"/>
    <w:rsid w:val="001814BF"/>
    <w:rsid w:val="00181A89"/>
    <w:rsid w:val="00182043"/>
    <w:rsid w:val="001831C1"/>
    <w:rsid w:val="00183ADE"/>
    <w:rsid w:val="001931B7"/>
    <w:rsid w:val="0019556A"/>
    <w:rsid w:val="00196A4A"/>
    <w:rsid w:val="00197344"/>
    <w:rsid w:val="001974BE"/>
    <w:rsid w:val="001B48BE"/>
    <w:rsid w:val="001B6953"/>
    <w:rsid w:val="001B75F5"/>
    <w:rsid w:val="001B7721"/>
    <w:rsid w:val="001C0E05"/>
    <w:rsid w:val="001C0E2F"/>
    <w:rsid w:val="001C3064"/>
    <w:rsid w:val="001C4661"/>
    <w:rsid w:val="001D0E55"/>
    <w:rsid w:val="001D505B"/>
    <w:rsid w:val="001D52ED"/>
    <w:rsid w:val="001D61B2"/>
    <w:rsid w:val="001D6B80"/>
    <w:rsid w:val="001D7140"/>
    <w:rsid w:val="001D7780"/>
    <w:rsid w:val="001E0632"/>
    <w:rsid w:val="001E1193"/>
    <w:rsid w:val="001E216E"/>
    <w:rsid w:val="001E22BC"/>
    <w:rsid w:val="001E3262"/>
    <w:rsid w:val="001E36ED"/>
    <w:rsid w:val="001E7387"/>
    <w:rsid w:val="001F1A60"/>
    <w:rsid w:val="001F1F88"/>
    <w:rsid w:val="001F33BF"/>
    <w:rsid w:val="001F3ABA"/>
    <w:rsid w:val="001F3DBC"/>
    <w:rsid w:val="001F4087"/>
    <w:rsid w:val="001F4648"/>
    <w:rsid w:val="001F732E"/>
    <w:rsid w:val="00202D2E"/>
    <w:rsid w:val="0020684D"/>
    <w:rsid w:val="002071CF"/>
    <w:rsid w:val="00210326"/>
    <w:rsid w:val="00213CAA"/>
    <w:rsid w:val="00214A95"/>
    <w:rsid w:val="00215798"/>
    <w:rsid w:val="00220341"/>
    <w:rsid w:val="00222811"/>
    <w:rsid w:val="00222AF0"/>
    <w:rsid w:val="00223E54"/>
    <w:rsid w:val="002245BF"/>
    <w:rsid w:val="0023052E"/>
    <w:rsid w:val="0023110A"/>
    <w:rsid w:val="00231CDD"/>
    <w:rsid w:val="00232A8C"/>
    <w:rsid w:val="0023329B"/>
    <w:rsid w:val="00236290"/>
    <w:rsid w:val="00236C9C"/>
    <w:rsid w:val="0023787E"/>
    <w:rsid w:val="00240910"/>
    <w:rsid w:val="0024098A"/>
    <w:rsid w:val="00240D4F"/>
    <w:rsid w:val="00242ACE"/>
    <w:rsid w:val="00242E8C"/>
    <w:rsid w:val="00243DF5"/>
    <w:rsid w:val="00244848"/>
    <w:rsid w:val="00245C55"/>
    <w:rsid w:val="002479C7"/>
    <w:rsid w:val="00253EA5"/>
    <w:rsid w:val="002542BD"/>
    <w:rsid w:val="002545EC"/>
    <w:rsid w:val="00255BEE"/>
    <w:rsid w:val="00261FE2"/>
    <w:rsid w:val="00264E23"/>
    <w:rsid w:val="0027109A"/>
    <w:rsid w:val="00271673"/>
    <w:rsid w:val="0027283D"/>
    <w:rsid w:val="0027316C"/>
    <w:rsid w:val="00274237"/>
    <w:rsid w:val="00276030"/>
    <w:rsid w:val="00280D1B"/>
    <w:rsid w:val="00280FB8"/>
    <w:rsid w:val="00281A6D"/>
    <w:rsid w:val="00281D1A"/>
    <w:rsid w:val="00283B8D"/>
    <w:rsid w:val="00283EAD"/>
    <w:rsid w:val="00284315"/>
    <w:rsid w:val="00285008"/>
    <w:rsid w:val="0028586D"/>
    <w:rsid w:val="00285DDD"/>
    <w:rsid w:val="00285EFC"/>
    <w:rsid w:val="00290E94"/>
    <w:rsid w:val="0029226A"/>
    <w:rsid w:val="00292629"/>
    <w:rsid w:val="00292DB5"/>
    <w:rsid w:val="0029325F"/>
    <w:rsid w:val="00295F60"/>
    <w:rsid w:val="00296037"/>
    <w:rsid w:val="00296438"/>
    <w:rsid w:val="00297142"/>
    <w:rsid w:val="002A6214"/>
    <w:rsid w:val="002A6384"/>
    <w:rsid w:val="002B01A4"/>
    <w:rsid w:val="002B077D"/>
    <w:rsid w:val="002B0D63"/>
    <w:rsid w:val="002B11E4"/>
    <w:rsid w:val="002B1C9F"/>
    <w:rsid w:val="002B1D45"/>
    <w:rsid w:val="002B2004"/>
    <w:rsid w:val="002B2873"/>
    <w:rsid w:val="002B457C"/>
    <w:rsid w:val="002B4F48"/>
    <w:rsid w:val="002B7F77"/>
    <w:rsid w:val="002C0823"/>
    <w:rsid w:val="002C171A"/>
    <w:rsid w:val="002C24BF"/>
    <w:rsid w:val="002C2BEC"/>
    <w:rsid w:val="002C54C9"/>
    <w:rsid w:val="002C5DC5"/>
    <w:rsid w:val="002C7E8F"/>
    <w:rsid w:val="002D142E"/>
    <w:rsid w:val="002D297D"/>
    <w:rsid w:val="002D5604"/>
    <w:rsid w:val="002D6732"/>
    <w:rsid w:val="002D79E6"/>
    <w:rsid w:val="002E2C67"/>
    <w:rsid w:val="002E59C2"/>
    <w:rsid w:val="002E65C4"/>
    <w:rsid w:val="002E6B89"/>
    <w:rsid w:val="002F0752"/>
    <w:rsid w:val="002F0C5C"/>
    <w:rsid w:val="002F1F0C"/>
    <w:rsid w:val="002F2134"/>
    <w:rsid w:val="002F31F5"/>
    <w:rsid w:val="002F6511"/>
    <w:rsid w:val="002F654A"/>
    <w:rsid w:val="002F7A64"/>
    <w:rsid w:val="00303644"/>
    <w:rsid w:val="00306225"/>
    <w:rsid w:val="00306B71"/>
    <w:rsid w:val="0030719A"/>
    <w:rsid w:val="00307505"/>
    <w:rsid w:val="00312E6B"/>
    <w:rsid w:val="003149D2"/>
    <w:rsid w:val="003152E6"/>
    <w:rsid w:val="003157F1"/>
    <w:rsid w:val="00316A77"/>
    <w:rsid w:val="00316D69"/>
    <w:rsid w:val="003170CF"/>
    <w:rsid w:val="00317FB0"/>
    <w:rsid w:val="00321DFA"/>
    <w:rsid w:val="00322457"/>
    <w:rsid w:val="00322D5A"/>
    <w:rsid w:val="00323D30"/>
    <w:rsid w:val="00324ABD"/>
    <w:rsid w:val="00325C18"/>
    <w:rsid w:val="00325DB0"/>
    <w:rsid w:val="003263CA"/>
    <w:rsid w:val="00326D3A"/>
    <w:rsid w:val="00332074"/>
    <w:rsid w:val="00333066"/>
    <w:rsid w:val="00334638"/>
    <w:rsid w:val="00335083"/>
    <w:rsid w:val="00337172"/>
    <w:rsid w:val="00340FA0"/>
    <w:rsid w:val="00341298"/>
    <w:rsid w:val="003419E1"/>
    <w:rsid w:val="00342C12"/>
    <w:rsid w:val="00343571"/>
    <w:rsid w:val="003457BE"/>
    <w:rsid w:val="00345992"/>
    <w:rsid w:val="003460B4"/>
    <w:rsid w:val="00350631"/>
    <w:rsid w:val="00350B15"/>
    <w:rsid w:val="00350BDA"/>
    <w:rsid w:val="00350DB3"/>
    <w:rsid w:val="00351270"/>
    <w:rsid w:val="00354642"/>
    <w:rsid w:val="0035465D"/>
    <w:rsid w:val="00356AC0"/>
    <w:rsid w:val="00356B63"/>
    <w:rsid w:val="00360569"/>
    <w:rsid w:val="00361C61"/>
    <w:rsid w:val="00367C7F"/>
    <w:rsid w:val="00367E8A"/>
    <w:rsid w:val="003728E9"/>
    <w:rsid w:val="003729A2"/>
    <w:rsid w:val="00373C90"/>
    <w:rsid w:val="00376717"/>
    <w:rsid w:val="003770F4"/>
    <w:rsid w:val="003817E7"/>
    <w:rsid w:val="00382C09"/>
    <w:rsid w:val="003841E0"/>
    <w:rsid w:val="00393DDD"/>
    <w:rsid w:val="00397F7C"/>
    <w:rsid w:val="003A2CB1"/>
    <w:rsid w:val="003A585F"/>
    <w:rsid w:val="003A75B3"/>
    <w:rsid w:val="003A782B"/>
    <w:rsid w:val="003A7B6A"/>
    <w:rsid w:val="003B32DF"/>
    <w:rsid w:val="003B3DFA"/>
    <w:rsid w:val="003B48A2"/>
    <w:rsid w:val="003B71C7"/>
    <w:rsid w:val="003B7349"/>
    <w:rsid w:val="003C2599"/>
    <w:rsid w:val="003C5AB3"/>
    <w:rsid w:val="003C65BB"/>
    <w:rsid w:val="003C6A67"/>
    <w:rsid w:val="003D1E6E"/>
    <w:rsid w:val="003D2665"/>
    <w:rsid w:val="003D37E6"/>
    <w:rsid w:val="003D396F"/>
    <w:rsid w:val="003D7D1E"/>
    <w:rsid w:val="003E0862"/>
    <w:rsid w:val="003E48AA"/>
    <w:rsid w:val="003E6DB0"/>
    <w:rsid w:val="003F0F8F"/>
    <w:rsid w:val="003F1400"/>
    <w:rsid w:val="003F3510"/>
    <w:rsid w:val="003F4773"/>
    <w:rsid w:val="003F4B90"/>
    <w:rsid w:val="003F4E34"/>
    <w:rsid w:val="004008BD"/>
    <w:rsid w:val="0040537B"/>
    <w:rsid w:val="004136B5"/>
    <w:rsid w:val="00413F75"/>
    <w:rsid w:val="0041557D"/>
    <w:rsid w:val="00416F8F"/>
    <w:rsid w:val="0042084B"/>
    <w:rsid w:val="00420A3D"/>
    <w:rsid w:val="00421905"/>
    <w:rsid w:val="004224CF"/>
    <w:rsid w:val="00423685"/>
    <w:rsid w:val="00427142"/>
    <w:rsid w:val="004278E5"/>
    <w:rsid w:val="00432A62"/>
    <w:rsid w:val="00436382"/>
    <w:rsid w:val="0043725B"/>
    <w:rsid w:val="00440E2C"/>
    <w:rsid w:val="004417CC"/>
    <w:rsid w:val="00441F87"/>
    <w:rsid w:val="00443AE3"/>
    <w:rsid w:val="00446921"/>
    <w:rsid w:val="004469CA"/>
    <w:rsid w:val="00446D78"/>
    <w:rsid w:val="00447EEE"/>
    <w:rsid w:val="00455305"/>
    <w:rsid w:val="0045589A"/>
    <w:rsid w:val="00456634"/>
    <w:rsid w:val="0045666F"/>
    <w:rsid w:val="00461799"/>
    <w:rsid w:val="00461C45"/>
    <w:rsid w:val="004645A7"/>
    <w:rsid w:val="0046549F"/>
    <w:rsid w:val="004656F1"/>
    <w:rsid w:val="00465DD3"/>
    <w:rsid w:val="004669EE"/>
    <w:rsid w:val="004726DF"/>
    <w:rsid w:val="00473CB2"/>
    <w:rsid w:val="0047668A"/>
    <w:rsid w:val="004800D8"/>
    <w:rsid w:val="004816EB"/>
    <w:rsid w:val="00482BC7"/>
    <w:rsid w:val="00485810"/>
    <w:rsid w:val="0048607A"/>
    <w:rsid w:val="00490E5F"/>
    <w:rsid w:val="00496066"/>
    <w:rsid w:val="0049623C"/>
    <w:rsid w:val="004A09FE"/>
    <w:rsid w:val="004A2EBD"/>
    <w:rsid w:val="004A3BDE"/>
    <w:rsid w:val="004A6F24"/>
    <w:rsid w:val="004A7252"/>
    <w:rsid w:val="004A7683"/>
    <w:rsid w:val="004B0E94"/>
    <w:rsid w:val="004B0F8E"/>
    <w:rsid w:val="004B1A13"/>
    <w:rsid w:val="004B1E66"/>
    <w:rsid w:val="004B2F82"/>
    <w:rsid w:val="004B2FF9"/>
    <w:rsid w:val="004B38A9"/>
    <w:rsid w:val="004B4640"/>
    <w:rsid w:val="004B467C"/>
    <w:rsid w:val="004B51B7"/>
    <w:rsid w:val="004B5749"/>
    <w:rsid w:val="004B5E3E"/>
    <w:rsid w:val="004B6700"/>
    <w:rsid w:val="004B77C7"/>
    <w:rsid w:val="004C5315"/>
    <w:rsid w:val="004C53F0"/>
    <w:rsid w:val="004C62DF"/>
    <w:rsid w:val="004C75FD"/>
    <w:rsid w:val="004D0612"/>
    <w:rsid w:val="004D0F68"/>
    <w:rsid w:val="004D160A"/>
    <w:rsid w:val="004D27CB"/>
    <w:rsid w:val="004D32DB"/>
    <w:rsid w:val="004D4785"/>
    <w:rsid w:val="004D4926"/>
    <w:rsid w:val="004D4B9E"/>
    <w:rsid w:val="004D6CDC"/>
    <w:rsid w:val="004D7DF0"/>
    <w:rsid w:val="004E342F"/>
    <w:rsid w:val="004E5ADA"/>
    <w:rsid w:val="004E7EF6"/>
    <w:rsid w:val="004F024C"/>
    <w:rsid w:val="004F085E"/>
    <w:rsid w:val="004F1CAE"/>
    <w:rsid w:val="004F1CDB"/>
    <w:rsid w:val="004F2F2B"/>
    <w:rsid w:val="004F3684"/>
    <w:rsid w:val="004F495E"/>
    <w:rsid w:val="004F57A8"/>
    <w:rsid w:val="004F7112"/>
    <w:rsid w:val="005017C8"/>
    <w:rsid w:val="00501A7A"/>
    <w:rsid w:val="00505BDC"/>
    <w:rsid w:val="00506F22"/>
    <w:rsid w:val="00507EC3"/>
    <w:rsid w:val="00510642"/>
    <w:rsid w:val="005107FE"/>
    <w:rsid w:val="00510E8B"/>
    <w:rsid w:val="005122F5"/>
    <w:rsid w:val="00512DF2"/>
    <w:rsid w:val="00514536"/>
    <w:rsid w:val="00514645"/>
    <w:rsid w:val="00515977"/>
    <w:rsid w:val="005218B6"/>
    <w:rsid w:val="005220A4"/>
    <w:rsid w:val="005229CB"/>
    <w:rsid w:val="00522DAB"/>
    <w:rsid w:val="00524F89"/>
    <w:rsid w:val="00525B59"/>
    <w:rsid w:val="00532242"/>
    <w:rsid w:val="005329B6"/>
    <w:rsid w:val="00533C50"/>
    <w:rsid w:val="00534009"/>
    <w:rsid w:val="00534069"/>
    <w:rsid w:val="0053454D"/>
    <w:rsid w:val="005373F7"/>
    <w:rsid w:val="00537D09"/>
    <w:rsid w:val="005408D6"/>
    <w:rsid w:val="00541AC9"/>
    <w:rsid w:val="0054331C"/>
    <w:rsid w:val="00543FE7"/>
    <w:rsid w:val="005475C2"/>
    <w:rsid w:val="005516E6"/>
    <w:rsid w:val="00556375"/>
    <w:rsid w:val="0055784E"/>
    <w:rsid w:val="005600CA"/>
    <w:rsid w:val="00563738"/>
    <w:rsid w:val="00565161"/>
    <w:rsid w:val="00566448"/>
    <w:rsid w:val="0056672A"/>
    <w:rsid w:val="00566D6E"/>
    <w:rsid w:val="00567CCD"/>
    <w:rsid w:val="00570C05"/>
    <w:rsid w:val="00570DD6"/>
    <w:rsid w:val="00573B6E"/>
    <w:rsid w:val="0057405E"/>
    <w:rsid w:val="00580B37"/>
    <w:rsid w:val="005812DB"/>
    <w:rsid w:val="00582F71"/>
    <w:rsid w:val="005830B7"/>
    <w:rsid w:val="005843D7"/>
    <w:rsid w:val="00584A81"/>
    <w:rsid w:val="00585779"/>
    <w:rsid w:val="005861A7"/>
    <w:rsid w:val="0059176D"/>
    <w:rsid w:val="0059533D"/>
    <w:rsid w:val="0059576E"/>
    <w:rsid w:val="00595FCA"/>
    <w:rsid w:val="00597E49"/>
    <w:rsid w:val="005A2F47"/>
    <w:rsid w:val="005A3928"/>
    <w:rsid w:val="005A5ADD"/>
    <w:rsid w:val="005A622C"/>
    <w:rsid w:val="005B0578"/>
    <w:rsid w:val="005B18EB"/>
    <w:rsid w:val="005B1CBA"/>
    <w:rsid w:val="005B6D24"/>
    <w:rsid w:val="005B7032"/>
    <w:rsid w:val="005C1F94"/>
    <w:rsid w:val="005C2736"/>
    <w:rsid w:val="005C4C6A"/>
    <w:rsid w:val="005C4F5C"/>
    <w:rsid w:val="005D3408"/>
    <w:rsid w:val="005D3C70"/>
    <w:rsid w:val="005D645D"/>
    <w:rsid w:val="005D6505"/>
    <w:rsid w:val="005E0A6D"/>
    <w:rsid w:val="005E3627"/>
    <w:rsid w:val="005E4793"/>
    <w:rsid w:val="005E7D59"/>
    <w:rsid w:val="005F0AAB"/>
    <w:rsid w:val="005F10B6"/>
    <w:rsid w:val="005F2F60"/>
    <w:rsid w:val="005F5C4D"/>
    <w:rsid w:val="005F7D0C"/>
    <w:rsid w:val="00600BDB"/>
    <w:rsid w:val="00605890"/>
    <w:rsid w:val="006102F6"/>
    <w:rsid w:val="0061180F"/>
    <w:rsid w:val="00612D0E"/>
    <w:rsid w:val="00615F61"/>
    <w:rsid w:val="00616301"/>
    <w:rsid w:val="0061767D"/>
    <w:rsid w:val="00620584"/>
    <w:rsid w:val="00620BD9"/>
    <w:rsid w:val="00623A92"/>
    <w:rsid w:val="00623BC5"/>
    <w:rsid w:val="00626D4D"/>
    <w:rsid w:val="00634E3B"/>
    <w:rsid w:val="006354C4"/>
    <w:rsid w:val="00635764"/>
    <w:rsid w:val="00640DAC"/>
    <w:rsid w:val="006421DB"/>
    <w:rsid w:val="00644094"/>
    <w:rsid w:val="006444E8"/>
    <w:rsid w:val="006451B6"/>
    <w:rsid w:val="006501D4"/>
    <w:rsid w:val="00651274"/>
    <w:rsid w:val="00651954"/>
    <w:rsid w:val="00652DCF"/>
    <w:rsid w:val="006532A0"/>
    <w:rsid w:val="00660DBF"/>
    <w:rsid w:val="006647F4"/>
    <w:rsid w:val="006656D1"/>
    <w:rsid w:val="00665BAD"/>
    <w:rsid w:val="00667EE9"/>
    <w:rsid w:val="00670C6D"/>
    <w:rsid w:val="00672F9C"/>
    <w:rsid w:val="0067431D"/>
    <w:rsid w:val="0067594D"/>
    <w:rsid w:val="00676098"/>
    <w:rsid w:val="006762D7"/>
    <w:rsid w:val="00680E4F"/>
    <w:rsid w:val="00681D90"/>
    <w:rsid w:val="00682475"/>
    <w:rsid w:val="00682D6C"/>
    <w:rsid w:val="00682F61"/>
    <w:rsid w:val="0068398E"/>
    <w:rsid w:val="00684831"/>
    <w:rsid w:val="00685468"/>
    <w:rsid w:val="0068683D"/>
    <w:rsid w:val="00686B36"/>
    <w:rsid w:val="00690CB3"/>
    <w:rsid w:val="00690F30"/>
    <w:rsid w:val="006918B6"/>
    <w:rsid w:val="00691DA7"/>
    <w:rsid w:val="00692118"/>
    <w:rsid w:val="00694D03"/>
    <w:rsid w:val="0069616C"/>
    <w:rsid w:val="006968E7"/>
    <w:rsid w:val="00696FCC"/>
    <w:rsid w:val="006978BF"/>
    <w:rsid w:val="006A0CFE"/>
    <w:rsid w:val="006A2D27"/>
    <w:rsid w:val="006A2EB1"/>
    <w:rsid w:val="006A4F08"/>
    <w:rsid w:val="006A718F"/>
    <w:rsid w:val="006B031B"/>
    <w:rsid w:val="006B09B3"/>
    <w:rsid w:val="006B2157"/>
    <w:rsid w:val="006B3F1E"/>
    <w:rsid w:val="006B4CCB"/>
    <w:rsid w:val="006B6547"/>
    <w:rsid w:val="006C1A82"/>
    <w:rsid w:val="006C2A69"/>
    <w:rsid w:val="006C479A"/>
    <w:rsid w:val="006C53BE"/>
    <w:rsid w:val="006C5C47"/>
    <w:rsid w:val="006C796C"/>
    <w:rsid w:val="006D09D1"/>
    <w:rsid w:val="006D1F1C"/>
    <w:rsid w:val="006D287E"/>
    <w:rsid w:val="006D4F1C"/>
    <w:rsid w:val="006D5932"/>
    <w:rsid w:val="006D7622"/>
    <w:rsid w:val="006D7BAC"/>
    <w:rsid w:val="006E0A0A"/>
    <w:rsid w:val="006E1218"/>
    <w:rsid w:val="006E45BD"/>
    <w:rsid w:val="006E7C84"/>
    <w:rsid w:val="006F22FE"/>
    <w:rsid w:val="006F28FE"/>
    <w:rsid w:val="006F4CB6"/>
    <w:rsid w:val="006F675D"/>
    <w:rsid w:val="006F79F1"/>
    <w:rsid w:val="00700F67"/>
    <w:rsid w:val="0070259A"/>
    <w:rsid w:val="0070372C"/>
    <w:rsid w:val="00704F4C"/>
    <w:rsid w:val="0070643A"/>
    <w:rsid w:val="007071B3"/>
    <w:rsid w:val="0070766B"/>
    <w:rsid w:val="00711131"/>
    <w:rsid w:val="007127C5"/>
    <w:rsid w:val="00712CDE"/>
    <w:rsid w:val="00713448"/>
    <w:rsid w:val="0072254B"/>
    <w:rsid w:val="00722B77"/>
    <w:rsid w:val="007237E3"/>
    <w:rsid w:val="00724AE0"/>
    <w:rsid w:val="00725B71"/>
    <w:rsid w:val="00726706"/>
    <w:rsid w:val="00730DBB"/>
    <w:rsid w:val="00732136"/>
    <w:rsid w:val="00732A1F"/>
    <w:rsid w:val="00732BF1"/>
    <w:rsid w:val="00737154"/>
    <w:rsid w:val="00740540"/>
    <w:rsid w:val="007414CD"/>
    <w:rsid w:val="00742745"/>
    <w:rsid w:val="00743ED3"/>
    <w:rsid w:val="0074760E"/>
    <w:rsid w:val="00750D0B"/>
    <w:rsid w:val="0075159E"/>
    <w:rsid w:val="007541BC"/>
    <w:rsid w:val="007548AC"/>
    <w:rsid w:val="007548C5"/>
    <w:rsid w:val="00756229"/>
    <w:rsid w:val="007568B3"/>
    <w:rsid w:val="00756C30"/>
    <w:rsid w:val="00760D77"/>
    <w:rsid w:val="007614C3"/>
    <w:rsid w:val="00761FB5"/>
    <w:rsid w:val="00764057"/>
    <w:rsid w:val="00765302"/>
    <w:rsid w:val="00765C1C"/>
    <w:rsid w:val="00767E22"/>
    <w:rsid w:val="007742EA"/>
    <w:rsid w:val="00775310"/>
    <w:rsid w:val="00776FB3"/>
    <w:rsid w:val="00777347"/>
    <w:rsid w:val="00777720"/>
    <w:rsid w:val="00777D7D"/>
    <w:rsid w:val="00783391"/>
    <w:rsid w:val="00790634"/>
    <w:rsid w:val="00792795"/>
    <w:rsid w:val="0079324D"/>
    <w:rsid w:val="00793F77"/>
    <w:rsid w:val="007944D8"/>
    <w:rsid w:val="007957A9"/>
    <w:rsid w:val="007961C1"/>
    <w:rsid w:val="00796B0A"/>
    <w:rsid w:val="007A1154"/>
    <w:rsid w:val="007A1547"/>
    <w:rsid w:val="007A1ABA"/>
    <w:rsid w:val="007A209D"/>
    <w:rsid w:val="007A3E4B"/>
    <w:rsid w:val="007A5550"/>
    <w:rsid w:val="007A6AFF"/>
    <w:rsid w:val="007A7AF9"/>
    <w:rsid w:val="007B1189"/>
    <w:rsid w:val="007B2D74"/>
    <w:rsid w:val="007B312E"/>
    <w:rsid w:val="007B74EF"/>
    <w:rsid w:val="007C0CB0"/>
    <w:rsid w:val="007C641B"/>
    <w:rsid w:val="007C6BEF"/>
    <w:rsid w:val="007C6BF4"/>
    <w:rsid w:val="007C7B69"/>
    <w:rsid w:val="007D0DEB"/>
    <w:rsid w:val="007D3007"/>
    <w:rsid w:val="007D33A9"/>
    <w:rsid w:val="007D3C8A"/>
    <w:rsid w:val="007D4A3A"/>
    <w:rsid w:val="007D6F72"/>
    <w:rsid w:val="007D786B"/>
    <w:rsid w:val="007D786F"/>
    <w:rsid w:val="007D7E27"/>
    <w:rsid w:val="007E08BD"/>
    <w:rsid w:val="007E4104"/>
    <w:rsid w:val="007E4446"/>
    <w:rsid w:val="007E53C9"/>
    <w:rsid w:val="007E62F7"/>
    <w:rsid w:val="007F0BF6"/>
    <w:rsid w:val="007F16C9"/>
    <w:rsid w:val="007F1B96"/>
    <w:rsid w:val="007F2C92"/>
    <w:rsid w:val="007F3E2D"/>
    <w:rsid w:val="007F4E71"/>
    <w:rsid w:val="007F5645"/>
    <w:rsid w:val="007F5DBC"/>
    <w:rsid w:val="00801182"/>
    <w:rsid w:val="00802FEC"/>
    <w:rsid w:val="0080325E"/>
    <w:rsid w:val="008032FB"/>
    <w:rsid w:val="00804BB9"/>
    <w:rsid w:val="0080672C"/>
    <w:rsid w:val="008074A6"/>
    <w:rsid w:val="00807965"/>
    <w:rsid w:val="008150F9"/>
    <w:rsid w:val="00816F69"/>
    <w:rsid w:val="0081731C"/>
    <w:rsid w:val="008202C9"/>
    <w:rsid w:val="00823BB0"/>
    <w:rsid w:val="008259A8"/>
    <w:rsid w:val="00826160"/>
    <w:rsid w:val="00826A43"/>
    <w:rsid w:val="00826CC0"/>
    <w:rsid w:val="008271C8"/>
    <w:rsid w:val="00827209"/>
    <w:rsid w:val="008279DD"/>
    <w:rsid w:val="00832B06"/>
    <w:rsid w:val="0083354D"/>
    <w:rsid w:val="00834A41"/>
    <w:rsid w:val="008353BF"/>
    <w:rsid w:val="00835674"/>
    <w:rsid w:val="0083681F"/>
    <w:rsid w:val="008402C3"/>
    <w:rsid w:val="0084047F"/>
    <w:rsid w:val="0084110E"/>
    <w:rsid w:val="00842B3B"/>
    <w:rsid w:val="00842F72"/>
    <w:rsid w:val="008451EA"/>
    <w:rsid w:val="00846651"/>
    <w:rsid w:val="008466C7"/>
    <w:rsid w:val="00846D3A"/>
    <w:rsid w:val="00851C8B"/>
    <w:rsid w:val="00856552"/>
    <w:rsid w:val="00857CFB"/>
    <w:rsid w:val="00863039"/>
    <w:rsid w:val="008672E0"/>
    <w:rsid w:val="008673D4"/>
    <w:rsid w:val="008702D7"/>
    <w:rsid w:val="00870772"/>
    <w:rsid w:val="008722C3"/>
    <w:rsid w:val="008726CB"/>
    <w:rsid w:val="00872BDD"/>
    <w:rsid w:val="00874662"/>
    <w:rsid w:val="008768E9"/>
    <w:rsid w:val="00876A24"/>
    <w:rsid w:val="00876B65"/>
    <w:rsid w:val="00880553"/>
    <w:rsid w:val="00881906"/>
    <w:rsid w:val="00882EC0"/>
    <w:rsid w:val="00883358"/>
    <w:rsid w:val="00884919"/>
    <w:rsid w:val="008855AC"/>
    <w:rsid w:val="0088737D"/>
    <w:rsid w:val="00890CD9"/>
    <w:rsid w:val="00890DC6"/>
    <w:rsid w:val="00892AE2"/>
    <w:rsid w:val="008930CE"/>
    <w:rsid w:val="00894161"/>
    <w:rsid w:val="00895941"/>
    <w:rsid w:val="00897A37"/>
    <w:rsid w:val="008A04F7"/>
    <w:rsid w:val="008A152B"/>
    <w:rsid w:val="008A272A"/>
    <w:rsid w:val="008A28E0"/>
    <w:rsid w:val="008A2C70"/>
    <w:rsid w:val="008A2FE8"/>
    <w:rsid w:val="008A691A"/>
    <w:rsid w:val="008A6B0F"/>
    <w:rsid w:val="008A775B"/>
    <w:rsid w:val="008B08C9"/>
    <w:rsid w:val="008B32CB"/>
    <w:rsid w:val="008B3841"/>
    <w:rsid w:val="008B3A91"/>
    <w:rsid w:val="008B3C54"/>
    <w:rsid w:val="008B4907"/>
    <w:rsid w:val="008B5187"/>
    <w:rsid w:val="008B5A03"/>
    <w:rsid w:val="008B62F5"/>
    <w:rsid w:val="008B795C"/>
    <w:rsid w:val="008C2742"/>
    <w:rsid w:val="008C2E23"/>
    <w:rsid w:val="008C3ECD"/>
    <w:rsid w:val="008C48B6"/>
    <w:rsid w:val="008C6295"/>
    <w:rsid w:val="008C645D"/>
    <w:rsid w:val="008C6C07"/>
    <w:rsid w:val="008C7656"/>
    <w:rsid w:val="008C79CE"/>
    <w:rsid w:val="008D22FA"/>
    <w:rsid w:val="008D3DCB"/>
    <w:rsid w:val="008D4223"/>
    <w:rsid w:val="008D463C"/>
    <w:rsid w:val="008E18E2"/>
    <w:rsid w:val="008E1A74"/>
    <w:rsid w:val="008E4735"/>
    <w:rsid w:val="008E487E"/>
    <w:rsid w:val="008E4AC6"/>
    <w:rsid w:val="008E6E11"/>
    <w:rsid w:val="008E78D7"/>
    <w:rsid w:val="008F07B3"/>
    <w:rsid w:val="008F31F0"/>
    <w:rsid w:val="008F5D36"/>
    <w:rsid w:val="00906D33"/>
    <w:rsid w:val="00907065"/>
    <w:rsid w:val="00910720"/>
    <w:rsid w:val="00911153"/>
    <w:rsid w:val="00911EA0"/>
    <w:rsid w:val="00914ED8"/>
    <w:rsid w:val="009160EC"/>
    <w:rsid w:val="00916359"/>
    <w:rsid w:val="00916A55"/>
    <w:rsid w:val="00917506"/>
    <w:rsid w:val="00922E85"/>
    <w:rsid w:val="009243E5"/>
    <w:rsid w:val="00925AB0"/>
    <w:rsid w:val="009274E6"/>
    <w:rsid w:val="00930650"/>
    <w:rsid w:val="00933F2D"/>
    <w:rsid w:val="0093791F"/>
    <w:rsid w:val="009406A2"/>
    <w:rsid w:val="00942BF8"/>
    <w:rsid w:val="009447F1"/>
    <w:rsid w:val="009449EF"/>
    <w:rsid w:val="00947F35"/>
    <w:rsid w:val="00951857"/>
    <w:rsid w:val="00952FA6"/>
    <w:rsid w:val="00956313"/>
    <w:rsid w:val="00956982"/>
    <w:rsid w:val="00957E46"/>
    <w:rsid w:val="009608AB"/>
    <w:rsid w:val="009618E4"/>
    <w:rsid w:val="00961A1D"/>
    <w:rsid w:val="00961C9D"/>
    <w:rsid w:val="00963801"/>
    <w:rsid w:val="00963B33"/>
    <w:rsid w:val="0096562B"/>
    <w:rsid w:val="00965BE1"/>
    <w:rsid w:val="00967C4F"/>
    <w:rsid w:val="00970B72"/>
    <w:rsid w:val="00971EB0"/>
    <w:rsid w:val="0097382F"/>
    <w:rsid w:val="00973F04"/>
    <w:rsid w:val="009751E5"/>
    <w:rsid w:val="0098062D"/>
    <w:rsid w:val="0098140E"/>
    <w:rsid w:val="0098155B"/>
    <w:rsid w:val="00982A1F"/>
    <w:rsid w:val="0098392E"/>
    <w:rsid w:val="0098419A"/>
    <w:rsid w:val="00984611"/>
    <w:rsid w:val="009849A1"/>
    <w:rsid w:val="0098679F"/>
    <w:rsid w:val="00990493"/>
    <w:rsid w:val="009958B0"/>
    <w:rsid w:val="00996746"/>
    <w:rsid w:val="00996913"/>
    <w:rsid w:val="00997A11"/>
    <w:rsid w:val="00997F06"/>
    <w:rsid w:val="009A2369"/>
    <w:rsid w:val="009A2B11"/>
    <w:rsid w:val="009A2D49"/>
    <w:rsid w:val="009A49C0"/>
    <w:rsid w:val="009A51AE"/>
    <w:rsid w:val="009A6038"/>
    <w:rsid w:val="009B1AC9"/>
    <w:rsid w:val="009B2D54"/>
    <w:rsid w:val="009B4488"/>
    <w:rsid w:val="009B477F"/>
    <w:rsid w:val="009B4A83"/>
    <w:rsid w:val="009B710A"/>
    <w:rsid w:val="009C00C0"/>
    <w:rsid w:val="009C0D02"/>
    <w:rsid w:val="009C19D4"/>
    <w:rsid w:val="009C5A29"/>
    <w:rsid w:val="009C639E"/>
    <w:rsid w:val="009C6F1B"/>
    <w:rsid w:val="009C7400"/>
    <w:rsid w:val="009D0183"/>
    <w:rsid w:val="009D177F"/>
    <w:rsid w:val="009D2963"/>
    <w:rsid w:val="009D4F05"/>
    <w:rsid w:val="009D581F"/>
    <w:rsid w:val="009D5BFE"/>
    <w:rsid w:val="009D5EC4"/>
    <w:rsid w:val="009D7814"/>
    <w:rsid w:val="009E0D27"/>
    <w:rsid w:val="009E10C9"/>
    <w:rsid w:val="009E1D3E"/>
    <w:rsid w:val="009E2023"/>
    <w:rsid w:val="009E3ABD"/>
    <w:rsid w:val="009E4D3A"/>
    <w:rsid w:val="009F0B7E"/>
    <w:rsid w:val="009F2929"/>
    <w:rsid w:val="009F3085"/>
    <w:rsid w:val="009F7017"/>
    <w:rsid w:val="009F77CF"/>
    <w:rsid w:val="009F7CB4"/>
    <w:rsid w:val="00A0246F"/>
    <w:rsid w:val="00A05592"/>
    <w:rsid w:val="00A06028"/>
    <w:rsid w:val="00A121BA"/>
    <w:rsid w:val="00A16D71"/>
    <w:rsid w:val="00A178AB"/>
    <w:rsid w:val="00A21486"/>
    <w:rsid w:val="00A21C9D"/>
    <w:rsid w:val="00A23FDC"/>
    <w:rsid w:val="00A2516B"/>
    <w:rsid w:val="00A267A7"/>
    <w:rsid w:val="00A26CBC"/>
    <w:rsid w:val="00A36DC5"/>
    <w:rsid w:val="00A41285"/>
    <w:rsid w:val="00A413E8"/>
    <w:rsid w:val="00A42EDD"/>
    <w:rsid w:val="00A4580C"/>
    <w:rsid w:val="00A47413"/>
    <w:rsid w:val="00A513F4"/>
    <w:rsid w:val="00A526A7"/>
    <w:rsid w:val="00A52B0F"/>
    <w:rsid w:val="00A63C7C"/>
    <w:rsid w:val="00A6407A"/>
    <w:rsid w:val="00A64892"/>
    <w:rsid w:val="00A66297"/>
    <w:rsid w:val="00A66C64"/>
    <w:rsid w:val="00A678C0"/>
    <w:rsid w:val="00A70661"/>
    <w:rsid w:val="00A70948"/>
    <w:rsid w:val="00A71075"/>
    <w:rsid w:val="00A766D1"/>
    <w:rsid w:val="00A778B0"/>
    <w:rsid w:val="00A77BF2"/>
    <w:rsid w:val="00A8274C"/>
    <w:rsid w:val="00A839FC"/>
    <w:rsid w:val="00A8408F"/>
    <w:rsid w:val="00A85618"/>
    <w:rsid w:val="00A857F4"/>
    <w:rsid w:val="00A85A58"/>
    <w:rsid w:val="00A865BB"/>
    <w:rsid w:val="00A86FE4"/>
    <w:rsid w:val="00A90B00"/>
    <w:rsid w:val="00A96144"/>
    <w:rsid w:val="00AA0EAE"/>
    <w:rsid w:val="00AA1212"/>
    <w:rsid w:val="00AA2F35"/>
    <w:rsid w:val="00AA32FB"/>
    <w:rsid w:val="00AA45F4"/>
    <w:rsid w:val="00AA572D"/>
    <w:rsid w:val="00AB1BCF"/>
    <w:rsid w:val="00AB2EFC"/>
    <w:rsid w:val="00AB4B1D"/>
    <w:rsid w:val="00AB4BEE"/>
    <w:rsid w:val="00AB573F"/>
    <w:rsid w:val="00AB64F9"/>
    <w:rsid w:val="00AC0978"/>
    <w:rsid w:val="00AC3485"/>
    <w:rsid w:val="00AC3583"/>
    <w:rsid w:val="00AC36DF"/>
    <w:rsid w:val="00AC6781"/>
    <w:rsid w:val="00AD7918"/>
    <w:rsid w:val="00AE0336"/>
    <w:rsid w:val="00AE0796"/>
    <w:rsid w:val="00AE145C"/>
    <w:rsid w:val="00AE6B0B"/>
    <w:rsid w:val="00AE75DB"/>
    <w:rsid w:val="00AF0D11"/>
    <w:rsid w:val="00AF1579"/>
    <w:rsid w:val="00AF4301"/>
    <w:rsid w:val="00B00450"/>
    <w:rsid w:val="00B038A3"/>
    <w:rsid w:val="00B03D18"/>
    <w:rsid w:val="00B06C8E"/>
    <w:rsid w:val="00B07072"/>
    <w:rsid w:val="00B078D5"/>
    <w:rsid w:val="00B07952"/>
    <w:rsid w:val="00B110A9"/>
    <w:rsid w:val="00B12C0C"/>
    <w:rsid w:val="00B13004"/>
    <w:rsid w:val="00B15F9F"/>
    <w:rsid w:val="00B20441"/>
    <w:rsid w:val="00B21677"/>
    <w:rsid w:val="00B244C2"/>
    <w:rsid w:val="00B24632"/>
    <w:rsid w:val="00B247BC"/>
    <w:rsid w:val="00B267A7"/>
    <w:rsid w:val="00B26837"/>
    <w:rsid w:val="00B27307"/>
    <w:rsid w:val="00B313F6"/>
    <w:rsid w:val="00B4111D"/>
    <w:rsid w:val="00B43EF9"/>
    <w:rsid w:val="00B45261"/>
    <w:rsid w:val="00B45C2C"/>
    <w:rsid w:val="00B45E22"/>
    <w:rsid w:val="00B468B7"/>
    <w:rsid w:val="00B46D8B"/>
    <w:rsid w:val="00B4764C"/>
    <w:rsid w:val="00B47A85"/>
    <w:rsid w:val="00B5060F"/>
    <w:rsid w:val="00B50EF3"/>
    <w:rsid w:val="00B5135A"/>
    <w:rsid w:val="00B51FC8"/>
    <w:rsid w:val="00B5232B"/>
    <w:rsid w:val="00B52B1D"/>
    <w:rsid w:val="00B53AF4"/>
    <w:rsid w:val="00B570C0"/>
    <w:rsid w:val="00B572F9"/>
    <w:rsid w:val="00B57DEB"/>
    <w:rsid w:val="00B64A6F"/>
    <w:rsid w:val="00B64BBB"/>
    <w:rsid w:val="00B665CD"/>
    <w:rsid w:val="00B701B7"/>
    <w:rsid w:val="00B720F5"/>
    <w:rsid w:val="00B72AD0"/>
    <w:rsid w:val="00B74060"/>
    <w:rsid w:val="00B7656D"/>
    <w:rsid w:val="00B83D97"/>
    <w:rsid w:val="00B86A6F"/>
    <w:rsid w:val="00B90F3C"/>
    <w:rsid w:val="00B92BDF"/>
    <w:rsid w:val="00B92E76"/>
    <w:rsid w:val="00B940C1"/>
    <w:rsid w:val="00BA4E1F"/>
    <w:rsid w:val="00BB1756"/>
    <w:rsid w:val="00BB2C33"/>
    <w:rsid w:val="00BB4B3B"/>
    <w:rsid w:val="00BB4FE0"/>
    <w:rsid w:val="00BB56BA"/>
    <w:rsid w:val="00BB5F55"/>
    <w:rsid w:val="00BB6A13"/>
    <w:rsid w:val="00BC1094"/>
    <w:rsid w:val="00BC19B1"/>
    <w:rsid w:val="00BC2F95"/>
    <w:rsid w:val="00BC46FF"/>
    <w:rsid w:val="00BC53E4"/>
    <w:rsid w:val="00BC59FB"/>
    <w:rsid w:val="00BC5BB1"/>
    <w:rsid w:val="00BC5DE3"/>
    <w:rsid w:val="00BC6749"/>
    <w:rsid w:val="00BC6ADF"/>
    <w:rsid w:val="00BD093C"/>
    <w:rsid w:val="00BD283B"/>
    <w:rsid w:val="00BD461F"/>
    <w:rsid w:val="00BD5398"/>
    <w:rsid w:val="00BD5719"/>
    <w:rsid w:val="00BD612B"/>
    <w:rsid w:val="00BD676E"/>
    <w:rsid w:val="00BD6CF5"/>
    <w:rsid w:val="00BD7E28"/>
    <w:rsid w:val="00BE02EA"/>
    <w:rsid w:val="00BE0970"/>
    <w:rsid w:val="00BE10EC"/>
    <w:rsid w:val="00BE75CE"/>
    <w:rsid w:val="00BF436C"/>
    <w:rsid w:val="00BF6800"/>
    <w:rsid w:val="00C00F6E"/>
    <w:rsid w:val="00C02911"/>
    <w:rsid w:val="00C02EB9"/>
    <w:rsid w:val="00C05138"/>
    <w:rsid w:val="00C11C0F"/>
    <w:rsid w:val="00C12EAF"/>
    <w:rsid w:val="00C1490E"/>
    <w:rsid w:val="00C152AA"/>
    <w:rsid w:val="00C152FC"/>
    <w:rsid w:val="00C17D7B"/>
    <w:rsid w:val="00C17FF2"/>
    <w:rsid w:val="00C21B96"/>
    <w:rsid w:val="00C21E89"/>
    <w:rsid w:val="00C225C5"/>
    <w:rsid w:val="00C249AE"/>
    <w:rsid w:val="00C2629A"/>
    <w:rsid w:val="00C3127C"/>
    <w:rsid w:val="00C31A3C"/>
    <w:rsid w:val="00C32E9F"/>
    <w:rsid w:val="00C34740"/>
    <w:rsid w:val="00C34A49"/>
    <w:rsid w:val="00C34C9E"/>
    <w:rsid w:val="00C34EC1"/>
    <w:rsid w:val="00C371B8"/>
    <w:rsid w:val="00C40152"/>
    <w:rsid w:val="00C42EAA"/>
    <w:rsid w:val="00C43C54"/>
    <w:rsid w:val="00C43D40"/>
    <w:rsid w:val="00C44F4D"/>
    <w:rsid w:val="00C457BC"/>
    <w:rsid w:val="00C47283"/>
    <w:rsid w:val="00C5271A"/>
    <w:rsid w:val="00C5356A"/>
    <w:rsid w:val="00C53DE2"/>
    <w:rsid w:val="00C61D10"/>
    <w:rsid w:val="00C63D36"/>
    <w:rsid w:val="00C64D3A"/>
    <w:rsid w:val="00C66922"/>
    <w:rsid w:val="00C67A41"/>
    <w:rsid w:val="00C701F0"/>
    <w:rsid w:val="00C70A79"/>
    <w:rsid w:val="00C756DD"/>
    <w:rsid w:val="00C76D29"/>
    <w:rsid w:val="00C7777B"/>
    <w:rsid w:val="00C77DCC"/>
    <w:rsid w:val="00C8095F"/>
    <w:rsid w:val="00C81505"/>
    <w:rsid w:val="00C83085"/>
    <w:rsid w:val="00C840F3"/>
    <w:rsid w:val="00C842B6"/>
    <w:rsid w:val="00C867B0"/>
    <w:rsid w:val="00C904E4"/>
    <w:rsid w:val="00C91717"/>
    <w:rsid w:val="00C93922"/>
    <w:rsid w:val="00C95146"/>
    <w:rsid w:val="00C96F77"/>
    <w:rsid w:val="00C97B9D"/>
    <w:rsid w:val="00CA5660"/>
    <w:rsid w:val="00CA7A20"/>
    <w:rsid w:val="00CB2758"/>
    <w:rsid w:val="00CB4893"/>
    <w:rsid w:val="00CB4E03"/>
    <w:rsid w:val="00CB54F2"/>
    <w:rsid w:val="00CB709E"/>
    <w:rsid w:val="00CC1E45"/>
    <w:rsid w:val="00CC21E7"/>
    <w:rsid w:val="00CC25CC"/>
    <w:rsid w:val="00CC25FF"/>
    <w:rsid w:val="00CC4408"/>
    <w:rsid w:val="00CC46FF"/>
    <w:rsid w:val="00CC567F"/>
    <w:rsid w:val="00CC71C1"/>
    <w:rsid w:val="00CD01C6"/>
    <w:rsid w:val="00CD02AD"/>
    <w:rsid w:val="00CD0C3B"/>
    <w:rsid w:val="00CD19D9"/>
    <w:rsid w:val="00CD2CDA"/>
    <w:rsid w:val="00CD2F60"/>
    <w:rsid w:val="00CD4CB4"/>
    <w:rsid w:val="00CD5BB4"/>
    <w:rsid w:val="00CE021F"/>
    <w:rsid w:val="00CE29BE"/>
    <w:rsid w:val="00CE3446"/>
    <w:rsid w:val="00CE3490"/>
    <w:rsid w:val="00CE3FC7"/>
    <w:rsid w:val="00CF1E24"/>
    <w:rsid w:val="00CF34BC"/>
    <w:rsid w:val="00CF3511"/>
    <w:rsid w:val="00CF5D27"/>
    <w:rsid w:val="00CF69F9"/>
    <w:rsid w:val="00D00348"/>
    <w:rsid w:val="00D00C5E"/>
    <w:rsid w:val="00D064A2"/>
    <w:rsid w:val="00D06747"/>
    <w:rsid w:val="00D10ECF"/>
    <w:rsid w:val="00D11308"/>
    <w:rsid w:val="00D11756"/>
    <w:rsid w:val="00D12277"/>
    <w:rsid w:val="00D129AD"/>
    <w:rsid w:val="00D1355A"/>
    <w:rsid w:val="00D16DAF"/>
    <w:rsid w:val="00D170BF"/>
    <w:rsid w:val="00D206DC"/>
    <w:rsid w:val="00D2164A"/>
    <w:rsid w:val="00D22B2E"/>
    <w:rsid w:val="00D3234D"/>
    <w:rsid w:val="00D35E2F"/>
    <w:rsid w:val="00D3608B"/>
    <w:rsid w:val="00D404A1"/>
    <w:rsid w:val="00D41C04"/>
    <w:rsid w:val="00D43918"/>
    <w:rsid w:val="00D454CF"/>
    <w:rsid w:val="00D47CEB"/>
    <w:rsid w:val="00D51B73"/>
    <w:rsid w:val="00D53A7F"/>
    <w:rsid w:val="00D55669"/>
    <w:rsid w:val="00D57118"/>
    <w:rsid w:val="00D57742"/>
    <w:rsid w:val="00D6337C"/>
    <w:rsid w:val="00D67426"/>
    <w:rsid w:val="00D67EC2"/>
    <w:rsid w:val="00D70A81"/>
    <w:rsid w:val="00D73018"/>
    <w:rsid w:val="00D758D9"/>
    <w:rsid w:val="00D802E1"/>
    <w:rsid w:val="00D80765"/>
    <w:rsid w:val="00D80A06"/>
    <w:rsid w:val="00D84D47"/>
    <w:rsid w:val="00D87C23"/>
    <w:rsid w:val="00D87C54"/>
    <w:rsid w:val="00D90688"/>
    <w:rsid w:val="00D938B9"/>
    <w:rsid w:val="00D94886"/>
    <w:rsid w:val="00D96BF5"/>
    <w:rsid w:val="00DA05D6"/>
    <w:rsid w:val="00DA1C7C"/>
    <w:rsid w:val="00DA235A"/>
    <w:rsid w:val="00DA3EFC"/>
    <w:rsid w:val="00DA5A5B"/>
    <w:rsid w:val="00DB12F8"/>
    <w:rsid w:val="00DB62B1"/>
    <w:rsid w:val="00DB7186"/>
    <w:rsid w:val="00DB7B7C"/>
    <w:rsid w:val="00DC016E"/>
    <w:rsid w:val="00DC0EEF"/>
    <w:rsid w:val="00DC1585"/>
    <w:rsid w:val="00DC5FD6"/>
    <w:rsid w:val="00DD0588"/>
    <w:rsid w:val="00DD0B73"/>
    <w:rsid w:val="00DD1CDC"/>
    <w:rsid w:val="00DD1EB1"/>
    <w:rsid w:val="00DD24D2"/>
    <w:rsid w:val="00DD31DD"/>
    <w:rsid w:val="00DD7398"/>
    <w:rsid w:val="00DD7923"/>
    <w:rsid w:val="00DE181F"/>
    <w:rsid w:val="00DE3106"/>
    <w:rsid w:val="00DE40A9"/>
    <w:rsid w:val="00DE52E4"/>
    <w:rsid w:val="00DE7530"/>
    <w:rsid w:val="00DE75A8"/>
    <w:rsid w:val="00DF2DAD"/>
    <w:rsid w:val="00DF6660"/>
    <w:rsid w:val="00DF751D"/>
    <w:rsid w:val="00E00458"/>
    <w:rsid w:val="00E01995"/>
    <w:rsid w:val="00E03031"/>
    <w:rsid w:val="00E03FCE"/>
    <w:rsid w:val="00E1282B"/>
    <w:rsid w:val="00E1303A"/>
    <w:rsid w:val="00E1445B"/>
    <w:rsid w:val="00E14EF9"/>
    <w:rsid w:val="00E20366"/>
    <w:rsid w:val="00E20713"/>
    <w:rsid w:val="00E218D2"/>
    <w:rsid w:val="00E2345D"/>
    <w:rsid w:val="00E26309"/>
    <w:rsid w:val="00E26530"/>
    <w:rsid w:val="00E27449"/>
    <w:rsid w:val="00E27752"/>
    <w:rsid w:val="00E34BC8"/>
    <w:rsid w:val="00E36481"/>
    <w:rsid w:val="00E36491"/>
    <w:rsid w:val="00E36F91"/>
    <w:rsid w:val="00E414C9"/>
    <w:rsid w:val="00E42C1F"/>
    <w:rsid w:val="00E433F7"/>
    <w:rsid w:val="00E434A2"/>
    <w:rsid w:val="00E462CC"/>
    <w:rsid w:val="00E46E92"/>
    <w:rsid w:val="00E470E7"/>
    <w:rsid w:val="00E4760F"/>
    <w:rsid w:val="00E502E9"/>
    <w:rsid w:val="00E50F41"/>
    <w:rsid w:val="00E50FDD"/>
    <w:rsid w:val="00E51B0B"/>
    <w:rsid w:val="00E53471"/>
    <w:rsid w:val="00E56F3E"/>
    <w:rsid w:val="00E60236"/>
    <w:rsid w:val="00E6070D"/>
    <w:rsid w:val="00E6145E"/>
    <w:rsid w:val="00E61900"/>
    <w:rsid w:val="00E62157"/>
    <w:rsid w:val="00E62580"/>
    <w:rsid w:val="00E62E52"/>
    <w:rsid w:val="00E639EA"/>
    <w:rsid w:val="00E63C3E"/>
    <w:rsid w:val="00E6508A"/>
    <w:rsid w:val="00E7173C"/>
    <w:rsid w:val="00E71AC4"/>
    <w:rsid w:val="00E71BDA"/>
    <w:rsid w:val="00E73EA1"/>
    <w:rsid w:val="00E741EF"/>
    <w:rsid w:val="00E74328"/>
    <w:rsid w:val="00E82824"/>
    <w:rsid w:val="00E83186"/>
    <w:rsid w:val="00E846ED"/>
    <w:rsid w:val="00E84A49"/>
    <w:rsid w:val="00E86287"/>
    <w:rsid w:val="00E86441"/>
    <w:rsid w:val="00E86F0A"/>
    <w:rsid w:val="00E870DF"/>
    <w:rsid w:val="00E9096F"/>
    <w:rsid w:val="00E91B01"/>
    <w:rsid w:val="00E96511"/>
    <w:rsid w:val="00E97076"/>
    <w:rsid w:val="00EA09F1"/>
    <w:rsid w:val="00EA09FC"/>
    <w:rsid w:val="00EA2321"/>
    <w:rsid w:val="00EA4A50"/>
    <w:rsid w:val="00EA4AC6"/>
    <w:rsid w:val="00EA4B65"/>
    <w:rsid w:val="00EA4E14"/>
    <w:rsid w:val="00EA65B2"/>
    <w:rsid w:val="00EA7489"/>
    <w:rsid w:val="00EA7EC6"/>
    <w:rsid w:val="00EB3B84"/>
    <w:rsid w:val="00EB61AE"/>
    <w:rsid w:val="00EC05E2"/>
    <w:rsid w:val="00EC0DAC"/>
    <w:rsid w:val="00EC4B0E"/>
    <w:rsid w:val="00EC542D"/>
    <w:rsid w:val="00EC5A00"/>
    <w:rsid w:val="00EC694D"/>
    <w:rsid w:val="00EC6AB2"/>
    <w:rsid w:val="00EC7E87"/>
    <w:rsid w:val="00ED069E"/>
    <w:rsid w:val="00ED16AA"/>
    <w:rsid w:val="00ED1EA0"/>
    <w:rsid w:val="00ED3989"/>
    <w:rsid w:val="00ED44CA"/>
    <w:rsid w:val="00ED4C7C"/>
    <w:rsid w:val="00ED56ED"/>
    <w:rsid w:val="00ED6396"/>
    <w:rsid w:val="00ED6529"/>
    <w:rsid w:val="00ED6C12"/>
    <w:rsid w:val="00EE1671"/>
    <w:rsid w:val="00EE4AAE"/>
    <w:rsid w:val="00EE5FE9"/>
    <w:rsid w:val="00EE6E83"/>
    <w:rsid w:val="00EE78E0"/>
    <w:rsid w:val="00EF18AD"/>
    <w:rsid w:val="00EF5BAD"/>
    <w:rsid w:val="00EF67E0"/>
    <w:rsid w:val="00F00467"/>
    <w:rsid w:val="00F008B3"/>
    <w:rsid w:val="00F01BEF"/>
    <w:rsid w:val="00F02EC8"/>
    <w:rsid w:val="00F03452"/>
    <w:rsid w:val="00F043AA"/>
    <w:rsid w:val="00F05D5D"/>
    <w:rsid w:val="00F07275"/>
    <w:rsid w:val="00F07984"/>
    <w:rsid w:val="00F07EB5"/>
    <w:rsid w:val="00F1102B"/>
    <w:rsid w:val="00F11580"/>
    <w:rsid w:val="00F1218F"/>
    <w:rsid w:val="00F128D3"/>
    <w:rsid w:val="00F14894"/>
    <w:rsid w:val="00F1545A"/>
    <w:rsid w:val="00F16689"/>
    <w:rsid w:val="00F201F9"/>
    <w:rsid w:val="00F20233"/>
    <w:rsid w:val="00F21F0B"/>
    <w:rsid w:val="00F2238A"/>
    <w:rsid w:val="00F237BF"/>
    <w:rsid w:val="00F3108C"/>
    <w:rsid w:val="00F31856"/>
    <w:rsid w:val="00F320DC"/>
    <w:rsid w:val="00F331CB"/>
    <w:rsid w:val="00F3389E"/>
    <w:rsid w:val="00F34FBF"/>
    <w:rsid w:val="00F35310"/>
    <w:rsid w:val="00F3634B"/>
    <w:rsid w:val="00F37C53"/>
    <w:rsid w:val="00F4175C"/>
    <w:rsid w:val="00F41C16"/>
    <w:rsid w:val="00F43A30"/>
    <w:rsid w:val="00F444A3"/>
    <w:rsid w:val="00F44B85"/>
    <w:rsid w:val="00F55421"/>
    <w:rsid w:val="00F55E06"/>
    <w:rsid w:val="00F57B45"/>
    <w:rsid w:val="00F62142"/>
    <w:rsid w:val="00F62827"/>
    <w:rsid w:val="00F62EA3"/>
    <w:rsid w:val="00F631AC"/>
    <w:rsid w:val="00F646AC"/>
    <w:rsid w:val="00F65764"/>
    <w:rsid w:val="00F665B8"/>
    <w:rsid w:val="00F70F02"/>
    <w:rsid w:val="00F713D7"/>
    <w:rsid w:val="00F71C38"/>
    <w:rsid w:val="00F72D3D"/>
    <w:rsid w:val="00F732AB"/>
    <w:rsid w:val="00F74E94"/>
    <w:rsid w:val="00F750D3"/>
    <w:rsid w:val="00F7750C"/>
    <w:rsid w:val="00F8030B"/>
    <w:rsid w:val="00F81006"/>
    <w:rsid w:val="00F81156"/>
    <w:rsid w:val="00F8502D"/>
    <w:rsid w:val="00F8524C"/>
    <w:rsid w:val="00F855FB"/>
    <w:rsid w:val="00F92427"/>
    <w:rsid w:val="00F9399D"/>
    <w:rsid w:val="00F94460"/>
    <w:rsid w:val="00F94699"/>
    <w:rsid w:val="00F95346"/>
    <w:rsid w:val="00F95562"/>
    <w:rsid w:val="00FA1C01"/>
    <w:rsid w:val="00FA281F"/>
    <w:rsid w:val="00FA2A72"/>
    <w:rsid w:val="00FA5248"/>
    <w:rsid w:val="00FA5D3C"/>
    <w:rsid w:val="00FA7CB7"/>
    <w:rsid w:val="00FA7F0E"/>
    <w:rsid w:val="00FB074C"/>
    <w:rsid w:val="00FB2D82"/>
    <w:rsid w:val="00FB3E1A"/>
    <w:rsid w:val="00FB4998"/>
    <w:rsid w:val="00FB69AF"/>
    <w:rsid w:val="00FC07B2"/>
    <w:rsid w:val="00FC3243"/>
    <w:rsid w:val="00FC44B6"/>
    <w:rsid w:val="00FD02A6"/>
    <w:rsid w:val="00FD0CDB"/>
    <w:rsid w:val="00FD3391"/>
    <w:rsid w:val="00FD429B"/>
    <w:rsid w:val="00FD4B33"/>
    <w:rsid w:val="00FD4F44"/>
    <w:rsid w:val="00FD53E3"/>
    <w:rsid w:val="00FE018D"/>
    <w:rsid w:val="00FE0AEA"/>
    <w:rsid w:val="00FE0EB0"/>
    <w:rsid w:val="00FE2045"/>
    <w:rsid w:val="00FE43C7"/>
    <w:rsid w:val="00FE50CB"/>
    <w:rsid w:val="00FF10C2"/>
    <w:rsid w:val="00FF2549"/>
    <w:rsid w:val="00FF5A41"/>
    <w:rsid w:val="586F3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rsid w:val="00A41285"/>
    <w:rPr>
      <w:rFonts w:ascii="monospace" w:eastAsia="monospace" w:hAnsi="monospace" w:cs="monospace" w:hint="default"/>
      <w:sz w:val="24"/>
      <w:szCs w:val="24"/>
    </w:rPr>
  </w:style>
  <w:style w:type="character" w:styleId="a3">
    <w:name w:val="Strong"/>
    <w:basedOn w:val="a0"/>
    <w:qFormat/>
    <w:rsid w:val="00A41285"/>
    <w:rPr>
      <w:b/>
      <w:i w:val="0"/>
    </w:rPr>
  </w:style>
  <w:style w:type="character" w:styleId="HTML0">
    <w:name w:val="HTML Acronym"/>
    <w:basedOn w:val="a0"/>
    <w:rsid w:val="00A41285"/>
    <w:rPr>
      <w:bdr w:val="none" w:sz="0" w:space="0" w:color="auto"/>
    </w:rPr>
  </w:style>
  <w:style w:type="character" w:styleId="HTML1">
    <w:name w:val="HTML Definition"/>
    <w:basedOn w:val="a0"/>
    <w:rsid w:val="00A41285"/>
    <w:rPr>
      <w:i w:val="0"/>
    </w:rPr>
  </w:style>
  <w:style w:type="character" w:styleId="a4">
    <w:name w:val="Emphasis"/>
    <w:basedOn w:val="a0"/>
    <w:qFormat/>
    <w:rsid w:val="00A41285"/>
    <w:rPr>
      <w:i/>
    </w:rPr>
  </w:style>
  <w:style w:type="character" w:styleId="HTML2">
    <w:name w:val="HTML Code"/>
    <w:basedOn w:val="a0"/>
    <w:rsid w:val="00A41285"/>
    <w:rPr>
      <w:rFonts w:ascii="monospace" w:eastAsia="monospace" w:hAnsi="monospace" w:cs="monospace"/>
      <w:i w:val="0"/>
      <w:sz w:val="24"/>
      <w:szCs w:val="24"/>
      <w:bdr w:val="none" w:sz="0" w:space="0" w:color="auto"/>
    </w:rPr>
  </w:style>
  <w:style w:type="character" w:styleId="a5">
    <w:name w:val="FollowedHyperlink"/>
    <w:basedOn w:val="a0"/>
    <w:rsid w:val="00A41285"/>
    <w:rPr>
      <w:color w:val="555555"/>
      <w:u w:val="none"/>
    </w:rPr>
  </w:style>
  <w:style w:type="character" w:styleId="HTML3">
    <w:name w:val="HTML Keyboard"/>
    <w:basedOn w:val="a0"/>
    <w:rsid w:val="00A41285"/>
    <w:rPr>
      <w:rFonts w:ascii="monospace" w:eastAsia="monospace" w:hAnsi="monospace" w:cs="monospace" w:hint="default"/>
      <w:sz w:val="24"/>
      <w:szCs w:val="24"/>
    </w:rPr>
  </w:style>
  <w:style w:type="character" w:styleId="HTML4">
    <w:name w:val="HTML Cite"/>
    <w:basedOn w:val="a0"/>
    <w:rsid w:val="00A41285"/>
    <w:rPr>
      <w:i w:val="0"/>
    </w:rPr>
  </w:style>
  <w:style w:type="character" w:styleId="HTML5">
    <w:name w:val="HTML Variable"/>
    <w:basedOn w:val="a0"/>
    <w:rsid w:val="00A41285"/>
    <w:rPr>
      <w:i w:val="0"/>
    </w:rPr>
  </w:style>
  <w:style w:type="character" w:styleId="a6">
    <w:name w:val="Hyperlink"/>
    <w:basedOn w:val="a0"/>
    <w:rsid w:val="00A41285"/>
    <w:rPr>
      <w:color w:val="555555"/>
      <w:u w:val="none"/>
    </w:rPr>
  </w:style>
  <w:style w:type="character" w:customStyle="1" w:styleId="no72">
    <w:name w:val="no72"/>
    <w:basedOn w:val="a0"/>
    <w:rsid w:val="00A41285"/>
  </w:style>
  <w:style w:type="character" w:customStyle="1" w:styleId="bdsmore2">
    <w:name w:val="bds_more2"/>
    <w:basedOn w:val="a0"/>
    <w:rsid w:val="00A41285"/>
    <w:rPr>
      <w:rFonts w:ascii="宋体" w:eastAsia="宋体" w:hAnsi="宋体" w:cs="宋体" w:hint="eastAsia"/>
      <w:bdr w:val="none" w:sz="0" w:space="0" w:color="auto"/>
    </w:rPr>
  </w:style>
  <w:style w:type="character" w:customStyle="1" w:styleId="top-icon">
    <w:name w:val="top-icon"/>
    <w:basedOn w:val="a0"/>
    <w:rsid w:val="00A41285"/>
  </w:style>
  <w:style w:type="character" w:customStyle="1" w:styleId="my-notice1">
    <w:name w:val="my-notice1"/>
    <w:basedOn w:val="a0"/>
    <w:rsid w:val="00A41285"/>
  </w:style>
  <w:style w:type="character" w:customStyle="1" w:styleId="ui-bz-bg-hover1">
    <w:name w:val="ui-bz-bg-hover1"/>
    <w:basedOn w:val="a0"/>
    <w:rsid w:val="00A41285"/>
  </w:style>
  <w:style w:type="character" w:customStyle="1" w:styleId="bdsnopic">
    <w:name w:val="bds_nopic"/>
    <w:basedOn w:val="a0"/>
    <w:rsid w:val="00A41285"/>
  </w:style>
  <w:style w:type="character" w:customStyle="1" w:styleId="my-class">
    <w:name w:val="my-class"/>
    <w:basedOn w:val="a0"/>
    <w:rsid w:val="00A41285"/>
  </w:style>
  <w:style w:type="character" w:customStyle="1" w:styleId="orange">
    <w:name w:val="orange"/>
    <w:basedOn w:val="a0"/>
    <w:rsid w:val="00A41285"/>
    <w:rPr>
      <w:color w:val="3FB58F"/>
    </w:rPr>
  </w:style>
  <w:style w:type="character" w:customStyle="1" w:styleId="bdsnopic1">
    <w:name w:val="bds_nopic1"/>
    <w:basedOn w:val="a0"/>
    <w:rsid w:val="00A41285"/>
  </w:style>
  <w:style w:type="character" w:customStyle="1" w:styleId="f-star">
    <w:name w:val="f-star"/>
    <w:basedOn w:val="a0"/>
    <w:rsid w:val="00A41285"/>
    <w:rPr>
      <w:color w:val="999999"/>
      <w:sz w:val="21"/>
      <w:szCs w:val="21"/>
    </w:rPr>
  </w:style>
  <w:style w:type="character" w:customStyle="1" w:styleId="no42">
    <w:name w:val="no42"/>
    <w:basedOn w:val="a0"/>
    <w:rsid w:val="00A41285"/>
  </w:style>
  <w:style w:type="character" w:customStyle="1" w:styleId="bdsnopic2">
    <w:name w:val="bds_nopic2"/>
    <w:basedOn w:val="a0"/>
    <w:rsid w:val="00A41285"/>
  </w:style>
  <w:style w:type="character" w:customStyle="1" w:styleId="orgname2">
    <w:name w:val="org_name2"/>
    <w:basedOn w:val="a0"/>
    <w:rsid w:val="00A41285"/>
  </w:style>
  <w:style w:type="character" w:customStyle="1" w:styleId="no52">
    <w:name w:val="no52"/>
    <w:basedOn w:val="a0"/>
    <w:rsid w:val="00A41285"/>
  </w:style>
  <w:style w:type="character" w:customStyle="1" w:styleId="bdsmore">
    <w:name w:val="bds_more"/>
    <w:basedOn w:val="a0"/>
    <w:rsid w:val="00A41285"/>
    <w:rPr>
      <w:bdr w:val="none" w:sz="0" w:space="0" w:color="auto"/>
    </w:rPr>
  </w:style>
  <w:style w:type="character" w:customStyle="1" w:styleId="tip11">
    <w:name w:val="tip11"/>
    <w:basedOn w:val="a0"/>
    <w:rsid w:val="00A41285"/>
    <w:rPr>
      <w:vanish/>
      <w:color w:val="FF0000"/>
      <w:sz w:val="18"/>
      <w:szCs w:val="18"/>
    </w:rPr>
  </w:style>
  <w:style w:type="character" w:customStyle="1" w:styleId="no62">
    <w:name w:val="no62"/>
    <w:basedOn w:val="a0"/>
    <w:rsid w:val="00A41285"/>
  </w:style>
  <w:style w:type="character" w:customStyle="1" w:styleId="bdsmore1">
    <w:name w:val="bds_more1"/>
    <w:basedOn w:val="a0"/>
    <w:rsid w:val="00A41285"/>
    <w:rPr>
      <w:bdr w:val="none" w:sz="0" w:space="0" w:color="auto"/>
    </w:rPr>
  </w:style>
  <w:style w:type="character" w:customStyle="1" w:styleId="ico-jiang2">
    <w:name w:val="ico-jiang2"/>
    <w:basedOn w:val="a0"/>
    <w:rsid w:val="00A41285"/>
  </w:style>
  <w:style w:type="character" w:customStyle="1" w:styleId="t-tag">
    <w:name w:val="t-tag"/>
    <w:basedOn w:val="a0"/>
    <w:rsid w:val="00A41285"/>
    <w:rPr>
      <w:color w:val="FFFFFF"/>
      <w:sz w:val="18"/>
      <w:szCs w:val="18"/>
      <w:bdr w:val="none" w:sz="0" w:space="0" w:color="auto"/>
      <w:shd w:val="clear" w:color="auto" w:fill="FE8833"/>
    </w:rPr>
  </w:style>
  <w:style w:type="character" w:customStyle="1" w:styleId="ico-jiang3">
    <w:name w:val="ico-jiang3"/>
    <w:basedOn w:val="a0"/>
    <w:rsid w:val="00A41285"/>
  </w:style>
  <w:style w:type="character" w:customStyle="1" w:styleId="ui-bz-bg-hover">
    <w:name w:val="ui-bz-bg-hover"/>
    <w:basedOn w:val="a0"/>
    <w:rsid w:val="00A41285"/>
    <w:rPr>
      <w:shd w:val="clear" w:color="auto" w:fill="000000"/>
    </w:rPr>
  </w:style>
  <w:style w:type="paragraph" w:styleId="a7">
    <w:name w:val="header"/>
    <w:basedOn w:val="a"/>
    <w:rsid w:val="00A412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8">
    <w:name w:val="Normal (Web)"/>
    <w:basedOn w:val="a"/>
    <w:uiPriority w:val="99"/>
    <w:rsid w:val="00A41285"/>
    <w:rPr>
      <w:sz w:val="24"/>
    </w:rPr>
  </w:style>
  <w:style w:type="paragraph" w:styleId="a9">
    <w:name w:val="footer"/>
    <w:basedOn w:val="a"/>
    <w:link w:val="Char"/>
    <w:uiPriority w:val="99"/>
    <w:rsid w:val="00397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397F7C"/>
    <w:rPr>
      <w:rFonts w:ascii="Calibri" w:hAnsi="Calibri"/>
      <w:kern w:val="2"/>
      <w:sz w:val="18"/>
      <w:szCs w:val="18"/>
    </w:rPr>
  </w:style>
  <w:style w:type="character" w:styleId="aa">
    <w:name w:val="annotation reference"/>
    <w:basedOn w:val="a0"/>
    <w:rsid w:val="0096562B"/>
    <w:rPr>
      <w:sz w:val="21"/>
      <w:szCs w:val="21"/>
    </w:rPr>
  </w:style>
  <w:style w:type="paragraph" w:styleId="ab">
    <w:name w:val="annotation text"/>
    <w:basedOn w:val="a"/>
    <w:link w:val="Char0"/>
    <w:rsid w:val="0096562B"/>
    <w:pPr>
      <w:jc w:val="left"/>
    </w:pPr>
  </w:style>
  <w:style w:type="character" w:customStyle="1" w:styleId="Char0">
    <w:name w:val="批注文字 Char"/>
    <w:basedOn w:val="a0"/>
    <w:link w:val="ab"/>
    <w:rsid w:val="0096562B"/>
    <w:rPr>
      <w:rFonts w:ascii="Calibri" w:hAnsi="Calibri"/>
      <w:kern w:val="2"/>
      <w:sz w:val="21"/>
      <w:szCs w:val="24"/>
    </w:rPr>
  </w:style>
  <w:style w:type="paragraph" w:styleId="ac">
    <w:name w:val="annotation subject"/>
    <w:basedOn w:val="ab"/>
    <w:next w:val="ab"/>
    <w:link w:val="Char1"/>
    <w:rsid w:val="0096562B"/>
    <w:rPr>
      <w:b/>
      <w:bCs/>
    </w:rPr>
  </w:style>
  <w:style w:type="character" w:customStyle="1" w:styleId="Char1">
    <w:name w:val="批注主题 Char"/>
    <w:basedOn w:val="Char0"/>
    <w:link w:val="ac"/>
    <w:rsid w:val="0096562B"/>
    <w:rPr>
      <w:rFonts w:ascii="Calibri" w:hAnsi="Calibri"/>
      <w:b/>
      <w:bCs/>
      <w:kern w:val="2"/>
      <w:sz w:val="21"/>
      <w:szCs w:val="24"/>
    </w:rPr>
  </w:style>
  <w:style w:type="paragraph" w:styleId="ad">
    <w:name w:val="Balloon Text"/>
    <w:basedOn w:val="a"/>
    <w:link w:val="Char2"/>
    <w:rsid w:val="0096562B"/>
    <w:rPr>
      <w:sz w:val="18"/>
      <w:szCs w:val="18"/>
    </w:rPr>
  </w:style>
  <w:style w:type="character" w:customStyle="1" w:styleId="Char2">
    <w:name w:val="批注框文本 Char"/>
    <w:basedOn w:val="a0"/>
    <w:link w:val="ad"/>
    <w:rsid w:val="0096562B"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20D90"/>
    <w:pPr>
      <w:ind w:firstLineChars="200" w:firstLine="420"/>
    </w:pPr>
  </w:style>
  <w:style w:type="paragraph" w:customStyle="1" w:styleId="Default">
    <w:name w:val="Default"/>
    <w:rsid w:val="000E3F6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B2EFC"/>
  </w:style>
  <w:style w:type="table" w:styleId="af">
    <w:name w:val="Table Grid"/>
    <w:basedOn w:val="a1"/>
    <w:rsid w:val="00CD0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477">
          <w:marLeft w:val="5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5264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612">
          <w:marLeft w:val="5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396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79E6F-23D1-4985-90C4-0BE78E2A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745</Words>
  <Characters>4253</Characters>
  <Application>Microsoft Office Word</Application>
  <DocSecurity>0</DocSecurity>
  <PresentationFormat/>
  <Lines>35</Lines>
  <Paragraphs>9</Paragraphs>
  <Slides>0</Slides>
  <Notes>0</Notes>
  <HiddenSlides>0</HiddenSlides>
  <MMClips>0</MMClip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ly</cp:lastModifiedBy>
  <cp:revision>34</cp:revision>
  <cp:lastPrinted>2018-06-22T08:12:00Z</cp:lastPrinted>
  <dcterms:created xsi:type="dcterms:W3CDTF">2020-02-27T04:19:00Z</dcterms:created>
  <dcterms:modified xsi:type="dcterms:W3CDTF">2020-05-11T07:08:00Z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