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74" w:rsidRPr="008C6D74" w:rsidRDefault="008C6D74" w:rsidP="00C73604">
      <w:pPr>
        <w:spacing w:beforeLines="50" w:afterLines="50" w:line="400" w:lineRule="exact"/>
        <w:ind w:firstLineChars="50" w:firstLine="120"/>
        <w:rPr>
          <w:rFonts w:asciiTheme="minorEastAsia" w:eastAsiaTheme="minorEastAsia" w:hAnsiTheme="minorEastAsia"/>
          <w:bCs/>
          <w:iCs/>
          <w:color w:val="000000"/>
          <w:sz w:val="24"/>
        </w:rPr>
      </w:pPr>
      <w:r w:rsidRPr="008C6D74">
        <w:rPr>
          <w:rFonts w:asciiTheme="minorEastAsia" w:eastAsiaTheme="minorEastAsia" w:hAnsiTheme="minorEastAsia" w:hint="eastAsia"/>
          <w:bCs/>
          <w:iCs/>
          <w:color w:val="000000"/>
          <w:sz w:val="24"/>
        </w:rPr>
        <w:t>证券代码：300087                                 证券简称：荃银高科</w:t>
      </w:r>
    </w:p>
    <w:p w:rsidR="008C6D74" w:rsidRPr="008C6D74" w:rsidRDefault="008C6D74" w:rsidP="00C73604">
      <w:pPr>
        <w:spacing w:beforeLines="50" w:afterLines="50" w:line="400" w:lineRule="exact"/>
        <w:jc w:val="center"/>
        <w:rPr>
          <w:rFonts w:asciiTheme="minorEastAsia" w:eastAsiaTheme="minorEastAsia" w:hAnsiTheme="minorEastAsia"/>
          <w:b/>
          <w:bCs/>
          <w:iCs/>
          <w:color w:val="000000"/>
          <w:sz w:val="32"/>
          <w:szCs w:val="32"/>
        </w:rPr>
      </w:pPr>
      <w:r w:rsidRPr="008C6D74">
        <w:rPr>
          <w:rFonts w:asciiTheme="minorEastAsia" w:eastAsiaTheme="minorEastAsia" w:hAnsiTheme="minorEastAsia" w:hint="eastAsia"/>
          <w:b/>
          <w:bCs/>
          <w:iCs/>
          <w:color w:val="000000"/>
          <w:sz w:val="32"/>
          <w:szCs w:val="32"/>
        </w:rPr>
        <w:t>安徽荃银高科种业股份有限公司投资者关系活动记录表</w:t>
      </w:r>
    </w:p>
    <w:p w:rsidR="008C6D74" w:rsidRPr="008C6D74" w:rsidRDefault="008C6D74" w:rsidP="008C6D74">
      <w:pPr>
        <w:spacing w:line="400" w:lineRule="exact"/>
        <w:rPr>
          <w:rFonts w:asciiTheme="minorEastAsia" w:eastAsiaTheme="minorEastAsia" w:hAnsiTheme="minorEastAsia"/>
          <w:bCs/>
          <w:iCs/>
          <w:color w:val="000000"/>
          <w:sz w:val="24"/>
        </w:rPr>
      </w:pPr>
      <w:r w:rsidRPr="008C6D74">
        <w:rPr>
          <w:rFonts w:asciiTheme="minorEastAsia" w:eastAsiaTheme="minorEastAsia" w:hAnsiTheme="minorEastAsia" w:hint="eastAsia"/>
          <w:bCs/>
          <w:iCs/>
          <w:color w:val="000000"/>
          <w:sz w:val="24"/>
        </w:rPr>
        <w:t xml:space="preserve">                                                      编号：2020-00</w:t>
      </w:r>
      <w:r w:rsidR="007F5922">
        <w:rPr>
          <w:rFonts w:asciiTheme="minorEastAsia" w:eastAsiaTheme="minorEastAsia" w:hAnsiTheme="minorEastAsia" w:hint="eastAsia"/>
          <w:bCs/>
          <w:iCs/>
          <w:color w:val="000000"/>
          <w:sz w:val="24"/>
        </w:rPr>
        <w:t>1</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6614"/>
      </w:tblGrid>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投资者关系活动类别</w:t>
            </w:r>
          </w:p>
        </w:tc>
        <w:tc>
          <w:tcPr>
            <w:tcW w:w="6614" w:type="dxa"/>
            <w:tcBorders>
              <w:top w:val="single" w:sz="4" w:space="0" w:color="auto"/>
              <w:left w:val="single" w:sz="4" w:space="0" w:color="auto"/>
              <w:bottom w:val="single" w:sz="4" w:space="0" w:color="auto"/>
              <w:right w:val="single" w:sz="4" w:space="0" w:color="auto"/>
            </w:tcBorders>
          </w:tcPr>
          <w:p w:rsidR="00CC197E" w:rsidRPr="008C6D74" w:rsidRDefault="00CC197E"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 xml:space="preserve">特定对象调研        </w:t>
            </w: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分析师会议</w:t>
            </w:r>
          </w:p>
          <w:p w:rsidR="00CC197E" w:rsidRPr="008C6D74" w:rsidRDefault="00CC197E"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 xml:space="preserve">媒体采访            </w:t>
            </w: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业绩说明会</w:t>
            </w:r>
          </w:p>
          <w:p w:rsidR="00CC197E" w:rsidRPr="008C6D74" w:rsidRDefault="00CC197E"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 xml:space="preserve">新闻发布会          </w:t>
            </w: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路演活动</w:t>
            </w:r>
          </w:p>
          <w:p w:rsidR="00CC197E" w:rsidRPr="008C6D74" w:rsidRDefault="00CC197E" w:rsidP="008C6D74">
            <w:pPr>
              <w:tabs>
                <w:tab w:val="left" w:pos="3045"/>
                <w:tab w:val="center" w:pos="3199"/>
              </w:tabs>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现场参观</w:t>
            </w:r>
          </w:p>
          <w:p w:rsidR="00CC197E" w:rsidRPr="008C6D74" w:rsidRDefault="00CC197E" w:rsidP="008C6D74">
            <w:pPr>
              <w:tabs>
                <w:tab w:val="center" w:pos="3199"/>
              </w:tabs>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w:t>
            </w:r>
            <w:r w:rsidRPr="008C6D74">
              <w:rPr>
                <w:rFonts w:asciiTheme="minorEastAsia" w:eastAsiaTheme="minorEastAsia" w:hAnsiTheme="minorEastAsia" w:cs="Times New Roman"/>
                <w:sz w:val="28"/>
                <w:szCs w:val="28"/>
              </w:rPr>
              <w:t>其他 （</w:t>
            </w:r>
            <w:r w:rsidRPr="008C6D74">
              <w:rPr>
                <w:rFonts w:asciiTheme="minorEastAsia" w:eastAsiaTheme="minorEastAsia" w:hAnsiTheme="minorEastAsia" w:cs="Times New Roman"/>
                <w:sz w:val="28"/>
                <w:szCs w:val="28"/>
                <w:u w:val="single"/>
              </w:rPr>
              <w:t>请文字说明其他活动内容）</w:t>
            </w:r>
          </w:p>
        </w:tc>
      </w:tr>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博时基金 梅思哲；华宝基金 陆恒；天弘基金 麦骏杰；万家基金 刘洋；东北证券 李瑶</w:t>
            </w:r>
          </w:p>
        </w:tc>
      </w:tr>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时间</w:t>
            </w:r>
          </w:p>
        </w:tc>
        <w:tc>
          <w:tcPr>
            <w:tcW w:w="6614"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2020年5月11日  上午10:00-10:45</w:t>
            </w:r>
          </w:p>
        </w:tc>
      </w:tr>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地点</w:t>
            </w:r>
          </w:p>
        </w:tc>
        <w:tc>
          <w:tcPr>
            <w:tcW w:w="6614"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公司420办公室</w:t>
            </w:r>
          </w:p>
        </w:tc>
      </w:tr>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董事会秘书 张庆一</w:t>
            </w:r>
          </w:p>
        </w:tc>
      </w:tr>
      <w:tr w:rsidR="00CC197E"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CC197E" w:rsidRPr="008C6D74" w:rsidRDefault="00CC197E" w:rsidP="008C6D74">
            <w:pPr>
              <w:spacing w:after="0" w:line="500" w:lineRule="exact"/>
              <w:rPr>
                <w:rFonts w:asciiTheme="minorEastAsia" w:eastAsiaTheme="minorEastAsia" w:hAnsiTheme="minorEastAsia" w:cs="Times New Roman"/>
                <w:bCs/>
                <w:iCs/>
                <w:color w:val="000000"/>
                <w:sz w:val="28"/>
                <w:szCs w:val="28"/>
              </w:rPr>
            </w:pPr>
            <w:r w:rsidRPr="008C6D74">
              <w:rPr>
                <w:rFonts w:asciiTheme="minorEastAsia" w:eastAsiaTheme="minorEastAsia" w:hAnsiTheme="minorEastAsia" w:cs="Times New Roman"/>
                <w:bCs/>
                <w:iCs/>
                <w:color w:val="000000"/>
                <w:sz w:val="28"/>
                <w:szCs w:val="28"/>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CC197E" w:rsidRPr="008C6D74" w:rsidRDefault="00CC197E" w:rsidP="008C6D74">
            <w:pPr>
              <w:spacing w:after="0" w:line="500" w:lineRule="exact"/>
              <w:ind w:firstLineChars="200" w:firstLine="482"/>
              <w:rPr>
                <w:rFonts w:asciiTheme="minorEastAsia" w:eastAsiaTheme="minorEastAsia" w:hAnsiTheme="minorEastAsia" w:cs="Times New Roman"/>
                <w:sz w:val="24"/>
              </w:rPr>
            </w:pPr>
            <w:r w:rsidRPr="008C6D74">
              <w:rPr>
                <w:rFonts w:asciiTheme="minorEastAsia" w:eastAsiaTheme="minorEastAsia" w:hAnsiTheme="minorEastAsia" w:cs="Times New Roman"/>
                <w:b/>
                <w:sz w:val="24"/>
              </w:rPr>
              <w:t>主持人：</w:t>
            </w:r>
            <w:r w:rsidRPr="008C6D74">
              <w:rPr>
                <w:rFonts w:asciiTheme="minorEastAsia" w:eastAsiaTheme="minorEastAsia" w:hAnsiTheme="minorEastAsia" w:cs="Times New Roman"/>
                <w:sz w:val="24"/>
              </w:rPr>
              <w:t>荃银高科是国内十分优秀的种子生产和研发的企业,在</w:t>
            </w:r>
            <w:r w:rsidR="008C6D74">
              <w:rPr>
                <w:rFonts w:asciiTheme="minorEastAsia" w:eastAsiaTheme="minorEastAsia" w:hAnsiTheme="minorEastAsia" w:cs="Times New Roman"/>
                <w:sz w:val="24"/>
              </w:rPr>
              <w:t>20</w:t>
            </w:r>
            <w:r w:rsidRPr="008C6D74">
              <w:rPr>
                <w:rFonts w:asciiTheme="minorEastAsia" w:eastAsiaTheme="minorEastAsia" w:hAnsiTheme="minorEastAsia" w:cs="Times New Roman"/>
                <w:sz w:val="24"/>
              </w:rPr>
              <w:t>16到</w:t>
            </w:r>
            <w:r w:rsidR="008C6D74">
              <w:rPr>
                <w:rFonts w:asciiTheme="minorEastAsia" w:eastAsiaTheme="minorEastAsia" w:hAnsiTheme="minorEastAsia" w:cs="Times New Roman"/>
                <w:sz w:val="24"/>
              </w:rPr>
              <w:t>20</w:t>
            </w:r>
            <w:r w:rsidRPr="008C6D74">
              <w:rPr>
                <w:rFonts w:asciiTheme="minorEastAsia" w:eastAsiaTheme="minorEastAsia" w:hAnsiTheme="minorEastAsia" w:cs="Times New Roman"/>
                <w:sz w:val="24"/>
              </w:rPr>
              <w:t>18年，在种子行业竞争激烈、毛利下降、盈利空间不断被挤压的严峻形势下，公司的水稻销量一直维持在10%以上的增速，下面我们就市场比较关注的几个问题与公司董秘张总进行交流。</w:t>
            </w:r>
          </w:p>
          <w:p w:rsidR="00CC197E" w:rsidRPr="008C6D74" w:rsidRDefault="00CC197E" w:rsidP="008C6D74">
            <w:pPr>
              <w:spacing w:after="0" w:line="500" w:lineRule="exact"/>
              <w:ind w:firstLineChars="200" w:firstLine="482"/>
              <w:rPr>
                <w:rFonts w:asciiTheme="minorEastAsia" w:eastAsiaTheme="minorEastAsia" w:hAnsiTheme="minorEastAsia" w:cs="Times New Roman"/>
                <w:sz w:val="24"/>
              </w:rPr>
            </w:pPr>
            <w:r w:rsidRPr="008C6D74">
              <w:rPr>
                <w:rFonts w:asciiTheme="minorEastAsia" w:eastAsiaTheme="minorEastAsia" w:hAnsiTheme="minorEastAsia" w:cs="Times New Roman"/>
                <w:b/>
                <w:sz w:val="24"/>
              </w:rPr>
              <w:t>1.贵公司在未来如何进一步开展与现代农业的相关合作事项？是否考虑形成有控制权的一致行动人或者加大国有资本引入？</w:t>
            </w:r>
          </w:p>
          <w:p w:rsidR="00CC197E" w:rsidRPr="008C6D74" w:rsidRDefault="00CC197E"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公司将加大与第一大股东中化现代农业有限公司在种子科研、市场拓展等方面的协同力度；同时在MAP（Modern Agriculture Platform）业务方面继续深入合作，为种植户提供种、药、肥一体化供应及粮食收储等产前、产中、产后服务工作，推动农业服务业务不断发展。</w:t>
            </w:r>
          </w:p>
          <w:p w:rsidR="00CC197E" w:rsidRPr="008C6D74" w:rsidRDefault="00CC197E"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lastRenderedPageBreak/>
              <w:t>公司自成立以来一直无控股股东、无实际控制人。在主要股东支持下，公司确立了5年（2020-2024年）战略规划，其中战略目标是：以种业科技为根本，以混合体制为驱动，深耕国内及“一带一路”两个市场，狠抓队伍建设及制度流程系统提升，协同延伸农业产业价值链条，进入全球种业公司前10强。公司将通过强化战略服务、加强内部协同、提高研发效率、积极进行经营创新、加强人才储备、加强风控管理、系统性提升制度流程、加强资本运作，实现产融互动等方面积极推进战略目标的实现。谢谢！</w:t>
            </w:r>
          </w:p>
          <w:p w:rsidR="00CC197E" w:rsidRPr="008C6D74" w:rsidRDefault="00CC197E" w:rsidP="008C6D74">
            <w:pPr>
              <w:spacing w:after="0" w:line="500" w:lineRule="exact"/>
              <w:ind w:firstLineChars="200" w:firstLine="482"/>
              <w:rPr>
                <w:rFonts w:asciiTheme="minorEastAsia" w:eastAsiaTheme="minorEastAsia" w:hAnsiTheme="minorEastAsia" w:cs="Times New Roman"/>
                <w:b/>
                <w:sz w:val="24"/>
              </w:rPr>
            </w:pPr>
            <w:r w:rsidRPr="008C6D74">
              <w:rPr>
                <w:rFonts w:asciiTheme="minorEastAsia" w:eastAsiaTheme="minorEastAsia" w:hAnsiTheme="minorEastAsia" w:cs="Times New Roman"/>
                <w:b/>
                <w:sz w:val="24"/>
              </w:rPr>
              <w:t>2. 2019年水稻种子行业处于低谷，公司采取什么措施使水稻种子业务实现逆势增长？</w:t>
            </w:r>
          </w:p>
          <w:p w:rsidR="00CC197E" w:rsidRPr="008C6D74" w:rsidRDefault="00CC197E"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公司在2019年实现逆势增长的主要因素系：（1）公司研发实力较强，投放市场的优良品种符合当前消费者、加工者、种植者的需求，受到市场青睐。（2</w:t>
            </w:r>
            <w:r w:rsidR="00DF7024">
              <w:rPr>
                <w:rFonts w:asciiTheme="minorEastAsia" w:eastAsiaTheme="minorEastAsia" w:hAnsiTheme="minorEastAsia" w:cs="Times New Roman"/>
                <w:sz w:val="24"/>
              </w:rPr>
              <w:t>）增强市场开拓能力</w:t>
            </w:r>
            <w:r w:rsidR="00A92155">
              <w:rPr>
                <w:rFonts w:asciiTheme="minorEastAsia" w:eastAsiaTheme="minorEastAsia" w:hAnsiTheme="minorEastAsia" w:cs="Times New Roman"/>
                <w:sz w:val="24"/>
              </w:rPr>
              <w:t>，</w:t>
            </w:r>
            <w:r w:rsidR="00A92155">
              <w:rPr>
                <w:rFonts w:asciiTheme="minorEastAsia" w:eastAsiaTheme="minorEastAsia" w:hAnsiTheme="minorEastAsia" w:cs="Times New Roman" w:hint="eastAsia"/>
                <w:sz w:val="24"/>
              </w:rPr>
              <w:t>包括</w:t>
            </w:r>
            <w:r w:rsidR="00DF7024">
              <w:rPr>
                <w:rFonts w:asciiTheme="minorEastAsia" w:eastAsiaTheme="minorEastAsia" w:hAnsiTheme="minorEastAsia" w:cs="Times New Roman"/>
                <w:sz w:val="24"/>
              </w:rPr>
              <w:t>扩大市场覆盖区域，在原</w:t>
            </w:r>
            <w:r w:rsidR="00DF7024">
              <w:rPr>
                <w:rFonts w:asciiTheme="minorEastAsia" w:eastAsiaTheme="minorEastAsia" w:hAnsiTheme="minorEastAsia" w:cs="Times New Roman" w:hint="eastAsia"/>
                <w:sz w:val="24"/>
              </w:rPr>
              <w:t>有</w:t>
            </w:r>
            <w:r w:rsidRPr="008C6D74">
              <w:rPr>
                <w:rFonts w:asciiTheme="minorEastAsia" w:eastAsiaTheme="minorEastAsia" w:hAnsiTheme="minorEastAsia" w:cs="Times New Roman"/>
                <w:sz w:val="24"/>
              </w:rPr>
              <w:t>市场基础上作增量，在公司总部增设营销中心，拓宽销售渠道；统筹安排，抓住销售先机，尽早启动营销</w:t>
            </w:r>
            <w:r w:rsidR="00DF7024">
              <w:rPr>
                <w:rFonts w:asciiTheme="minorEastAsia" w:eastAsiaTheme="minorEastAsia" w:hAnsiTheme="minorEastAsia" w:cs="Times New Roman"/>
                <w:sz w:val="24"/>
              </w:rPr>
              <w:t>；加大品种示范展示及宣传力度，深挖</w:t>
            </w:r>
            <w:r w:rsidR="00DF7024">
              <w:rPr>
                <w:rFonts w:asciiTheme="minorEastAsia" w:eastAsiaTheme="minorEastAsia" w:hAnsiTheme="minorEastAsia" w:cs="Times New Roman" w:hint="eastAsia"/>
                <w:sz w:val="24"/>
              </w:rPr>
              <w:t>各</w:t>
            </w:r>
            <w:r w:rsidRPr="008C6D74">
              <w:rPr>
                <w:rFonts w:asciiTheme="minorEastAsia" w:eastAsiaTheme="minorEastAsia" w:hAnsiTheme="minorEastAsia" w:cs="Times New Roman"/>
                <w:sz w:val="24"/>
              </w:rPr>
              <w:t>区域市场潜力，与各级经销商保持紧密联动。可以说，好品种与强有力的营销是公司能够实现种子销量逆势增长的主要驱动因素。</w:t>
            </w:r>
          </w:p>
          <w:p w:rsidR="00014924" w:rsidRPr="008C6D74" w:rsidRDefault="00014924" w:rsidP="008C6D74">
            <w:pPr>
              <w:spacing w:after="0" w:line="500" w:lineRule="exact"/>
              <w:ind w:firstLineChars="200" w:firstLine="482"/>
              <w:rPr>
                <w:rFonts w:asciiTheme="minorEastAsia" w:eastAsiaTheme="minorEastAsia" w:hAnsiTheme="minorEastAsia" w:cs="Times New Roman"/>
                <w:b/>
                <w:sz w:val="24"/>
              </w:rPr>
            </w:pPr>
            <w:r w:rsidRPr="008C6D74">
              <w:rPr>
                <w:rFonts w:asciiTheme="minorEastAsia" w:eastAsiaTheme="minorEastAsia" w:hAnsiTheme="minorEastAsia" w:cs="Times New Roman"/>
                <w:b/>
                <w:sz w:val="24"/>
              </w:rPr>
              <w:t>3.水稻种子价格的核心影响因素？未来水稻种子价格以及水稻种子企业毛利率的趋势？</w:t>
            </w:r>
          </w:p>
          <w:p w:rsidR="00014924" w:rsidRPr="008C6D74" w:rsidRDefault="00014924"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水稻种子价格主要是行业内部竞争导致的。未来水稻种子价格主要取决于品种是否具有竞争力。有竞争力的品种，经销商愿意推广，农民愿意种植，粮食加工企业愿意收购商品粮，毛利率有望维持在稳定的区间。未来有科研实力的大企业有进一步发展的空间，中小企业可能会被加速淘汰。</w:t>
            </w:r>
          </w:p>
          <w:p w:rsidR="00014924" w:rsidRPr="008C6D74" w:rsidRDefault="00014924" w:rsidP="008C6D74">
            <w:pPr>
              <w:spacing w:after="0" w:line="500" w:lineRule="exact"/>
              <w:ind w:firstLineChars="200" w:firstLine="482"/>
              <w:rPr>
                <w:rFonts w:asciiTheme="minorEastAsia" w:eastAsiaTheme="minorEastAsia" w:hAnsiTheme="minorEastAsia" w:cs="Times New Roman"/>
                <w:b/>
                <w:sz w:val="24"/>
              </w:rPr>
            </w:pPr>
            <w:r w:rsidRPr="008C6D74">
              <w:rPr>
                <w:rFonts w:asciiTheme="minorEastAsia" w:eastAsiaTheme="minorEastAsia" w:hAnsiTheme="minorEastAsia" w:cs="Times New Roman"/>
                <w:b/>
                <w:sz w:val="24"/>
              </w:rPr>
              <w:lastRenderedPageBreak/>
              <w:t>4.公司下一阶段的育种方向？</w:t>
            </w:r>
          </w:p>
          <w:p w:rsidR="00014924" w:rsidRPr="008C6D74" w:rsidRDefault="00014924"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品种开发需要一定前瞻性，公司在过去几年</w:t>
            </w:r>
            <w:r w:rsidR="00082AE2">
              <w:rPr>
                <w:rFonts w:asciiTheme="minorEastAsia" w:eastAsiaTheme="minorEastAsia" w:hAnsiTheme="minorEastAsia" w:cs="Times New Roman"/>
                <w:sz w:val="24"/>
              </w:rPr>
              <w:t>基于对市场的准确判断和扎实的研发基础，在优质品种方面做了很多</w:t>
            </w:r>
            <w:r w:rsidR="00082AE2">
              <w:rPr>
                <w:rFonts w:asciiTheme="minorEastAsia" w:eastAsiaTheme="minorEastAsia" w:hAnsiTheme="minorEastAsia" w:cs="Times New Roman" w:hint="eastAsia"/>
                <w:sz w:val="24"/>
              </w:rPr>
              <w:t>储备</w:t>
            </w:r>
            <w:r w:rsidRPr="008C6D74">
              <w:rPr>
                <w:rFonts w:asciiTheme="minorEastAsia" w:eastAsiaTheme="minorEastAsia" w:hAnsiTheme="minorEastAsia" w:cs="Times New Roman"/>
                <w:sz w:val="24"/>
              </w:rPr>
              <w:t>，如徽两优系列品种抗倒性强，农民喜欢种植；荃</w:t>
            </w:r>
            <w:r w:rsidR="008F7542">
              <w:rPr>
                <w:rFonts w:asciiTheme="minorEastAsia" w:eastAsiaTheme="minorEastAsia" w:hAnsiTheme="minorEastAsia" w:cs="Times New Roman"/>
                <w:sz w:val="24"/>
              </w:rPr>
              <w:t>优系列品种</w:t>
            </w:r>
            <w:r w:rsidRPr="008C6D74">
              <w:rPr>
                <w:rFonts w:asciiTheme="minorEastAsia" w:eastAsiaTheme="minorEastAsia" w:hAnsiTheme="minorEastAsia" w:cs="Times New Roman"/>
                <w:sz w:val="24"/>
              </w:rPr>
              <w:t>米质优，粮食加工企业愿意收购商品粮。未来品种的竞争可能主要体现在育种手段和育种效率方面。2019年公司将“国家水稻分子育种技术创新联盟”实体化</w:t>
            </w:r>
            <w:r w:rsidR="008F7542">
              <w:rPr>
                <w:rFonts w:asciiTheme="minorEastAsia" w:eastAsiaTheme="minorEastAsia" w:hAnsiTheme="minorEastAsia" w:cs="Times New Roman"/>
                <w:sz w:val="24"/>
              </w:rPr>
              <w:t>运作，在上海成立了控股子公司上海中科荃银分子育种技术有限公司，</w:t>
            </w:r>
            <w:bookmarkStart w:id="0" w:name="_GoBack"/>
            <w:bookmarkEnd w:id="0"/>
            <w:r w:rsidRPr="008C6D74">
              <w:rPr>
                <w:rFonts w:asciiTheme="minorEastAsia" w:eastAsiaTheme="minorEastAsia" w:hAnsiTheme="minorEastAsia" w:cs="Times New Roman"/>
                <w:sz w:val="24"/>
              </w:rPr>
              <w:t>联合国内一流的水稻育种专家，将分子育种技术运用于水稻科研，提升研发效率。由于现在异常气候频发，病虫害也较多，未来公司也会注重培育抗逆性、抗病性等优良品种。</w:t>
            </w:r>
          </w:p>
          <w:p w:rsidR="00014924" w:rsidRPr="008C6D74" w:rsidRDefault="00014924" w:rsidP="008C6D74">
            <w:pPr>
              <w:spacing w:after="0" w:line="500" w:lineRule="exact"/>
              <w:ind w:firstLineChars="200" w:firstLine="482"/>
              <w:rPr>
                <w:rFonts w:asciiTheme="minorEastAsia" w:eastAsiaTheme="minorEastAsia" w:hAnsiTheme="minorEastAsia" w:cs="Times New Roman"/>
                <w:b/>
                <w:sz w:val="24"/>
              </w:rPr>
            </w:pPr>
            <w:r w:rsidRPr="008C6D74">
              <w:rPr>
                <w:rFonts w:asciiTheme="minorEastAsia" w:eastAsiaTheme="minorEastAsia" w:hAnsiTheme="minorEastAsia" w:cs="Times New Roman"/>
                <w:b/>
                <w:sz w:val="24"/>
              </w:rPr>
              <w:t>5.转基因抗虫玉米“双抗12-5”的情况？</w:t>
            </w:r>
          </w:p>
          <w:p w:rsidR="00014924" w:rsidRPr="008C6D74" w:rsidRDefault="00014924" w:rsidP="008C6D74">
            <w:pPr>
              <w:spacing w:after="0" w:line="500" w:lineRule="exact"/>
              <w:ind w:firstLineChars="200" w:firstLine="480"/>
              <w:rPr>
                <w:rFonts w:asciiTheme="minorEastAsia" w:eastAsiaTheme="minorEastAsia" w:hAnsiTheme="minorEastAsia" w:cs="Times New Roman"/>
                <w:sz w:val="24"/>
              </w:rPr>
            </w:pPr>
            <w:r w:rsidRPr="008C6D74">
              <w:rPr>
                <w:rFonts w:asciiTheme="minorEastAsia" w:eastAsiaTheme="minorEastAsia" w:hAnsiTheme="minorEastAsia" w:cs="Times New Roman"/>
                <w:sz w:val="24"/>
              </w:rPr>
              <w:t>公司于2015年牵头与浙江大学等科研院所共同承担了农业部“转基因抗虫玉米‘双抗12-5’产业化研究项目”，现该项目已实施完毕，相关验收材料已报送至农业部，同时公司已按照项目要求创制了抗虫性状突出、综合性状优良的转基因玉米品种（系）。公司是项目牵头单位，</w:t>
            </w:r>
            <w:r w:rsidR="00C73604" w:rsidRPr="00C73604">
              <w:rPr>
                <w:rFonts w:asciiTheme="minorEastAsia" w:eastAsiaTheme="minorEastAsia" w:hAnsiTheme="minorEastAsia" w:cs="Times New Roman" w:hint="eastAsia"/>
                <w:sz w:val="24"/>
              </w:rPr>
              <w:t>在能够产业化运作时会积极参与</w:t>
            </w:r>
            <w:r w:rsidR="00C73604">
              <w:rPr>
                <w:rFonts w:asciiTheme="minorEastAsia" w:eastAsiaTheme="minorEastAsia" w:hAnsiTheme="minorEastAsia" w:cs="Times New Roman" w:hint="eastAsia"/>
                <w:sz w:val="24"/>
              </w:rPr>
              <w:t>。</w:t>
            </w:r>
          </w:p>
        </w:tc>
      </w:tr>
      <w:tr w:rsidR="00014924"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014924" w:rsidRPr="008C6D74" w:rsidRDefault="00014924"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014924" w:rsidRPr="008C6D74" w:rsidRDefault="00014924" w:rsidP="008C6D74">
            <w:pPr>
              <w:spacing w:after="0" w:line="500" w:lineRule="exact"/>
              <w:rPr>
                <w:rFonts w:asciiTheme="minorEastAsia" w:eastAsiaTheme="minorEastAsia" w:hAnsiTheme="minorEastAsia" w:cs="Times New Roman"/>
                <w:bCs/>
                <w:iCs/>
                <w:color w:val="000000"/>
                <w:sz w:val="24"/>
              </w:rPr>
            </w:pPr>
          </w:p>
        </w:tc>
      </w:tr>
      <w:tr w:rsidR="00014924" w:rsidRPr="008C6D74" w:rsidTr="008C6D74">
        <w:tc>
          <w:tcPr>
            <w:tcW w:w="2235" w:type="dxa"/>
            <w:tcBorders>
              <w:top w:val="single" w:sz="4" w:space="0" w:color="auto"/>
              <w:left w:val="single" w:sz="4" w:space="0" w:color="auto"/>
              <w:bottom w:val="single" w:sz="4" w:space="0" w:color="auto"/>
              <w:right w:val="single" w:sz="4" w:space="0" w:color="auto"/>
            </w:tcBorders>
            <w:vAlign w:val="center"/>
          </w:tcPr>
          <w:p w:rsidR="00014924" w:rsidRPr="008C6D74" w:rsidRDefault="00014924"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014924" w:rsidRPr="008C6D74" w:rsidRDefault="00014924" w:rsidP="008C6D74">
            <w:pPr>
              <w:spacing w:after="0" w:line="500" w:lineRule="exact"/>
              <w:rPr>
                <w:rFonts w:asciiTheme="minorEastAsia" w:eastAsiaTheme="minorEastAsia" w:hAnsiTheme="minorEastAsia" w:cs="Times New Roman"/>
                <w:bCs/>
                <w:iCs/>
                <w:color w:val="000000"/>
                <w:sz w:val="24"/>
              </w:rPr>
            </w:pPr>
            <w:r w:rsidRPr="008C6D74">
              <w:rPr>
                <w:rFonts w:asciiTheme="minorEastAsia" w:eastAsiaTheme="minorEastAsia" w:hAnsiTheme="minorEastAsia" w:cs="Times New Roman"/>
                <w:bCs/>
                <w:iCs/>
                <w:color w:val="000000"/>
                <w:sz w:val="24"/>
              </w:rPr>
              <w:t>2020年5月11日</w:t>
            </w:r>
          </w:p>
        </w:tc>
      </w:tr>
    </w:tbl>
    <w:p w:rsidR="004358AB" w:rsidRDefault="004358AB" w:rsidP="00014924">
      <w:pPr>
        <w:spacing w:line="500" w:lineRule="exact"/>
        <w:ind w:firstLineChars="200" w:firstLine="440"/>
      </w:pPr>
    </w:p>
    <w:sectPr w:rsidR="004358AB" w:rsidSect="0003660E">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AB" w:rsidRDefault="00AD3CAB" w:rsidP="00CC197E">
      <w:pPr>
        <w:spacing w:after="0"/>
      </w:pPr>
      <w:r>
        <w:separator/>
      </w:r>
    </w:p>
  </w:endnote>
  <w:endnote w:type="continuationSeparator" w:id="0">
    <w:p w:rsidR="00AD3CAB" w:rsidRDefault="00AD3CAB" w:rsidP="00CC19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AB" w:rsidRDefault="00AD3CAB" w:rsidP="00CC197E">
      <w:pPr>
        <w:spacing w:after="0"/>
      </w:pPr>
      <w:r>
        <w:separator/>
      </w:r>
    </w:p>
  </w:footnote>
  <w:footnote w:type="continuationSeparator" w:id="0">
    <w:p w:rsidR="00AD3CAB" w:rsidRDefault="00AD3CAB" w:rsidP="00CC19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241" w:rsidRDefault="00AD3CA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14924"/>
    <w:rsid w:val="0003660E"/>
    <w:rsid w:val="00082AE2"/>
    <w:rsid w:val="001C4A8F"/>
    <w:rsid w:val="00323B43"/>
    <w:rsid w:val="003D37D8"/>
    <w:rsid w:val="00426133"/>
    <w:rsid w:val="004358AB"/>
    <w:rsid w:val="007F4FD4"/>
    <w:rsid w:val="007F5922"/>
    <w:rsid w:val="008B7726"/>
    <w:rsid w:val="008C6D74"/>
    <w:rsid w:val="008F7542"/>
    <w:rsid w:val="00A92155"/>
    <w:rsid w:val="00AD3CAB"/>
    <w:rsid w:val="00BF5EE5"/>
    <w:rsid w:val="00C73604"/>
    <w:rsid w:val="00CC197E"/>
    <w:rsid w:val="00CF6856"/>
    <w:rsid w:val="00D31D50"/>
    <w:rsid w:val="00DF7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19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197E"/>
    <w:rPr>
      <w:rFonts w:ascii="Tahoma" w:hAnsi="Tahoma"/>
      <w:sz w:val="18"/>
      <w:szCs w:val="18"/>
    </w:rPr>
  </w:style>
  <w:style w:type="paragraph" w:styleId="a4">
    <w:name w:val="footer"/>
    <w:basedOn w:val="a"/>
    <w:link w:val="Char0"/>
    <w:uiPriority w:val="99"/>
    <w:semiHidden/>
    <w:unhideWhenUsed/>
    <w:rsid w:val="00CC197E"/>
    <w:pPr>
      <w:tabs>
        <w:tab w:val="center" w:pos="4153"/>
        <w:tab w:val="right" w:pos="8306"/>
      </w:tabs>
    </w:pPr>
    <w:rPr>
      <w:sz w:val="18"/>
      <w:szCs w:val="18"/>
    </w:rPr>
  </w:style>
  <w:style w:type="character" w:customStyle="1" w:styleId="Char0">
    <w:name w:val="页脚 Char"/>
    <w:basedOn w:val="a0"/>
    <w:link w:val="a4"/>
    <w:uiPriority w:val="99"/>
    <w:semiHidden/>
    <w:rsid w:val="00CC197E"/>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dcterms:created xsi:type="dcterms:W3CDTF">2008-09-11T17:20:00Z</dcterms:created>
  <dcterms:modified xsi:type="dcterms:W3CDTF">2020-05-12T11:56:00Z</dcterms:modified>
</cp:coreProperties>
</file>