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9C" w:rsidRDefault="00F649A8">
      <w:pPr>
        <w:spacing w:line="360" w:lineRule="auto"/>
        <w:jc w:val="center"/>
        <w:rPr>
          <w:b/>
          <w:bCs/>
          <w:sz w:val="32"/>
        </w:rPr>
      </w:pPr>
      <w:r>
        <w:rPr>
          <w:rFonts w:eastAsia="宋体" w:hint="eastAsia"/>
          <w:b/>
          <w:bCs/>
          <w:sz w:val="32"/>
        </w:rPr>
        <w:t>一</w:t>
      </w:r>
      <w:r>
        <w:rPr>
          <w:rFonts w:hint="eastAsia"/>
          <w:b/>
          <w:bCs/>
          <w:sz w:val="32"/>
        </w:rPr>
        <w:t>心堂药业集团股份有限公司</w:t>
      </w:r>
    </w:p>
    <w:p w:rsidR="00AF6B9C" w:rsidRDefault="00F649A8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投资者调研会议记录</w:t>
      </w:r>
    </w:p>
    <w:p w:rsidR="00AF6B9C" w:rsidRDefault="00AF6B9C">
      <w:pPr>
        <w:spacing w:line="360" w:lineRule="auto"/>
        <w:jc w:val="center"/>
        <w:rPr>
          <w:b/>
          <w:bCs/>
          <w:sz w:val="32"/>
        </w:rPr>
      </w:pPr>
    </w:p>
    <w:p w:rsidR="00AF6B9C" w:rsidRDefault="00F649A8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05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9:30-10:30</w:t>
      </w:r>
    </w:p>
    <w:p w:rsidR="00AF6B9C" w:rsidRDefault="00F649A8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</w:rPr>
        <w:t>一心堂药业集团股份有限公司总部</w:t>
      </w:r>
      <w:r>
        <w:rPr>
          <w:rFonts w:ascii="宋体" w:hAnsi="宋体" w:hint="eastAsia"/>
          <w:sz w:val="28"/>
          <w:szCs w:val="28"/>
        </w:rPr>
        <w:t xml:space="preserve">      </w:t>
      </w:r>
    </w:p>
    <w:p w:rsidR="00AF6B9C" w:rsidRDefault="00F649A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召开方式：</w:t>
      </w:r>
      <w:r>
        <w:rPr>
          <w:rFonts w:ascii="宋体" w:hAnsi="宋体" w:hint="eastAsia"/>
          <w:sz w:val="28"/>
          <w:szCs w:val="28"/>
        </w:rPr>
        <w:t>公司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季报业务交流会</w:t>
      </w:r>
    </w:p>
    <w:p w:rsidR="00AF6B9C" w:rsidRDefault="00F649A8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投资者：</w:t>
      </w:r>
      <w:r>
        <w:rPr>
          <w:rFonts w:ascii="宋体" w:hAnsi="宋体" w:hint="eastAsia"/>
          <w:bCs/>
          <w:sz w:val="28"/>
          <w:szCs w:val="28"/>
        </w:rPr>
        <w:t>广发证券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杨正、中泰</w:t>
      </w:r>
      <w:proofErr w:type="gramStart"/>
      <w:r>
        <w:rPr>
          <w:rFonts w:ascii="宋体" w:hAnsi="宋体" w:hint="eastAsia"/>
          <w:bCs/>
          <w:sz w:val="28"/>
          <w:szCs w:val="28"/>
        </w:rPr>
        <w:t>证券资管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张君、</w:t>
      </w:r>
      <w:proofErr w:type="gramStart"/>
      <w:r>
        <w:rPr>
          <w:rFonts w:ascii="宋体" w:hAnsi="宋体" w:hint="eastAsia"/>
          <w:bCs/>
          <w:sz w:val="28"/>
          <w:szCs w:val="28"/>
        </w:rPr>
        <w:t>枫池资产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邢哲、长盛基金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郭堃</w:t>
      </w:r>
      <w:proofErr w:type="gramEnd"/>
      <w:r>
        <w:rPr>
          <w:rFonts w:ascii="宋体" w:hAnsi="宋体" w:hint="eastAsia"/>
          <w:bCs/>
          <w:sz w:val="28"/>
          <w:szCs w:val="28"/>
        </w:rPr>
        <w:t>、平安基金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许汪洋、宽</w:t>
      </w:r>
      <w:proofErr w:type="gramStart"/>
      <w:r>
        <w:rPr>
          <w:rFonts w:ascii="宋体" w:hAnsi="宋体" w:hint="eastAsia"/>
          <w:bCs/>
          <w:sz w:val="28"/>
          <w:szCs w:val="28"/>
        </w:rPr>
        <w:t>远资产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李韵滢等投资者</w:t>
      </w:r>
      <w:r>
        <w:rPr>
          <w:rFonts w:ascii="宋体" w:hAnsi="宋体" w:hint="eastAsia"/>
          <w:bCs/>
          <w:sz w:val="28"/>
          <w:szCs w:val="28"/>
        </w:rPr>
        <w:t>90</w:t>
      </w:r>
      <w:r>
        <w:rPr>
          <w:rFonts w:ascii="宋体" w:hAnsi="宋体" w:hint="eastAsia"/>
          <w:bCs/>
          <w:sz w:val="28"/>
          <w:szCs w:val="28"/>
        </w:rPr>
        <w:t>人</w:t>
      </w:r>
    </w:p>
    <w:p w:rsidR="00AF6B9C" w:rsidRDefault="00F649A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接待人：</w:t>
      </w:r>
      <w:r>
        <w:rPr>
          <w:rFonts w:ascii="宋体" w:hAnsi="宋体" w:hint="eastAsia"/>
          <w:sz w:val="28"/>
          <w:szCs w:val="28"/>
        </w:rPr>
        <w:t>副总裁兼董事会秘书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李正红、证券总监兼证券事务代表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肖冬磊</w:t>
      </w:r>
    </w:p>
    <w:p w:rsidR="00AF6B9C" w:rsidRDefault="00AF6B9C" w:rsidP="00F649A8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AF6B9C" w:rsidRDefault="00F649A8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一、2020年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季报经营业绩阐述</w:t>
      </w:r>
    </w:p>
    <w:p w:rsidR="00AF6B9C" w:rsidRDefault="00F649A8" w:rsidP="00F0745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公司一季度实现营业收入30.87亿元（+19.3%），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归母净利润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2.05亿元（+16.81%），相比2019年三、四季度情况有改善。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扣非净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利润1.99亿元（+15.15%），总资产83.95亿元（相比去年末+5.43%）。净资产48</w:t>
      </w:r>
      <w:r w:rsidR="004704C0">
        <w:rPr>
          <w:rFonts w:ascii="宋体" w:eastAsia="宋体" w:hAnsi="宋体" w:cs="宋体" w:hint="eastAsia"/>
          <w:sz w:val="24"/>
          <w:szCs w:val="24"/>
        </w:rPr>
        <w:t>亿元</w:t>
      </w:r>
      <w:r>
        <w:rPr>
          <w:rFonts w:ascii="宋体" w:eastAsia="宋体" w:hAnsi="宋体" w:cs="宋体" w:hint="eastAsia"/>
          <w:sz w:val="24"/>
          <w:szCs w:val="24"/>
        </w:rPr>
        <w:t>（相比去年末+4.46）。一季度利润有所改善，着重优化了存货、应收账款。原来全年计划开店800家，疫情影响装修、验收开店，一季度新开门店200家，撤销24家门店，搬迁40家门店，净增长136家。一月份新开门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店速度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正常（去年11、12月份完成装修，一月份进行开业），2月上旬</w:t>
      </w:r>
      <w:r w:rsidR="00B249DE">
        <w:rPr>
          <w:rFonts w:ascii="宋体" w:eastAsia="宋体" w:hAnsi="宋体" w:cs="宋体" w:hint="eastAsia"/>
          <w:sz w:val="24"/>
          <w:szCs w:val="24"/>
        </w:rPr>
        <w:t>情况正常</w:t>
      </w:r>
      <w:r>
        <w:rPr>
          <w:rFonts w:ascii="宋体" w:eastAsia="宋体" w:hAnsi="宋体" w:cs="宋体" w:hint="eastAsia"/>
          <w:sz w:val="24"/>
          <w:szCs w:val="24"/>
        </w:rPr>
        <w:t>，按照计划完成，2月中下旬新开门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店速度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确实受到影响，主要有两个因素：一是装修和验收办证延迟，二是疫情新开门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店减少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开店活动。四月中旬至今开店速度恢复。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疫情产品，比如口罩、体温计、消毒液、抗病毒药品，疫情期间增长，对整个品类结构并没有造成太大的变化，因为这些产品覆盖了很多品类，器械、中西成药、中药饮片、维生素C保健品等，中西成药还是74.66%的占比，处方药销售正常，其他的医疗用品，保健食品略有下降</w:t>
      </w:r>
      <w:r w:rsidR="004704C0">
        <w:rPr>
          <w:rFonts w:ascii="宋体" w:eastAsia="宋体" w:hAnsi="宋体" w:cs="宋体" w:hint="eastAsia"/>
          <w:sz w:val="24"/>
          <w:szCs w:val="24"/>
        </w:rPr>
        <w:t>，占比</w:t>
      </w:r>
      <w:r>
        <w:rPr>
          <w:rFonts w:ascii="宋体" w:eastAsia="宋体" w:hAnsi="宋体" w:cs="宋体" w:hint="eastAsia"/>
          <w:sz w:val="24"/>
          <w:szCs w:val="24"/>
        </w:rPr>
        <w:t>5.7%，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医保销售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占比39.63%，会员销售占比81.77%，会员交易次数64.81%，会员的客单价比非会员高很多，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我们也会开发潜在会员。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互联网销售，今年重视大部分省份O2O业务，今年一季度O2O业务大概是去年前年的60%，意味着今年从二季度开始，O2O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销售比门店</w:t>
      </w:r>
      <w:proofErr w:type="gramEnd"/>
      <w:r w:rsidR="004704C0">
        <w:rPr>
          <w:rFonts w:ascii="宋体" w:eastAsia="宋体" w:hAnsi="宋体" w:cs="宋体" w:hint="eastAsia"/>
          <w:sz w:val="24"/>
          <w:szCs w:val="24"/>
        </w:rPr>
        <w:t>销售</w:t>
      </w:r>
      <w:r>
        <w:rPr>
          <w:rFonts w:ascii="宋体" w:eastAsia="宋体" w:hAnsi="宋体" w:cs="宋体" w:hint="eastAsia"/>
          <w:sz w:val="24"/>
          <w:szCs w:val="24"/>
        </w:rPr>
        <w:t>增速快，我们大部分门店</w:t>
      </w:r>
      <w:r w:rsidR="00B249DE">
        <w:rPr>
          <w:rFonts w:ascii="宋体" w:eastAsia="宋体" w:hAnsi="宋体" w:cs="宋体" w:hint="eastAsia"/>
          <w:sz w:val="24"/>
          <w:szCs w:val="24"/>
        </w:rPr>
        <w:t>是</w:t>
      </w:r>
      <w:r>
        <w:rPr>
          <w:rFonts w:ascii="宋体" w:eastAsia="宋体" w:hAnsi="宋体" w:cs="宋体" w:hint="eastAsia"/>
          <w:sz w:val="24"/>
          <w:szCs w:val="24"/>
        </w:rPr>
        <w:t>社区店，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店型较小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，人流覆盖有限，引流难度较大，O2O业务推广也会带来一定流量，目前O2O平台还是美团、饿了么、京东到家，一心堂平台，多平台接到一个端口去做。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二季度，各项营销活动逐渐恢复，五一节等节日营销活动现在恢复，今年带量采购，品种也在发生变化，紧跟政策，积极争取处方药销售机会，争取接入地方特殊病种、慢性病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保的机会，统筹账户支付比传统个人账户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未来量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会更大，销售机会更大，客单价、客户粘性。我们会</w:t>
      </w:r>
      <w:r w:rsidR="004704C0"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各地积极争取，参与带量采购的品种、跟当地医疗机构合作，争取取得刷统筹支付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保账户的资质。去年末，477家门店开通统筹账户支付，未来会争取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更多门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店。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二、问答环节</w:t>
      </w: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问题一、公司重点10个省份的情况，云南等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地市占率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和发展预期？？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答：公司经过探索逐渐确定自身发展定位，我们倾向于短期提高单个市场集中度，利于品牌影响力、资源整合能力更强，客户关系维护。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司药店覆盖10个省，云南的收入和利润占比更大，其他9省选出第一梯队、第二梯队企业做一些不同的分工，考虑阶段性发展的特色。现在的战略是局部的区域先做起来，逐步向周围扩张，同时要求它在收入和利润增速上有相应的优化。早期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市占率低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的区域我们考核收入的增速，后期同时考核收入和利润增速。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川渝：公司17年大规划进入四川市场，人口1.2亿，</w:t>
      </w:r>
      <w:r w:rsidR="00B249DE">
        <w:rPr>
          <w:rFonts w:ascii="宋体" w:eastAsia="宋体" w:hAnsi="宋体" w:cs="宋体" w:hint="eastAsia"/>
          <w:sz w:val="24"/>
          <w:szCs w:val="24"/>
        </w:rPr>
        <w:t>药品零售</w:t>
      </w:r>
      <w:r>
        <w:rPr>
          <w:rFonts w:ascii="宋体" w:eastAsia="宋体" w:hAnsi="宋体" w:cs="宋体" w:hint="eastAsia"/>
          <w:sz w:val="24"/>
          <w:szCs w:val="24"/>
        </w:rPr>
        <w:t>销售额是云南的三倍</w:t>
      </w:r>
      <w:r w:rsidR="00F07459">
        <w:rPr>
          <w:rFonts w:ascii="宋体" w:eastAsia="宋体" w:hAnsi="宋体" w:cs="宋体" w:hint="eastAsia"/>
          <w:sz w:val="24"/>
          <w:szCs w:val="24"/>
        </w:rPr>
        <w:t>,第一阶段目标是以市场占有率、覆盖率、销售规模、客流这些指标为主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广西：</w:t>
      </w:r>
      <w:r w:rsidR="004704C0">
        <w:rPr>
          <w:rFonts w:ascii="宋体" w:eastAsia="宋体" w:hAnsi="宋体" w:cs="宋体" w:hint="eastAsia"/>
          <w:sz w:val="24"/>
          <w:szCs w:val="24"/>
        </w:rPr>
        <w:t>2006</w:t>
      </w:r>
      <w:r>
        <w:rPr>
          <w:rFonts w:ascii="宋体" w:eastAsia="宋体" w:hAnsi="宋体" w:cs="宋体" w:hint="eastAsia"/>
          <w:sz w:val="24"/>
          <w:szCs w:val="24"/>
        </w:rPr>
        <w:t>进入广西市场，一心堂、大参林、老百姓、桂中大药房都进入广西市场，区域重合性不是太严重，对这些市场的收入、利润要求更高一些。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海南：公司通过并购进入，在海南优势比较明显。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市占率第一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，领先第二名</w:t>
      </w:r>
      <w:r w:rsidR="004704C0">
        <w:rPr>
          <w:rFonts w:ascii="宋体" w:eastAsia="宋体" w:hAnsi="宋体" w:cs="宋体" w:hint="eastAsia"/>
          <w:sz w:val="24"/>
          <w:szCs w:val="24"/>
        </w:rPr>
        <w:t>较多</w:t>
      </w:r>
      <w:r>
        <w:rPr>
          <w:rFonts w:ascii="宋体" w:eastAsia="宋体" w:hAnsi="宋体" w:cs="宋体" w:hint="eastAsia"/>
          <w:sz w:val="24"/>
          <w:szCs w:val="24"/>
        </w:rPr>
        <w:t>，北区海口为主、南区三亚为主，海南盈利不错，海南未来发展参照云南的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模式，去年海南公司进行老店优化、布局调整、搬迁等，今年开店速度、利润、收入指标在公司内部的占比会提高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山西和贵州市场，类似重庆市场，</w:t>
      </w:r>
      <w:r w:rsidR="004704C0">
        <w:rPr>
          <w:rFonts w:ascii="宋体" w:eastAsia="宋体" w:hAnsi="宋体" w:cs="宋体" w:hint="eastAsia"/>
          <w:sz w:val="24"/>
          <w:szCs w:val="24"/>
        </w:rPr>
        <w:t>从</w:t>
      </w:r>
      <w:r>
        <w:rPr>
          <w:rFonts w:ascii="宋体" w:eastAsia="宋体" w:hAnsi="宋体" w:cs="宋体" w:hint="eastAsia"/>
          <w:sz w:val="24"/>
          <w:szCs w:val="24"/>
        </w:rPr>
        <w:t>局部市场开始做，然后逐步扩张。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山西：山西主要布局太原、晋中、吕梁等地，小范围品牌影响力其实已经形成，我们也会加力提高门店数量，同时向周边区域扩张</w:t>
      </w:r>
      <w:r w:rsidR="00DD0217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这一市场，对收入要求很高，利润要求明确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贵州：贵州市场和山西市场相似，我们有兴义、遵义、凯里，贵阳四个市场，战略也是局部区域做起来，品牌影响力做起来之后，再向周边逐步扩展，我们年初提出加盟店，一季度加盟店没有完成，二季度速度会快一些，还处于尝试阶段，在贵州没覆盖的业务会先尝试加盟业务，把品牌影响力打出来，后续进一步整合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这是除了云南以外，其他六个核心市场的情况。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河南16店、天津8店、上海10店，尝试性试验也会进行，但不会特别扩展。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问题二、股权激励对公司增长的提振作用？谈谈股权激励费用方面？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答：去年10月完成管理层换届，股权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激励让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员工更深入参与公司发展，享受公司发展红利。股权激励的目标，一心堂复合增长率在15%左右，</w:t>
      </w:r>
      <w:r w:rsidR="00DD0217">
        <w:rPr>
          <w:rFonts w:ascii="宋体" w:eastAsia="宋体" w:hAnsi="宋体" w:cs="宋体" w:hint="eastAsia"/>
          <w:sz w:val="24"/>
          <w:szCs w:val="24"/>
        </w:rPr>
        <w:t>未来3年</w:t>
      </w:r>
      <w:r>
        <w:rPr>
          <w:rFonts w:ascii="宋体" w:eastAsia="宋体" w:hAnsi="宋体" w:cs="宋体" w:hint="eastAsia"/>
          <w:sz w:val="24"/>
          <w:szCs w:val="24"/>
        </w:rPr>
        <w:t>不考虑股权激励费用增长，提了5个点。目标有压力，但是大家信心充足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股权激励费用。3月18号晚公布年报，授权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价价格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锁定在10.42元，公司费用按5月12日收盘价25.66元扣除授予价计算，在应付薪酬列支。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91个管理人员，授予512.2万股，昨天收盘价25.66元/股，25.66-10.42部分应付薪酬列支，这是阶段性费用。按照分摊的方式，36个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月分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摊，和业绩承诺有关。努力完成业绩承诺的目标，一季度环比有改善。</w:t>
      </w:r>
    </w:p>
    <w:p w:rsidR="00AF6B9C" w:rsidRDefault="00AF6B9C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问题三、一季度增值税、社保减半、员工补贴带来的利润增厚有多少？季度增值税、社保减半对二季度业绩增厚？？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答：一季度只涉及3月份，社保减免，疫情期间员工工作强度很大，没上班的员工也要发工资，疫情期间减免的费用不够发补贴给员工。税收影响利润贡献，疫情产品平进平出，只能贡献收入，没有贡献利润</w:t>
      </w:r>
      <w:r w:rsidR="00E22855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整体表现不会特别突出。</w:t>
      </w:r>
    </w:p>
    <w:p w:rsidR="00AF6B9C" w:rsidRDefault="00AF6B9C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问题四、集采第一批、第二批，销售的毛利率，集采的价格和医院一样吗？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答：带量</w:t>
      </w:r>
      <w:r w:rsidR="00DD0217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的产品还在谈，我们直接参与到带量采购中，最终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保的购买能力效率更高。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原来在药店</w:t>
      </w:r>
      <w:r w:rsidR="00DD0217">
        <w:rPr>
          <w:rFonts w:ascii="宋体" w:eastAsia="宋体" w:hAnsi="宋体" w:cs="宋体" w:hint="eastAsia"/>
          <w:sz w:val="24"/>
          <w:szCs w:val="24"/>
        </w:rPr>
        <w:t>销售</w:t>
      </w:r>
      <w:r>
        <w:rPr>
          <w:rFonts w:ascii="宋体" w:eastAsia="宋体" w:hAnsi="宋体" w:cs="宋体" w:hint="eastAsia"/>
          <w:sz w:val="24"/>
          <w:szCs w:val="24"/>
        </w:rPr>
        <w:t>医院处方药的品种销售量小，拿到的量少，不具有整体销售的优势，进价成本没有优势，拿到的品种负毛利，借着带量采购拿到更多医院品种，虽然药店有15%的加价空间，但是目前和医院同价，为了增加流量，增加销售机会。供应商角度，医院很多品种靶向用药，一类产品的保有量就1个SKU或者2个SKU，我们可能常规品种8700多个SKU，所有产品加起来25000多个SKU，一般门店销售SKU大概2500个水平，上下变动500个SKU，药店给顾客更多选择的空间，比医院在产品布局上更丰富。带量采购一年一谈，供应商在选择渠道时更重视零售渠道，如果供应没有通过公共渠道，单独谈也可以保证药品的销量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问题五、带量采购的毛利率是不是基本在10%？未来优化后毛利率大概在多少？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答：大概10-15%。国家推带量采购也给我们启示，未来我们可能会和上游包销一个量，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类似带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量采购。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AB2451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</w:t>
      </w:r>
      <w:r w:rsidR="00B249DE">
        <w:rPr>
          <w:rFonts w:ascii="宋体" w:eastAsia="宋体" w:hAnsi="宋体" w:cs="宋体" w:hint="eastAsia"/>
          <w:b/>
          <w:bCs/>
          <w:sz w:val="24"/>
          <w:szCs w:val="24"/>
        </w:rPr>
        <w:t>六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、药房人才建设有什么变化？门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店职业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药师数量是否提升</w:t>
      </w:r>
      <w:r w:rsidR="00F649A8">
        <w:rPr>
          <w:rFonts w:ascii="宋体" w:eastAsia="宋体" w:hAnsi="宋体" w:cs="宋体" w:hint="eastAsia"/>
          <w:b/>
          <w:bCs/>
          <w:sz w:val="24"/>
          <w:szCs w:val="24"/>
        </w:rPr>
        <w:t>？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职业药师的服务和数量都要提升，我们公司每年5000多人参加考试，每年通过率20%，这是自己考的，还有直接招聘的职业药师。职业药师在药店只是专业技能的一部分，其他还要有营养师等人才、慢病管理专员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</w:t>
      </w:r>
      <w:r w:rsidR="00B249DE">
        <w:rPr>
          <w:rFonts w:ascii="宋体" w:eastAsia="宋体" w:hAnsi="宋体" w:cs="宋体" w:hint="eastAsia"/>
          <w:b/>
          <w:bCs/>
          <w:sz w:val="24"/>
          <w:szCs w:val="24"/>
        </w:rPr>
        <w:t>七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、公司在O2O、互联网做了哪些努力？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保局3月初，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医保电子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凭证，时间规划，8月底实现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保的线上支付，12月底实现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保支付和线下药店的对接，这块会不会有更多统筹药店的放开和对接？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答：统筹药店比较难</w:t>
      </w:r>
      <w:r w:rsidR="00E22855">
        <w:rPr>
          <w:rFonts w:ascii="宋体" w:eastAsia="宋体" w:hAnsi="宋体" w:cs="宋体" w:hint="eastAsia"/>
          <w:sz w:val="24"/>
          <w:szCs w:val="24"/>
        </w:rPr>
        <w:t>申请</w:t>
      </w:r>
      <w:r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凭证大部分还是个人账户，我们涉及的一些区域申请统筹门店要求是传统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保3年，没有违规，统筹的药店数量一定会很少，一旦确定，周围药店进入统筹的机会就不大了。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支付凭证，一是物理卡支付电子化（通过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收集扫码支付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），二是互联网销售商品，这两个相对隔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离又相互联系。物理卡支付电子化，O2O的业务机会很多，现在O2O的业务还只能</w:t>
      </w:r>
      <w:r w:rsidR="00B249DE"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现金</w:t>
      </w:r>
      <w:r w:rsidR="00B249DE">
        <w:rPr>
          <w:rFonts w:ascii="宋体" w:eastAsia="宋体" w:hAnsi="宋体" w:cs="宋体" w:hint="eastAsia"/>
          <w:sz w:val="24"/>
          <w:szCs w:val="24"/>
        </w:rPr>
        <w:t>结算</w:t>
      </w:r>
      <w:r>
        <w:rPr>
          <w:rFonts w:ascii="宋体" w:eastAsia="宋体" w:hAnsi="宋体" w:cs="宋体" w:hint="eastAsia"/>
          <w:sz w:val="24"/>
          <w:szCs w:val="24"/>
        </w:rPr>
        <w:t>，从我们自身角度来讲，物理距离增加的人流有限，增加我们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固定门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店流量的入口，我们会很积极的推O2O业务，还</w:t>
      </w:r>
      <w:r w:rsidR="00C858C2">
        <w:rPr>
          <w:rFonts w:ascii="宋体" w:eastAsia="宋体" w:hAnsi="宋体" w:cs="宋体" w:hint="eastAsia"/>
          <w:sz w:val="24"/>
          <w:szCs w:val="24"/>
        </w:rPr>
        <w:t>有一些</w:t>
      </w:r>
      <w:r>
        <w:rPr>
          <w:rFonts w:ascii="宋体" w:eastAsia="宋体" w:hAnsi="宋体" w:cs="宋体" w:hint="eastAsia"/>
          <w:sz w:val="24"/>
          <w:szCs w:val="24"/>
        </w:rPr>
        <w:t>B2C。</w:t>
      </w:r>
    </w:p>
    <w:p w:rsidR="00AF6B9C" w:rsidRDefault="00F649A8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实体门店要做的最重要的事情是把我们过去</w:t>
      </w:r>
      <w:r w:rsidR="00C858C2">
        <w:rPr>
          <w:rFonts w:ascii="宋体" w:eastAsia="宋体" w:hAnsi="宋体" w:cs="宋体" w:hint="eastAsia"/>
          <w:sz w:val="24"/>
          <w:szCs w:val="24"/>
        </w:rPr>
        <w:t>主要是</w:t>
      </w:r>
      <w:r>
        <w:rPr>
          <w:rFonts w:ascii="宋体" w:eastAsia="宋体" w:hAnsi="宋体" w:cs="宋体" w:hint="eastAsia"/>
          <w:sz w:val="24"/>
          <w:szCs w:val="24"/>
        </w:rPr>
        <w:t>商品流转的职能转化为商品+服务，其实我们药店的服务职能是未来着重要做的事情，这和优化产品、适应消费者变化的重要程度是一样的。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</w:t>
      </w:r>
      <w:r w:rsidR="00B249DE">
        <w:rPr>
          <w:rFonts w:ascii="宋体" w:eastAsia="宋体" w:hAnsi="宋体" w:cs="宋体" w:hint="eastAsia"/>
          <w:b/>
          <w:bCs/>
          <w:sz w:val="24"/>
          <w:szCs w:val="24"/>
        </w:rPr>
        <w:t>八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、我看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山东微信的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电子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医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保凭证线上可以下单，周围漱玉平民都能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搜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得到，不知道这是第一步还是第二步，您大概了解这个业务流程吗？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答：平台和门店是互通的，我们开通了很多的平台，从更长期的角度来看，提升自身的服务能力来吸引流量是没有问题的，</w:t>
      </w:r>
      <w:r w:rsidR="00C858C2">
        <w:rPr>
          <w:rFonts w:ascii="宋体" w:eastAsia="宋体" w:hAnsi="宋体" w:cs="宋体" w:hint="eastAsia"/>
          <w:sz w:val="24"/>
          <w:szCs w:val="24"/>
        </w:rPr>
        <w:t>但</w:t>
      </w:r>
      <w:r>
        <w:rPr>
          <w:rFonts w:ascii="宋体" w:eastAsia="宋体" w:hAnsi="宋体" w:cs="宋体" w:hint="eastAsia"/>
          <w:sz w:val="24"/>
          <w:szCs w:val="24"/>
        </w:rPr>
        <w:t>不会因为一个政策限制形成护城河</w:t>
      </w:r>
      <w:r w:rsidR="00C858C2">
        <w:rPr>
          <w:rFonts w:ascii="宋体" w:eastAsia="宋体" w:hAnsi="宋体" w:cs="宋体" w:hint="eastAsia"/>
          <w:sz w:val="24"/>
          <w:szCs w:val="24"/>
        </w:rPr>
        <w:t>和壁垒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F649A8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问题</w:t>
      </w:r>
      <w:r w:rsidR="00B249DE">
        <w:rPr>
          <w:rFonts w:ascii="宋体" w:eastAsia="宋体" w:hAnsi="宋体" w:cs="宋体" w:hint="eastAsia"/>
          <w:b/>
          <w:bCs/>
          <w:sz w:val="24"/>
          <w:szCs w:val="24"/>
        </w:rPr>
        <w:t>九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、前几天，公司公告大股东减持，减持的原因和进度？未来还会有减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持需求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吗？</w:t>
      </w:r>
    </w:p>
    <w:p w:rsidR="00AF6B9C" w:rsidRDefault="00F649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答：二股东有很多质押，在上市公司只是任职董事没有其他职务，自己做了中医馆连锁，有股票质押借款，减持的目的是归还借款，</w:t>
      </w:r>
      <w:r w:rsidR="00292319">
        <w:rPr>
          <w:rFonts w:ascii="宋体" w:eastAsia="宋体" w:hAnsi="宋体" w:cs="宋体" w:hint="eastAsia"/>
          <w:sz w:val="24"/>
          <w:szCs w:val="24"/>
        </w:rPr>
        <w:t>应该</w:t>
      </w:r>
      <w:r>
        <w:rPr>
          <w:rFonts w:ascii="宋体" w:eastAsia="宋体" w:hAnsi="宋体" w:cs="宋体" w:hint="eastAsia"/>
          <w:sz w:val="24"/>
          <w:szCs w:val="24"/>
        </w:rPr>
        <w:t>会比较妥善处理减持问题。</w:t>
      </w:r>
    </w:p>
    <w:p w:rsidR="00AF6B9C" w:rsidRDefault="00AF6B9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AF6B9C" w:rsidRDefault="00AF6B9C">
      <w:pPr>
        <w:pStyle w:val="1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</w:p>
    <w:sectPr w:rsidR="00AF6B9C" w:rsidSect="00AF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BA4"/>
    <w:rsid w:val="0007740E"/>
    <w:rsid w:val="00094EC6"/>
    <w:rsid w:val="00097F5B"/>
    <w:rsid w:val="00193BF1"/>
    <w:rsid w:val="001C0312"/>
    <w:rsid w:val="00200D47"/>
    <w:rsid w:val="00280A90"/>
    <w:rsid w:val="00292319"/>
    <w:rsid w:val="002A0D78"/>
    <w:rsid w:val="002B1251"/>
    <w:rsid w:val="002B7885"/>
    <w:rsid w:val="002E1CC3"/>
    <w:rsid w:val="002E35F5"/>
    <w:rsid w:val="00324844"/>
    <w:rsid w:val="00327CE4"/>
    <w:rsid w:val="003A53EF"/>
    <w:rsid w:val="00452FC2"/>
    <w:rsid w:val="004704C0"/>
    <w:rsid w:val="00490F97"/>
    <w:rsid w:val="004D2D01"/>
    <w:rsid w:val="00544DD6"/>
    <w:rsid w:val="00565922"/>
    <w:rsid w:val="005A23DA"/>
    <w:rsid w:val="00602103"/>
    <w:rsid w:val="00615D6E"/>
    <w:rsid w:val="006356AA"/>
    <w:rsid w:val="00640797"/>
    <w:rsid w:val="006C02C3"/>
    <w:rsid w:val="00775960"/>
    <w:rsid w:val="007905B5"/>
    <w:rsid w:val="007951F9"/>
    <w:rsid w:val="007E0D89"/>
    <w:rsid w:val="0081155E"/>
    <w:rsid w:val="00823112"/>
    <w:rsid w:val="008242F0"/>
    <w:rsid w:val="00864216"/>
    <w:rsid w:val="008E3985"/>
    <w:rsid w:val="0091130E"/>
    <w:rsid w:val="0092480B"/>
    <w:rsid w:val="009413A9"/>
    <w:rsid w:val="00956604"/>
    <w:rsid w:val="00971424"/>
    <w:rsid w:val="009B2B3C"/>
    <w:rsid w:val="009C3AAE"/>
    <w:rsid w:val="009C7FB5"/>
    <w:rsid w:val="00A067B1"/>
    <w:rsid w:val="00A308A7"/>
    <w:rsid w:val="00A32B80"/>
    <w:rsid w:val="00A470DB"/>
    <w:rsid w:val="00AB2451"/>
    <w:rsid w:val="00AD5868"/>
    <w:rsid w:val="00AF6B9C"/>
    <w:rsid w:val="00B249DE"/>
    <w:rsid w:val="00B260F9"/>
    <w:rsid w:val="00B912DD"/>
    <w:rsid w:val="00BC3BD2"/>
    <w:rsid w:val="00BC589B"/>
    <w:rsid w:val="00C31B43"/>
    <w:rsid w:val="00C44A9A"/>
    <w:rsid w:val="00C858C2"/>
    <w:rsid w:val="00D3650A"/>
    <w:rsid w:val="00D53AEB"/>
    <w:rsid w:val="00DC5A78"/>
    <w:rsid w:val="00DC5FD6"/>
    <w:rsid w:val="00DD0217"/>
    <w:rsid w:val="00DE01C4"/>
    <w:rsid w:val="00DE5DA8"/>
    <w:rsid w:val="00DF44F9"/>
    <w:rsid w:val="00E07952"/>
    <w:rsid w:val="00E22855"/>
    <w:rsid w:val="00E46507"/>
    <w:rsid w:val="00ED422D"/>
    <w:rsid w:val="00EF4470"/>
    <w:rsid w:val="00EF702E"/>
    <w:rsid w:val="00F050AF"/>
    <w:rsid w:val="00F06F73"/>
    <w:rsid w:val="00F07459"/>
    <w:rsid w:val="00F34719"/>
    <w:rsid w:val="00F37F03"/>
    <w:rsid w:val="00F649A8"/>
    <w:rsid w:val="00FA1D18"/>
    <w:rsid w:val="00FC24E7"/>
    <w:rsid w:val="00FD19E3"/>
    <w:rsid w:val="00FD3D5A"/>
    <w:rsid w:val="00FE4BA4"/>
    <w:rsid w:val="19385E1C"/>
    <w:rsid w:val="1A782482"/>
    <w:rsid w:val="2C21538B"/>
    <w:rsid w:val="35C071E2"/>
    <w:rsid w:val="425D58C1"/>
    <w:rsid w:val="4F251DDE"/>
    <w:rsid w:val="504F3ED3"/>
    <w:rsid w:val="674A6A28"/>
    <w:rsid w:val="706E6DE8"/>
    <w:rsid w:val="76D537CF"/>
    <w:rsid w:val="7A2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F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F6B9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02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02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541</Words>
  <Characters>3088</Characters>
  <Application>Microsoft Office Word</Application>
  <DocSecurity>0</DocSecurity>
  <Lines>25</Lines>
  <Paragraphs>7</Paragraphs>
  <ScaleCrop>false</ScaleCrop>
  <Company>Lenovo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Yuetong</dc:creator>
  <cp:lastModifiedBy>李正红</cp:lastModifiedBy>
  <cp:revision>122</cp:revision>
  <dcterms:created xsi:type="dcterms:W3CDTF">2020-04-29T01:55:00Z</dcterms:created>
  <dcterms:modified xsi:type="dcterms:W3CDTF">2020-05-13T11:03:00Z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