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ZWMD6BU7RYQ069GQARNDLJB7N80OXPREO06NJEDXGORTQWTN0BRYC0CFYYHPC6RBFMXOOLJZI678IEJQJFTDFFX8RMMWICB8SODRHB3B57C630A2463E76CA9C3C149CF3A9477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AWFI6BT79VQ06TG9ZR8QLJF7NM0OAGREN0XHJEEXGPRTFLT6MBJKCJWFS6HPB6RBNM6OOL5ZHKD8LNJQXFAQFF689Q0WHCB8OODRHB3A4EE67D1AE83ED08C83E41911DE21678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A3E99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DA3E99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5858D6">
        <w:rPr>
          <w:rFonts w:eastAsia="仿宋"/>
          <w:bCs/>
          <w:iCs/>
          <w:sz w:val="24"/>
          <w:szCs w:val="24"/>
        </w:rPr>
        <w:t>2020</w:t>
      </w:r>
      <w:r>
        <w:rPr>
          <w:rFonts w:eastAsia="仿宋"/>
          <w:bCs/>
          <w:iCs/>
          <w:sz w:val="24"/>
          <w:szCs w:val="24"/>
        </w:rPr>
        <w:t>-</w:t>
      </w:r>
      <w:r w:rsidRPr="005858D6">
        <w:rPr>
          <w:rFonts w:eastAsia="仿宋"/>
          <w:bCs/>
          <w:iCs/>
          <w:sz w:val="24"/>
          <w:szCs w:val="24"/>
        </w:rPr>
        <w:t>00</w:t>
      </w:r>
      <w:r w:rsidR="00A048EF">
        <w:rPr>
          <w:rFonts w:eastAsia="仿宋" w:hint="eastAsia"/>
          <w:bCs/>
          <w:iCs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>
        <w:tc>
          <w:tcPr>
            <w:tcW w:w="1908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A3E99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A3E99" w:rsidRDefault="00FB76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="00465068" w:rsidRPr="00FB7659">
              <w:rPr>
                <w:rFonts w:ascii="宋体" w:hAnsi="宋体" w:hint="eastAsia"/>
                <w:sz w:val="24"/>
                <w:szCs w:val="24"/>
                <w:u w:val="single"/>
              </w:rPr>
              <w:t>（</w:t>
            </w:r>
            <w:r w:rsidR="006B746E">
              <w:rPr>
                <w:rFonts w:ascii="宋体" w:hAnsi="宋体" w:hint="eastAsia"/>
                <w:sz w:val="24"/>
                <w:szCs w:val="24"/>
                <w:u w:val="single"/>
              </w:rPr>
              <w:t>投资者</w:t>
            </w:r>
            <w:r w:rsidRPr="00FB7659">
              <w:rPr>
                <w:rFonts w:ascii="宋体" w:hAnsi="宋体" w:hint="eastAsia"/>
                <w:sz w:val="24"/>
                <w:szCs w:val="24"/>
                <w:u w:val="single"/>
              </w:rPr>
              <w:t>电话</w:t>
            </w:r>
            <w:r w:rsidR="006B746E">
              <w:rPr>
                <w:rFonts w:ascii="宋体" w:hAnsi="宋体" w:hint="eastAsia"/>
                <w:sz w:val="24"/>
                <w:szCs w:val="24"/>
                <w:u w:val="single"/>
              </w:rPr>
              <w:t>交流</w:t>
            </w:r>
            <w:r w:rsidRPr="00FB7659">
              <w:rPr>
                <w:rFonts w:ascii="宋体" w:hAnsi="宋体" w:hint="eastAsia"/>
                <w:sz w:val="24"/>
                <w:szCs w:val="24"/>
                <w:u w:val="single"/>
              </w:rPr>
              <w:t>会议</w:t>
            </w:r>
            <w:r w:rsidR="00465068" w:rsidRPr="00FB7659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洁</w:t>
            </w:r>
          </w:p>
          <w:p w:rsid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招商基金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  <w:t>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蔡宗延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朱贝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贝</w:t>
            </w:r>
            <w:proofErr w:type="gramEnd"/>
            <w:r w:rsidR="00D332D9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华安基金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刘畅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畅</w:t>
            </w:r>
            <w:proofErr w:type="gramEnd"/>
            <w:r w:rsidR="00D332D9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贺东伟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兴业全球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东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证资管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汤旭人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太平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徐纯波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宝基金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黄超杰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浦银安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李浩炫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汤明真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光大保德信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陆达之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、易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方达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何崇恺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中金公司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张梓丁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贾乃鑫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望正投资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韦明亮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兆天投资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胡孟汉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中金公司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石婷婷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弘毅远方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樊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任慕华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长城基金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何以广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朱雀基金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翟羽佳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国元自营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雷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寿资产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刘洪刚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汐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泰投资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上投摩根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桢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爱建证券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章孝林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申万菱信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昊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国君资管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王步青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名禹资产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王友红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方正证券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张小郭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信建投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崔兴凯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中信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建投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傅翼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信建投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王昊天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琪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高毅资产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孙庆瑞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银河基金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神玉飞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赵玥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炜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袁晓昀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天弘基金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林佳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乘源投资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马丽娜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汐</w:t>
            </w:r>
            <w:proofErr w:type="gramEnd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泰投资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范桂锋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赵鹏飞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盛世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景资产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英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华泰资管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财信证券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陈书剑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孙柏阳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中信资管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孙曙光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中信资管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洁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承周资产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漆启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焱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蔡宗延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嘉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延健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磊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太平资产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徐纯波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袁晓昀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犀牛投资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杜朝水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华西证券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李思扬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王玮嘉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信建投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邢少雄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姚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想</w:t>
            </w:r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天风证券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崔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招商证券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广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发资管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怡</w:t>
            </w:r>
            <w:proofErr w:type="gramEnd"/>
          </w:p>
          <w:p w:rsidR="00E0297F" w:rsidRP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赵志铭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任慕华</w:t>
            </w:r>
            <w:proofErr w:type="gramEnd"/>
          </w:p>
          <w:p w:rsidR="00E0297F" w:rsidRDefault="00E0297F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孙伯阳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方正证券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张小郭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东北证券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E0297F">
              <w:rPr>
                <w:rFonts w:ascii="宋体" w:hAnsi="宋体" w:hint="eastAsia"/>
                <w:bCs/>
                <w:iCs/>
                <w:sz w:val="24"/>
                <w:szCs w:val="24"/>
              </w:rPr>
              <w:t>邰桂龙</w:t>
            </w:r>
          </w:p>
          <w:p w:rsidR="005D4D85" w:rsidRDefault="005B5FA7" w:rsidP="00E0297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210485">
              <w:rPr>
                <w:rFonts w:hint="eastAsia"/>
                <w:bCs/>
                <w:iCs/>
                <w:sz w:val="24"/>
                <w:szCs w:val="24"/>
              </w:rPr>
              <w:t>98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位投资者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FB0EF5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77575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5858D6"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B5FA7" w:rsidRDefault="005B5FA7" w:rsidP="00905EFF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副总经理、董事会秘书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欧楚勤</w:t>
            </w:r>
          </w:p>
          <w:p w:rsidR="005B5FA7" w:rsidRDefault="00A048EF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财务中心总监</w:t>
            </w:r>
            <w:r w:rsidR="005B5FA7">
              <w:rPr>
                <w:bCs/>
                <w:iCs/>
                <w:sz w:val="24"/>
                <w:szCs w:val="24"/>
              </w:rPr>
              <w:t xml:space="preserve"> </w:t>
            </w:r>
            <w:r w:rsidR="00D332D9">
              <w:rPr>
                <w:rFonts w:hint="eastAsia"/>
                <w:bCs/>
                <w:iCs/>
                <w:sz w:val="24"/>
                <w:szCs w:val="24"/>
              </w:rPr>
              <w:t>邹小科</w:t>
            </w:r>
          </w:p>
          <w:p w:rsidR="005D4D85" w:rsidRPr="00FB7659" w:rsidRDefault="005B5FA7" w:rsidP="005B5FA7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主管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</w:t>
            </w:r>
            <w:r w:rsidR="000510AA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源</w:t>
            </w:r>
          </w:p>
        </w:tc>
      </w:tr>
      <w:tr w:rsidR="005D4D85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D332D9" w:rsidRDefault="00BF48E1" w:rsidP="00D332D9">
            <w:pPr>
              <w:pStyle w:val="aa"/>
              <w:numPr>
                <w:ilvl w:val="0"/>
                <w:numId w:val="4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一季度业绩</w:t>
            </w:r>
            <w:r w:rsidR="00D332D9" w:rsidRPr="00D332D9">
              <w:rPr>
                <w:b/>
                <w:bCs/>
                <w:iCs/>
                <w:sz w:val="24"/>
                <w:szCs w:val="24"/>
              </w:rPr>
              <w:t>情况介绍</w:t>
            </w:r>
          </w:p>
          <w:p w:rsidR="00BF48E1" w:rsidRDefault="00BF48E1" w:rsidP="000D28C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905EFF">
              <w:rPr>
                <w:bCs/>
                <w:iCs/>
                <w:sz w:val="24"/>
                <w:szCs w:val="24"/>
              </w:rPr>
              <w:t>公司</w:t>
            </w:r>
            <w:r w:rsidRPr="00905EFF">
              <w:rPr>
                <w:bCs/>
                <w:iCs/>
                <w:sz w:val="24"/>
                <w:szCs w:val="24"/>
              </w:rPr>
              <w:t>2020</w:t>
            </w:r>
            <w:r w:rsidRPr="00905EFF">
              <w:rPr>
                <w:bCs/>
                <w:iCs/>
                <w:sz w:val="24"/>
                <w:szCs w:val="24"/>
              </w:rPr>
              <w:t>年第一季度主要经营</w:t>
            </w:r>
            <w:r>
              <w:rPr>
                <w:rFonts w:hint="eastAsia"/>
                <w:bCs/>
                <w:iCs/>
                <w:sz w:val="24"/>
                <w:szCs w:val="24"/>
              </w:rPr>
              <w:t>数据</w:t>
            </w:r>
            <w:r w:rsidRPr="00905EFF">
              <w:rPr>
                <w:bCs/>
                <w:iCs/>
                <w:sz w:val="24"/>
                <w:szCs w:val="24"/>
              </w:rPr>
              <w:t>说明。（参见公司</w:t>
            </w: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年第一季度</w:t>
            </w:r>
            <w:r w:rsidRPr="00905EFF">
              <w:rPr>
                <w:bCs/>
                <w:iCs/>
                <w:sz w:val="24"/>
                <w:szCs w:val="24"/>
              </w:rPr>
              <w:t>报告）</w:t>
            </w:r>
          </w:p>
          <w:p w:rsidR="000D28C7" w:rsidRDefault="000D28C7" w:rsidP="000D28C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6E1682" w:rsidRDefault="00BF48E1" w:rsidP="006E168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905EFF">
              <w:rPr>
                <w:b/>
                <w:bCs/>
                <w:iCs/>
                <w:sz w:val="24"/>
                <w:szCs w:val="24"/>
              </w:rPr>
              <w:t>二、问答环节</w:t>
            </w:r>
          </w:p>
          <w:p w:rsidR="00BF48E1" w:rsidRPr="00F45AA1" w:rsidRDefault="00BF48E1" w:rsidP="006E1682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b/>
                <w:bCs/>
                <w:iCs/>
                <w:sz w:val="24"/>
                <w:szCs w:val="24"/>
              </w:rPr>
              <w:t>1</w:t>
            </w:r>
            <w:r w:rsidRPr="00F45AA1">
              <w:rPr>
                <w:b/>
                <w:bCs/>
                <w:iCs/>
                <w:sz w:val="24"/>
                <w:szCs w:val="24"/>
              </w:rPr>
              <w:t>、</w:t>
            </w:r>
            <w:r w:rsidR="00D07FC1">
              <w:rPr>
                <w:rFonts w:hint="eastAsia"/>
                <w:b/>
                <w:bCs/>
                <w:iCs/>
                <w:sz w:val="24"/>
                <w:szCs w:val="24"/>
              </w:rPr>
              <w:t>公司如何看待食品检测、环保</w:t>
            </w:r>
            <w:r w:rsidR="006E1682" w:rsidRPr="00F45AA1">
              <w:rPr>
                <w:rFonts w:hint="eastAsia"/>
                <w:b/>
                <w:bCs/>
                <w:iCs/>
                <w:sz w:val="24"/>
                <w:szCs w:val="24"/>
              </w:rPr>
              <w:t>检测、化学分析领域的市场竞争情况？公司在这几个领域的竞争力如何体现？</w:t>
            </w:r>
          </w:p>
          <w:p w:rsidR="00B2227D" w:rsidRPr="00F45AA1" w:rsidRDefault="00BF48E1" w:rsidP="00BF48E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bCs/>
                <w:iCs/>
                <w:sz w:val="24"/>
                <w:szCs w:val="24"/>
              </w:rPr>
              <w:t>答：</w:t>
            </w:r>
            <w:r w:rsidR="00502386" w:rsidRPr="00F45AA1">
              <w:rPr>
                <w:rFonts w:hint="eastAsia"/>
                <w:bCs/>
                <w:iCs/>
                <w:sz w:val="24"/>
                <w:szCs w:val="24"/>
              </w:rPr>
              <w:t>这三个检测领域的从业机构较多，</w:t>
            </w:r>
            <w:r w:rsidR="003D63D0">
              <w:rPr>
                <w:rFonts w:hint="eastAsia"/>
                <w:bCs/>
                <w:iCs/>
                <w:sz w:val="24"/>
                <w:szCs w:val="24"/>
              </w:rPr>
              <w:t>涉及</w:t>
            </w:r>
            <w:r w:rsidR="00502386" w:rsidRPr="00F45AA1">
              <w:rPr>
                <w:rFonts w:hint="eastAsia"/>
                <w:bCs/>
                <w:iCs/>
                <w:sz w:val="24"/>
                <w:szCs w:val="24"/>
              </w:rPr>
              <w:t>外资</w:t>
            </w:r>
            <w:r w:rsidR="003D63D0">
              <w:rPr>
                <w:rFonts w:hint="eastAsia"/>
                <w:bCs/>
                <w:iCs/>
                <w:sz w:val="24"/>
                <w:szCs w:val="24"/>
              </w:rPr>
              <w:t>机构</w:t>
            </w:r>
            <w:r w:rsidR="00502386" w:rsidRPr="00F45AA1">
              <w:rPr>
                <w:rFonts w:hint="eastAsia"/>
                <w:bCs/>
                <w:iCs/>
                <w:sz w:val="24"/>
                <w:szCs w:val="24"/>
              </w:rPr>
              <w:t>、民营机构</w:t>
            </w:r>
            <w:r w:rsidR="003D63D0">
              <w:rPr>
                <w:rFonts w:hint="eastAsia"/>
                <w:bCs/>
                <w:iCs/>
                <w:sz w:val="24"/>
                <w:szCs w:val="24"/>
              </w:rPr>
              <w:t>和事业单位</w:t>
            </w:r>
            <w:r w:rsidR="00502386" w:rsidRPr="00F45AA1">
              <w:rPr>
                <w:rFonts w:hint="eastAsia"/>
                <w:bCs/>
                <w:iCs/>
                <w:sz w:val="24"/>
                <w:szCs w:val="24"/>
              </w:rPr>
              <w:t>等，价格竞争较为</w:t>
            </w:r>
            <w:r w:rsidR="0072511D">
              <w:rPr>
                <w:rFonts w:hint="eastAsia"/>
                <w:bCs/>
                <w:iCs/>
                <w:sz w:val="24"/>
                <w:szCs w:val="24"/>
              </w:rPr>
              <w:t>激烈</w:t>
            </w:r>
            <w:r w:rsidR="00502386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BF48E1" w:rsidRPr="00F45AA1" w:rsidRDefault="00F45AA1" w:rsidP="00C8197A">
            <w:pPr>
              <w:spacing w:line="480" w:lineRule="atLeas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不同的检测机构在能力的建设上各有偏重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t>公司主要从差异化角度打造竞争力。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从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2013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开始</w:t>
            </w:r>
            <w:r>
              <w:rPr>
                <w:rFonts w:hint="eastAsia"/>
                <w:bCs/>
                <w:iCs/>
                <w:sz w:val="24"/>
                <w:szCs w:val="24"/>
              </w:rPr>
              <w:t>布局食品和环保检测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主要偏重政府委托采购业务，</w:t>
            </w:r>
            <w:r>
              <w:rPr>
                <w:rFonts w:hint="eastAsia"/>
                <w:bCs/>
                <w:iCs/>
                <w:sz w:val="24"/>
                <w:szCs w:val="24"/>
              </w:rPr>
              <w:t>是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公司较新的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8F6F05" w:rsidRPr="00F45AA1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72511D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目前公司在这两个</w:t>
            </w:r>
            <w:r w:rsidR="008F6F05" w:rsidRP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板块上的发展符合预期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年这两个</w:t>
            </w:r>
            <w:r w:rsidR="003B30CD" w:rsidRP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板块的收入规模都突破了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一</w:t>
            </w:r>
            <w:r w:rsidR="0043555F" w:rsidRPr="00F45AA1">
              <w:rPr>
                <w:rFonts w:hint="eastAsia"/>
                <w:bCs/>
                <w:iCs/>
                <w:sz w:val="24"/>
                <w:szCs w:val="24"/>
              </w:rPr>
              <w:t>亿</w:t>
            </w:r>
            <w:r w:rsidR="00B2227D"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分别为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1.2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1.4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="008F6F05">
              <w:rPr>
                <w:rFonts w:hint="eastAsia"/>
                <w:bCs/>
                <w:iCs/>
                <w:sz w:val="24"/>
                <w:szCs w:val="24"/>
              </w:rPr>
              <w:t>亿，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形成了一定的</w:t>
            </w:r>
            <w:r w:rsidR="00B2227D" w:rsidRPr="00F45AA1">
              <w:rPr>
                <w:rFonts w:hint="eastAsia"/>
                <w:bCs/>
                <w:iCs/>
                <w:sz w:val="24"/>
                <w:szCs w:val="24"/>
              </w:rPr>
              <w:t>规模效应。</w:t>
            </w:r>
            <w:r w:rsidR="008415BF" w:rsidRPr="00F45AA1">
              <w:rPr>
                <w:rFonts w:hint="eastAsia"/>
                <w:bCs/>
                <w:iCs/>
                <w:sz w:val="24"/>
                <w:szCs w:val="24"/>
              </w:rPr>
              <w:t>公司进入化学分析领域时间相对较早，</w:t>
            </w:r>
            <w:r w:rsidR="00B2227D" w:rsidRPr="00F45AA1">
              <w:rPr>
                <w:rFonts w:hint="eastAsia"/>
                <w:bCs/>
                <w:iCs/>
                <w:sz w:val="24"/>
                <w:szCs w:val="24"/>
              </w:rPr>
              <w:t>化学分析领域</w:t>
            </w:r>
            <w:r w:rsidR="008415BF"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t>下游客户行业分布很广</w:t>
            </w:r>
            <w:r w:rsidR="008415BF" w:rsidRPr="00F45AA1">
              <w:rPr>
                <w:bCs/>
                <w:iCs/>
                <w:sz w:val="24"/>
                <w:szCs w:val="24"/>
              </w:rPr>
              <w:t>，</w:t>
            </w:r>
            <w:r w:rsidR="008415BF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t>聚焦于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lastRenderedPageBreak/>
              <w:t>汽车、轨道交通、船舶、家电等跟公司其他业务板块具有协同效应的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t>领域，而在竞争比较激烈的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其他</w:t>
            </w:r>
            <w:r w:rsidR="00C8197A" w:rsidRPr="00F45AA1">
              <w:rPr>
                <w:rFonts w:hint="eastAsia"/>
                <w:bCs/>
                <w:iCs/>
                <w:sz w:val="24"/>
                <w:szCs w:val="24"/>
              </w:rPr>
              <w:t>下游行业领域涉及相对较少。</w:t>
            </w:r>
          </w:p>
          <w:p w:rsidR="00A048EF" w:rsidRPr="00F45AA1" w:rsidRDefault="008415BF" w:rsidP="008415BF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b/>
                <w:bCs/>
                <w:iCs/>
                <w:sz w:val="24"/>
                <w:szCs w:val="24"/>
              </w:rPr>
              <w:t>2</w:t>
            </w:r>
            <w:r w:rsidRPr="00F45AA1">
              <w:rPr>
                <w:b/>
                <w:bCs/>
                <w:iCs/>
                <w:sz w:val="24"/>
                <w:szCs w:val="24"/>
              </w:rPr>
              <w:t>、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公司对汽车检测业务</w:t>
            </w:r>
            <w:r w:rsidR="00F45AA1">
              <w:rPr>
                <w:rFonts w:hint="eastAsia"/>
                <w:b/>
                <w:bCs/>
                <w:iCs/>
                <w:sz w:val="24"/>
                <w:szCs w:val="24"/>
              </w:rPr>
              <w:t>前景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的看法</w:t>
            </w:r>
            <w:r w:rsidR="00A048E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A048EF" w:rsidRPr="00F45AA1" w:rsidRDefault="00A048EF" w:rsidP="008415B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8415BF" w:rsidRPr="00F45AA1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8415BF" w:rsidRPr="00F45AA1">
              <w:rPr>
                <w:rFonts w:hint="eastAsia"/>
                <w:bCs/>
                <w:iCs/>
                <w:sz w:val="24"/>
                <w:szCs w:val="24"/>
              </w:rPr>
              <w:t>年汽车检测业务收入在公司总收入中所占比重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近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四分之一，</w:t>
            </w:r>
            <w:r w:rsidR="0072511D">
              <w:rPr>
                <w:rFonts w:hint="eastAsia"/>
                <w:bCs/>
                <w:iCs/>
                <w:sz w:val="24"/>
                <w:szCs w:val="24"/>
              </w:rPr>
              <w:t>近年</w:t>
            </w:r>
            <w:r w:rsidR="000D7D0C" w:rsidRPr="00F45AA1">
              <w:rPr>
                <w:bCs/>
                <w:iCs/>
                <w:sz w:val="24"/>
                <w:szCs w:val="24"/>
              </w:rPr>
              <w:t>汽车行业处于调整期，对计量检测行业有所影响，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导致公司</w:t>
            </w:r>
            <w:r w:rsidR="00F45AA1" w:rsidRPr="00F45AA1">
              <w:rPr>
                <w:bCs/>
                <w:iCs/>
                <w:sz w:val="24"/>
                <w:szCs w:val="24"/>
              </w:rPr>
              <w:t>汽车</w:t>
            </w:r>
            <w:r w:rsidR="00F45AA1" w:rsidRPr="00F45AA1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F45AA1" w:rsidRPr="00F45AA1">
              <w:rPr>
                <w:bCs/>
                <w:iCs/>
                <w:sz w:val="24"/>
                <w:szCs w:val="24"/>
              </w:rPr>
              <w:t>业务增速</w:t>
            </w:r>
            <w:r w:rsidR="00F45AA1" w:rsidRPr="00F45AA1">
              <w:rPr>
                <w:rFonts w:hint="eastAsia"/>
                <w:bCs/>
                <w:iCs/>
                <w:sz w:val="24"/>
                <w:szCs w:val="24"/>
              </w:rPr>
              <w:t>有所下降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45AA1" w:rsidRPr="00F45AA1">
              <w:rPr>
                <w:bCs/>
                <w:iCs/>
                <w:sz w:val="24"/>
                <w:szCs w:val="24"/>
              </w:rPr>
              <w:t>低于公司整体增速，</w:t>
            </w:r>
            <w:r w:rsidR="000D7D0C" w:rsidRPr="00F45AA1">
              <w:rPr>
                <w:bCs/>
                <w:iCs/>
                <w:sz w:val="24"/>
                <w:szCs w:val="24"/>
              </w:rPr>
              <w:t>但尚能保持两位数增长。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0D7D0C" w:rsidRPr="00F45AA1">
              <w:rPr>
                <w:bCs/>
                <w:iCs/>
                <w:sz w:val="24"/>
                <w:szCs w:val="24"/>
              </w:rPr>
              <w:t>汽车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0D7D0C" w:rsidRPr="00F45AA1">
              <w:rPr>
                <w:bCs/>
                <w:iCs/>
                <w:sz w:val="24"/>
                <w:szCs w:val="24"/>
              </w:rPr>
              <w:t>业务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主要需求来源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有两块，一是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整车厂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新车型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，占比大约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70%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就公司了解</w:t>
            </w:r>
            <w:r w:rsidR="00402ED3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大多大型整车厂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新车型</w:t>
            </w:r>
            <w:proofErr w:type="gramStart"/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受</w:t>
            </w:r>
            <w:proofErr w:type="gramEnd"/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汽车市场低迷和疫情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影响</w:t>
            </w:r>
            <w:r w:rsidR="000D7D0C" w:rsidRPr="00F45AA1">
              <w:rPr>
                <w:rFonts w:hint="eastAsia"/>
                <w:bCs/>
                <w:iCs/>
                <w:sz w:val="24"/>
                <w:szCs w:val="24"/>
              </w:rPr>
              <w:t>相对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较小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二是车厂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规模销售带来的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供应链</w:t>
            </w:r>
            <w:r w:rsidR="005C4587">
              <w:rPr>
                <w:rFonts w:hint="eastAsia"/>
                <w:bCs/>
                <w:iCs/>
                <w:sz w:val="24"/>
                <w:szCs w:val="24"/>
              </w:rPr>
              <w:t>质量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管控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，占比大约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30%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，大型整车厂对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零部件供应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商的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质量管控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趋于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严格。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公司对汽车检测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607B5E" w:rsidRPr="00F45AA1">
              <w:rPr>
                <w:rFonts w:hint="eastAsia"/>
                <w:bCs/>
                <w:iCs/>
                <w:sz w:val="24"/>
                <w:szCs w:val="24"/>
              </w:rPr>
              <w:t>前景持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谨慎乐观看法。</w:t>
            </w:r>
          </w:p>
          <w:p w:rsidR="00311550" w:rsidRPr="00F45AA1" w:rsidRDefault="00607B5E" w:rsidP="00607B5E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 w:rsidR="00311550"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公司较为成熟的实验室盈利状况</w:t>
            </w:r>
            <w:r w:rsidR="00F45AA1"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 w:rsidR="00311550"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？大客户的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业务体量大概为多少</w:t>
            </w:r>
            <w:r w:rsidR="00311550"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311550" w:rsidRPr="00F45AA1" w:rsidRDefault="007E65CA" w:rsidP="00607B5E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答：公司的每个</w:t>
            </w:r>
            <w:r w:rsidR="00402ED3">
              <w:rPr>
                <w:rFonts w:hint="eastAsia"/>
                <w:bCs/>
                <w:iCs/>
                <w:sz w:val="24"/>
                <w:szCs w:val="24"/>
              </w:rPr>
              <w:t>计量检测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子公司相当于一个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综合性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实验室，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子公司的业务板块构成是根据当地市场需求决定的。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642611" w:rsidRPr="00F45AA1">
              <w:rPr>
                <w:rFonts w:hint="eastAsia"/>
                <w:bCs/>
                <w:iCs/>
                <w:sz w:val="24"/>
                <w:szCs w:val="24"/>
              </w:rPr>
              <w:t>湖南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9068A5" w:rsidRPr="00F45AA1">
              <w:rPr>
                <w:rFonts w:hint="eastAsia"/>
                <w:bCs/>
                <w:iCs/>
                <w:sz w:val="24"/>
                <w:szCs w:val="24"/>
              </w:rPr>
              <w:t>无锡</w:t>
            </w:r>
            <w:r w:rsidR="009068A5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子公司</w:t>
            </w:r>
            <w:r w:rsidR="00F04CDA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 w:rsidR="00F04CDA" w:rsidRPr="00F45AA1">
              <w:rPr>
                <w:rFonts w:hint="eastAsia"/>
                <w:bCs/>
                <w:iCs/>
                <w:sz w:val="24"/>
                <w:szCs w:val="24"/>
              </w:rPr>
              <w:t>超过</w:t>
            </w:r>
            <w:r w:rsidR="00F04CDA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F04CDA">
              <w:rPr>
                <w:rFonts w:hint="eastAsia"/>
                <w:bCs/>
                <w:iCs/>
                <w:sz w:val="24"/>
                <w:szCs w:val="24"/>
              </w:rPr>
              <w:t>亿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北京、武汉等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子公司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收入接近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亿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，以上子公司皆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较早布局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建设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处于亏损状态的子公司有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5-6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家，主要原因是这些子公司近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-3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年才开始布局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建设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，同时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食品和环保</w:t>
            </w:r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这两块业务的</w:t>
            </w:r>
            <w:proofErr w:type="gramStart"/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占比较</w:t>
            </w:r>
            <w:proofErr w:type="gramEnd"/>
            <w:r w:rsidR="00D913C3" w:rsidRPr="00F45AA1">
              <w:rPr>
                <w:rFonts w:hint="eastAsia"/>
                <w:bCs/>
                <w:iCs/>
                <w:sz w:val="24"/>
                <w:szCs w:val="24"/>
              </w:rPr>
              <w:t>高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311550" w:rsidRPr="00F45AA1" w:rsidRDefault="00D913C3" w:rsidP="00703D25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客户较为分散，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稳定合作的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客户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数量也比较大。公司内部定义年业务收入在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100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万以上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为大客户，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近年公司大客户数量逐年上升，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分布在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特殊行业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和汽车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311550" w:rsidRPr="00F45AA1">
              <w:rPr>
                <w:rFonts w:hint="eastAsia"/>
                <w:bCs/>
                <w:iCs/>
                <w:sz w:val="24"/>
                <w:szCs w:val="24"/>
              </w:rPr>
              <w:t>的大客户较为集中，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但大客户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体量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分布不均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100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万至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几千万</w:t>
            </w:r>
            <w:r w:rsidR="00703D25" w:rsidRPr="00F45AA1">
              <w:rPr>
                <w:rFonts w:hint="eastAsia"/>
                <w:bCs/>
                <w:iCs/>
                <w:sz w:val="24"/>
                <w:szCs w:val="24"/>
              </w:rPr>
              <w:t>的都有。</w:t>
            </w:r>
          </w:p>
          <w:p w:rsidR="003434F8" w:rsidRPr="00F45AA1" w:rsidRDefault="003434F8" w:rsidP="00703D25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0D588E" w:rsidRPr="00F45AA1">
              <w:rPr>
                <w:rFonts w:hint="eastAsia"/>
                <w:b/>
                <w:bCs/>
                <w:iCs/>
                <w:sz w:val="24"/>
                <w:szCs w:val="24"/>
              </w:rPr>
              <w:t>从下游行业和地区维度来看，公司各板块业务恢复情况如何？公司去年在新能源汽车和自动驾驶的收入情况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及</w:t>
            </w:r>
            <w:r w:rsidR="000D588E" w:rsidRPr="00F45AA1">
              <w:rPr>
                <w:rFonts w:hint="eastAsia"/>
                <w:b/>
                <w:bCs/>
                <w:iCs/>
                <w:sz w:val="24"/>
                <w:szCs w:val="24"/>
              </w:rPr>
              <w:t>今年目标如何？</w:t>
            </w:r>
          </w:p>
          <w:p w:rsidR="003434F8" w:rsidRPr="00F45AA1" w:rsidRDefault="003434F8" w:rsidP="00B455C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公司今年</w:t>
            </w:r>
            <w:r w:rsidR="000D588E" w:rsidRPr="00F45AA1">
              <w:rPr>
                <w:rFonts w:hint="eastAsia"/>
                <w:bCs/>
                <w:iCs/>
                <w:sz w:val="24"/>
                <w:szCs w:val="24"/>
              </w:rPr>
              <w:t>一季度受疫情影响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导致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订单延迟，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但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订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lastRenderedPageBreak/>
              <w:t>单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基本恢复正常。</w:t>
            </w:r>
            <w:r w:rsidR="004605BD" w:rsidRPr="00F45AA1">
              <w:rPr>
                <w:rFonts w:hint="eastAsia"/>
                <w:bCs/>
                <w:iCs/>
                <w:sz w:val="24"/>
                <w:szCs w:val="24"/>
              </w:rPr>
              <w:t>从行业维度来看，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特殊行业业务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订单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恢复较快，预计后期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恢复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速度加快；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业务订单基本正常，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通信、轨道交通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、电力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BF69A2" w:rsidRP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表现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也比较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正常。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从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地区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维度来看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，受疫情影响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各地区子公司复工复产时间不一致，最晚的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武汉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子公司在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月底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复工复产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。目前武汉子公司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计量校准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与去年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基本持平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可靠性与环境试验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电磁兼容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检测业务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湖北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省内订单较去年同期有所增长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42611">
              <w:rPr>
                <w:rFonts w:hint="eastAsia"/>
                <w:bCs/>
                <w:iCs/>
                <w:sz w:val="24"/>
                <w:szCs w:val="24"/>
              </w:rPr>
              <w:t>但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省外订单恢复较慢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。北京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子公司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的主要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业务也是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可靠性与环境试验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000D0A" w:rsidRPr="00F45AA1">
              <w:rPr>
                <w:rFonts w:hint="eastAsia"/>
                <w:bCs/>
                <w:iCs/>
                <w:sz w:val="24"/>
                <w:szCs w:val="24"/>
              </w:rPr>
              <w:t>电磁兼容检测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。这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家子公司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受疫情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管</w:t>
            </w:r>
            <w:proofErr w:type="gramStart"/>
            <w:r w:rsidR="001B0B87">
              <w:rPr>
                <w:rFonts w:hint="eastAsia"/>
                <w:bCs/>
                <w:iCs/>
                <w:sz w:val="24"/>
                <w:szCs w:val="24"/>
              </w:rPr>
              <w:t>控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影响</w:t>
            </w:r>
            <w:proofErr w:type="gramEnd"/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1-4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月产能没有充分发挥，恢复情况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仍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有待观察</w:t>
            </w:r>
            <w:r w:rsidR="0079646B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0D588E" w:rsidRPr="00F45AA1" w:rsidRDefault="0079646B" w:rsidP="0079646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的实验室技术投入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一直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紧跟市场需求，投入不会</w:t>
            </w:r>
            <w:r w:rsidR="00D5016B">
              <w:rPr>
                <w:rFonts w:hint="eastAsia"/>
                <w:bCs/>
                <w:iCs/>
                <w:sz w:val="24"/>
                <w:szCs w:val="24"/>
              </w:rPr>
              <w:t>过于</w:t>
            </w:r>
            <w:r w:rsidR="00F013D9" w:rsidRPr="00F45AA1">
              <w:rPr>
                <w:rFonts w:hint="eastAsia"/>
                <w:bCs/>
                <w:iCs/>
                <w:sz w:val="24"/>
                <w:szCs w:val="24"/>
              </w:rPr>
              <w:t>超前。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目前新能源汽车检测的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需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求量较大，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相应的投入较大；自动驾驶检测的需求量较小，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相应的投入也较小。从收入贡献来看，这两块检测业务收入在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整个汽车检测业务的占比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还不大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，后续的发展仍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有待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培育</w:t>
            </w:r>
            <w:r w:rsidR="00F56C7D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066326" w:rsidRPr="00F45AA1" w:rsidRDefault="00066326" w:rsidP="00DA472C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F56C7D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是否有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外延并购计划？</w:t>
            </w:r>
            <w:r w:rsidR="005B2047" w:rsidRPr="00F45AA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62243" w:rsidRPr="00B455C1" w:rsidRDefault="00066326" w:rsidP="00B455C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公司有外延并购的计划，并正积极寻找合适的并购标的，主要考虑与公司现有业务协同性较高或互补的标的。检测行业机构众多，</w:t>
            </w:r>
            <w:r w:rsidR="00B455C1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作为</w:t>
            </w:r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国有企业，在并购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风险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防</w:t>
            </w:r>
            <w:r w:rsidR="001B0B87">
              <w:rPr>
                <w:rFonts w:hint="eastAsia"/>
                <w:bCs/>
                <w:iCs/>
                <w:sz w:val="24"/>
                <w:szCs w:val="24"/>
              </w:rPr>
              <w:t>范</w:t>
            </w:r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上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会有</w:t>
            </w:r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较多</w:t>
            </w:r>
            <w:proofErr w:type="gramStart"/>
            <w:r w:rsidR="00DA472C" w:rsidRPr="00F45AA1">
              <w:rPr>
                <w:rFonts w:hint="eastAsia"/>
                <w:bCs/>
                <w:iCs/>
                <w:sz w:val="24"/>
                <w:szCs w:val="24"/>
              </w:rPr>
              <w:t>考量</w:t>
            </w:r>
            <w:proofErr w:type="gramEnd"/>
            <w:r w:rsidR="00482260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066326" w:rsidRPr="00F45AA1" w:rsidRDefault="00066326" w:rsidP="00DA472C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DA472C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公司对股权激励怎么看？</w:t>
            </w:r>
          </w:p>
          <w:p w:rsidR="003434F8" w:rsidRPr="00F45AA1" w:rsidRDefault="00066326" w:rsidP="00482260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482260" w:rsidRPr="00F45AA1">
              <w:rPr>
                <w:rFonts w:hint="eastAsia"/>
                <w:bCs/>
                <w:iCs/>
                <w:sz w:val="24"/>
                <w:szCs w:val="24"/>
              </w:rPr>
              <w:t>未来公司</w:t>
            </w:r>
            <w:r w:rsidR="000D1601">
              <w:rPr>
                <w:rFonts w:hint="eastAsia"/>
                <w:bCs/>
                <w:iCs/>
                <w:sz w:val="24"/>
                <w:szCs w:val="24"/>
              </w:rPr>
              <w:t>将</w:t>
            </w:r>
            <w:r w:rsidR="000D1601" w:rsidRPr="000D1601">
              <w:rPr>
                <w:rFonts w:hint="eastAsia"/>
                <w:bCs/>
                <w:iCs/>
                <w:sz w:val="24"/>
                <w:szCs w:val="24"/>
              </w:rPr>
              <w:t>结合</w:t>
            </w:r>
            <w:r w:rsidR="000D1601">
              <w:rPr>
                <w:rFonts w:hint="eastAsia"/>
                <w:bCs/>
                <w:iCs/>
                <w:sz w:val="24"/>
                <w:szCs w:val="24"/>
              </w:rPr>
              <w:t>自身</w:t>
            </w:r>
            <w:r w:rsidR="000D1601" w:rsidRPr="000D1601">
              <w:rPr>
                <w:rFonts w:hint="eastAsia"/>
                <w:bCs/>
                <w:iCs/>
                <w:sz w:val="24"/>
                <w:szCs w:val="24"/>
              </w:rPr>
              <w:t>经营发展及资本市场情况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0D1601">
              <w:rPr>
                <w:rFonts w:hint="eastAsia"/>
                <w:bCs/>
                <w:iCs/>
                <w:sz w:val="24"/>
                <w:szCs w:val="24"/>
              </w:rPr>
              <w:t>在合适的时机</w:t>
            </w:r>
            <w:r w:rsidR="00482260" w:rsidRPr="00F45AA1">
              <w:rPr>
                <w:rFonts w:hint="eastAsia"/>
                <w:bCs/>
                <w:iCs/>
                <w:sz w:val="24"/>
                <w:szCs w:val="24"/>
              </w:rPr>
              <w:t>考虑启动股权激励计划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482260" w:rsidRPr="00F45AA1">
              <w:rPr>
                <w:rFonts w:hint="eastAsia"/>
                <w:bCs/>
                <w:iCs/>
                <w:sz w:val="24"/>
                <w:szCs w:val="24"/>
              </w:rPr>
              <w:t>目前尚未有明确的股权激励计划启动时间和实施计划表。</w:t>
            </w:r>
          </w:p>
          <w:p w:rsidR="00A347E1" w:rsidRPr="00F45AA1" w:rsidRDefault="00066326" w:rsidP="00A347E1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9B6B15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小客户业务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拓展</w:t>
            </w:r>
            <w:r w:rsidR="009B6B15" w:rsidRPr="00F45AA1"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C62243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如何？小客户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C62243" w:rsidRPr="00F45AA1">
              <w:rPr>
                <w:rFonts w:hint="eastAsia"/>
                <w:b/>
                <w:bCs/>
                <w:iCs/>
                <w:sz w:val="24"/>
                <w:szCs w:val="24"/>
              </w:rPr>
              <w:t>拓展</w:t>
            </w:r>
            <w:r w:rsidR="00A347E1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对检测价格有影响吗？</w:t>
            </w:r>
          </w:p>
          <w:p w:rsidR="00A347E1" w:rsidRPr="00F45AA1" w:rsidRDefault="00066326" w:rsidP="00A347E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近年实施“大客户服务策略”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部分业务板块如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可靠性与环境试验、电磁兼容检测业务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受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产能限制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更多聚焦在特殊行业和汽车行业客户，对其他行业客户有所放弃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而今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lastRenderedPageBreak/>
              <w:t>年受疫情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及经济不确定性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等因素影响，公司对其他行业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客户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做了一些针对性的拓展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其他业务板块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也采取了差异化的市场策略和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营销手段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针对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中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小客户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加强了市场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拓展</w:t>
            </w:r>
            <w:r w:rsidR="009B6B15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A347E1" w:rsidRPr="00F45AA1" w:rsidRDefault="00AD305E" w:rsidP="00AD305E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检测价格主要与市场竞争状况和客户结构相关，</w:t>
            </w:r>
            <w:r w:rsidR="00066326" w:rsidRPr="00F45AA1">
              <w:rPr>
                <w:rFonts w:hint="eastAsia"/>
                <w:bCs/>
                <w:iCs/>
                <w:sz w:val="24"/>
                <w:szCs w:val="24"/>
              </w:rPr>
              <w:t>在竞争较为激烈的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细分</w:t>
            </w:r>
            <w:r w:rsidR="00066326" w:rsidRPr="00F45AA1">
              <w:rPr>
                <w:rFonts w:hint="eastAsia"/>
                <w:bCs/>
                <w:iCs/>
                <w:sz w:val="24"/>
                <w:szCs w:val="24"/>
              </w:rPr>
              <w:t>领域，价格下降不可避免。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而公司的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“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大客户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服务策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略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="004605BD">
              <w:rPr>
                <w:rFonts w:hint="eastAsia"/>
                <w:bCs/>
                <w:iCs/>
                <w:sz w:val="24"/>
                <w:szCs w:val="24"/>
              </w:rPr>
              <w:t>、以及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不断布局和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提升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新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技术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检测能力，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使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公司价格水平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得到较好的保持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。不是所有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中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小客户</w:t>
            </w:r>
            <w:r w:rsidR="00B455C1" w:rsidRPr="00F45AA1">
              <w:rPr>
                <w:rFonts w:hint="eastAsia"/>
                <w:bCs/>
                <w:iCs/>
                <w:sz w:val="24"/>
                <w:szCs w:val="24"/>
              </w:rPr>
              <w:t>都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对价格很敏感，公司更关注于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重视质量但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对价格相对不敏感的客户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因此公司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加大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对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中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小客户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拓展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不意味着价格</w:t>
            </w:r>
            <w:r w:rsidR="007646DE">
              <w:rPr>
                <w:rFonts w:hint="eastAsia"/>
                <w:bCs/>
                <w:iCs/>
                <w:sz w:val="24"/>
                <w:szCs w:val="24"/>
              </w:rPr>
              <w:t>水平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一定</w:t>
            </w:r>
            <w:r w:rsidR="00A347E1" w:rsidRPr="00F45AA1">
              <w:rPr>
                <w:rFonts w:hint="eastAsia"/>
                <w:bCs/>
                <w:iCs/>
                <w:sz w:val="24"/>
                <w:szCs w:val="24"/>
              </w:rPr>
              <w:t>会下降，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两者并不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完全相关</w:t>
            </w:r>
            <w:r w:rsidR="00B455C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C62243" w:rsidRPr="00F45AA1" w:rsidRDefault="00C62243" w:rsidP="00C62243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="00B455C1">
              <w:rPr>
                <w:rFonts w:hint="eastAsia"/>
                <w:b/>
                <w:bCs/>
                <w:iCs/>
                <w:sz w:val="24"/>
                <w:szCs w:val="24"/>
              </w:rPr>
              <w:t>2020</w:t>
            </w:r>
            <w:r w:rsidR="005B2047">
              <w:rPr>
                <w:rFonts w:hint="eastAsia"/>
                <w:b/>
                <w:bCs/>
                <w:iCs/>
                <w:sz w:val="24"/>
                <w:szCs w:val="24"/>
              </w:rPr>
              <w:t>年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的资本</w:t>
            </w:r>
            <w:r w:rsidR="00B455C1" w:rsidRPr="00B455C1">
              <w:rPr>
                <w:rFonts w:hint="eastAsia"/>
                <w:b/>
                <w:bCs/>
                <w:iCs/>
                <w:sz w:val="24"/>
                <w:szCs w:val="24"/>
              </w:rPr>
              <w:t>性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支出</w:t>
            </w:r>
            <w:r w:rsidR="005B2047">
              <w:rPr>
                <w:rFonts w:hint="eastAsia"/>
                <w:b/>
                <w:bCs/>
                <w:iCs/>
                <w:sz w:val="24"/>
                <w:szCs w:val="24"/>
              </w:rPr>
              <w:t>计划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是否会调整？</w:t>
            </w:r>
          </w:p>
          <w:p w:rsidR="00A347E1" w:rsidRPr="00F45AA1" w:rsidRDefault="00C62243" w:rsidP="00C6224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F45AA1">
              <w:rPr>
                <w:bCs/>
                <w:iCs/>
                <w:sz w:val="24"/>
                <w:szCs w:val="24"/>
              </w:rPr>
              <w:t>020</w:t>
            </w:r>
            <w:r w:rsidRPr="00F45AA1">
              <w:rPr>
                <w:bCs/>
                <w:iCs/>
                <w:sz w:val="24"/>
                <w:szCs w:val="24"/>
              </w:rPr>
              <w:t>年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技术改造计划为</w:t>
            </w:r>
            <w:r w:rsidRPr="00F45AA1">
              <w:rPr>
                <w:bCs/>
                <w:iCs/>
                <w:sz w:val="24"/>
                <w:szCs w:val="24"/>
              </w:rPr>
              <w:t>3.28</w:t>
            </w:r>
            <w:r w:rsidRPr="00F45AA1">
              <w:rPr>
                <w:bCs/>
                <w:iCs/>
                <w:sz w:val="24"/>
                <w:szCs w:val="24"/>
              </w:rPr>
              <w:t>亿元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。目前</w:t>
            </w:r>
            <w:r w:rsidR="003346D3" w:rsidRPr="00F45AA1">
              <w:rPr>
                <w:rFonts w:hint="eastAsia"/>
                <w:bCs/>
                <w:iCs/>
                <w:sz w:val="24"/>
                <w:szCs w:val="24"/>
              </w:rPr>
              <w:t>受疫情影响投入节奏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有所</w:t>
            </w:r>
            <w:r w:rsidR="003346D3" w:rsidRPr="00F45AA1">
              <w:rPr>
                <w:rFonts w:hint="eastAsia"/>
                <w:bCs/>
                <w:iCs/>
                <w:sz w:val="24"/>
                <w:szCs w:val="24"/>
              </w:rPr>
              <w:t>放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缓</w:t>
            </w:r>
            <w:r w:rsidR="003346D3"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但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后续会按计划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加快实施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3346D3" w:rsidRPr="00F45AA1">
              <w:rPr>
                <w:rFonts w:hint="eastAsia"/>
                <w:bCs/>
                <w:iCs/>
                <w:sz w:val="24"/>
                <w:szCs w:val="24"/>
              </w:rPr>
              <w:t>会根据市场变化情况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及时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把握市场机会。</w:t>
            </w:r>
          </w:p>
          <w:p w:rsidR="00C62243" w:rsidRPr="00F45AA1" w:rsidRDefault="00C62243" w:rsidP="00757D4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9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757D4B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公司食品检测业务的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企业客户</w:t>
            </w:r>
            <w:r w:rsidR="00757D4B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开拓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757D4B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57D4B" w:rsidRPr="00F45AA1" w:rsidRDefault="00757D4B" w:rsidP="00757D4B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答：公司去年加大了对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食品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企业客户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开拓力度，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组建了针对性的拓展团队。但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受疫情影响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企业客户提升比例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效果不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明显，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80-90%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仍来源于</w:t>
            </w:r>
            <w:r w:rsidR="00C62243" w:rsidRPr="00F45AA1">
              <w:rPr>
                <w:rFonts w:hint="eastAsia"/>
                <w:bCs/>
                <w:iCs/>
                <w:sz w:val="24"/>
                <w:szCs w:val="24"/>
              </w:rPr>
              <w:t>政府采购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业务。现有的企业客户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食品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生产和加工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企业，例如旺旺食品</w:t>
            </w:r>
            <w:proofErr w:type="gramStart"/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和绝味鸭脖等</w:t>
            </w:r>
            <w:proofErr w:type="gramEnd"/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，也有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流程环节的企业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，例如华润超市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。随着疫情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逐渐缓和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，预计下半年会有较大改观。</w:t>
            </w:r>
          </w:p>
          <w:p w:rsidR="00F87ED1" w:rsidRPr="00F45AA1" w:rsidRDefault="003B7D7E" w:rsidP="00757D4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="009D3D2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0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9D3D2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公司的</w:t>
            </w:r>
            <w:r w:rsidR="009D3D2F" w:rsidRPr="00B354DB">
              <w:rPr>
                <w:rFonts w:hint="eastAsia"/>
                <w:b/>
                <w:bCs/>
                <w:iCs/>
                <w:sz w:val="24"/>
                <w:szCs w:val="24"/>
              </w:rPr>
              <w:t>人均产值未来提升空间</w:t>
            </w:r>
            <w:r w:rsidR="009D3D2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有</w:t>
            </w:r>
            <w:r w:rsidR="009D3D2F" w:rsidRPr="00B354DB">
              <w:rPr>
                <w:rFonts w:hint="eastAsia"/>
                <w:b/>
                <w:bCs/>
                <w:iCs/>
                <w:sz w:val="24"/>
                <w:szCs w:val="24"/>
              </w:rPr>
              <w:t>多大？自动化测试</w:t>
            </w:r>
            <w:r w:rsidR="009D3D2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主要</w:t>
            </w:r>
            <w:r w:rsidR="009D3D2F" w:rsidRPr="00B354DB">
              <w:rPr>
                <w:rFonts w:hint="eastAsia"/>
                <w:b/>
                <w:bCs/>
                <w:iCs/>
                <w:sz w:val="24"/>
                <w:szCs w:val="24"/>
              </w:rPr>
              <w:t>应用</w:t>
            </w:r>
            <w:r w:rsidR="009D3D2F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在哪些业务和环节</w:t>
            </w:r>
            <w:r w:rsidR="009D3D2F" w:rsidRPr="00B354DB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F87ED1" w:rsidRPr="00F45AA1" w:rsidRDefault="00F87ED1" w:rsidP="009D3D2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近年公司的人均产值增长较快，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随着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自动化程度不断提高，预计公司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的人均产值仍有较大提升空间。公司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不同板块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自动化程度各异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其中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化学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分析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、食品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、环保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仪器的</w:t>
            </w:r>
            <w:r w:rsidRPr="00F45AA1">
              <w:rPr>
                <w:rFonts w:hint="eastAsia"/>
                <w:bCs/>
                <w:iCs/>
                <w:sz w:val="24"/>
                <w:szCs w:val="24"/>
              </w:rPr>
              <w:t>自动化程度较高，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人工需求主要在前期采样和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样品前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处理等环节，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9D3D2F" w:rsidRPr="00F45AA1"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也在建立专门的采样团队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，综合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适用于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不同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业务以</w:t>
            </w:r>
            <w:r w:rsidR="009D3D2F" w:rsidRPr="00B354DB">
              <w:rPr>
                <w:rFonts w:hint="eastAsia"/>
                <w:bCs/>
                <w:iCs/>
                <w:sz w:val="24"/>
                <w:szCs w:val="24"/>
              </w:rPr>
              <w:t>提升效率。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计量校准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、环境可靠性业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lastRenderedPageBreak/>
              <w:t>务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公司一直在自主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开发自动化测试软件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，提升自动化测试水平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但部分业务板块如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电磁兼容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板块</w:t>
            </w:r>
            <w:r w:rsidR="00111A95">
              <w:rPr>
                <w:rFonts w:hint="eastAsia"/>
                <w:bCs/>
                <w:iCs/>
                <w:sz w:val="24"/>
                <w:szCs w:val="24"/>
              </w:rPr>
              <w:t>还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需要对测试数据进行分析处理</w:t>
            </w:r>
            <w:r w:rsidR="00111A95">
              <w:rPr>
                <w:rFonts w:hint="eastAsia"/>
                <w:bCs/>
                <w:iCs/>
                <w:sz w:val="24"/>
                <w:szCs w:val="24"/>
              </w:rPr>
              <w:t>以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形成报告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111A95">
              <w:rPr>
                <w:rFonts w:hint="eastAsia"/>
                <w:bCs/>
                <w:iCs/>
                <w:sz w:val="24"/>
                <w:szCs w:val="24"/>
              </w:rPr>
              <w:t>这</w:t>
            </w:r>
            <w:r w:rsidR="00303589">
              <w:rPr>
                <w:rFonts w:hint="eastAsia"/>
                <w:bCs/>
                <w:iCs/>
                <w:sz w:val="24"/>
                <w:szCs w:val="24"/>
              </w:rPr>
              <w:t>需要技术工程师的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经验判断，因此对高水平人才</w:t>
            </w:r>
            <w:r w:rsidR="00111A95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需求更高。</w:t>
            </w:r>
          </w:p>
          <w:p w:rsidR="00F87ED1" w:rsidRPr="00F45AA1" w:rsidRDefault="00F87ED1" w:rsidP="00F34E8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="00F34E8D" w:rsidRPr="00F45AA1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F34E8D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公司的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应收账款管理措施</w:t>
            </w:r>
            <w:r w:rsidR="00F34E8D" w:rsidRPr="00F45AA1"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 w:rsidR="00F45AA1" w:rsidRPr="00F45AA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42E4C" w:rsidRPr="008A2101" w:rsidRDefault="00F87ED1" w:rsidP="00F45AA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  <w:highlight w:val="yellow"/>
              </w:rPr>
            </w:pPr>
            <w:r w:rsidRPr="00F45AA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的应收账款主要为一年以内的应收账款，目前整体回款情况良好，坏账风险较小。导致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应收账款规模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较大的原因主要为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业务特点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客户结构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和业务收入增长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所致，例如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可靠性与环境试验、电磁兼容检测、食品检测等业务收入增长较快，此类客多以特殊行业客户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和政府采购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客户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居多，其结算周期相对较长。公司销售信用政策保持一贯性，虽然应收账款上涨较快，但公司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特殊行业客户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、汽车行业大客户、政府客户等信用度高，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因此</w:t>
            </w:r>
            <w:r w:rsidR="004F0D2E" w:rsidRPr="00F45AA1">
              <w:rPr>
                <w:rFonts w:hint="eastAsia"/>
                <w:bCs/>
                <w:iCs/>
                <w:sz w:val="24"/>
                <w:szCs w:val="24"/>
              </w:rPr>
              <w:t>坏账风险较小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今年公司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加强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了对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应收账款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管控，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成立了专门的应收账款</w:t>
            </w:r>
            <w:r w:rsidR="006C5E05">
              <w:rPr>
                <w:rFonts w:hint="eastAsia"/>
                <w:bCs/>
                <w:iCs/>
                <w:sz w:val="24"/>
                <w:szCs w:val="24"/>
              </w:rPr>
              <w:t>催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收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小组，对超期账款进行追收，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从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-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月份来看效果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较为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明显。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同时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也</w:t>
            </w:r>
            <w:r w:rsidR="00F45AA1" w:rsidRPr="00F45AA1">
              <w:rPr>
                <w:rFonts w:hint="eastAsia"/>
                <w:bCs/>
                <w:iCs/>
                <w:sz w:val="24"/>
                <w:szCs w:val="24"/>
              </w:rPr>
              <w:t>修订了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业绩考核</w:t>
            </w:r>
            <w:r w:rsidR="00F45AA1" w:rsidRPr="00F45AA1">
              <w:rPr>
                <w:rFonts w:hint="eastAsia"/>
                <w:bCs/>
                <w:iCs/>
                <w:sz w:val="24"/>
                <w:szCs w:val="24"/>
              </w:rPr>
              <w:t>制度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45AA1" w:rsidRPr="00F45AA1">
              <w:rPr>
                <w:rFonts w:hint="eastAsia"/>
                <w:bCs/>
                <w:iCs/>
                <w:sz w:val="24"/>
                <w:szCs w:val="24"/>
              </w:rPr>
              <w:t>对回款业绩进行考核，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预计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今年应收账款</w:t>
            </w:r>
            <w:r w:rsidR="004F0D2E">
              <w:rPr>
                <w:rFonts w:hint="eastAsia"/>
                <w:bCs/>
                <w:iCs/>
                <w:sz w:val="24"/>
                <w:szCs w:val="24"/>
              </w:rPr>
              <w:t>增长较快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的状况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会有</w:t>
            </w:r>
            <w:r w:rsidR="008A2101" w:rsidRPr="00F45AA1">
              <w:rPr>
                <w:rFonts w:hint="eastAsia"/>
                <w:bCs/>
                <w:iCs/>
                <w:sz w:val="24"/>
                <w:szCs w:val="24"/>
              </w:rPr>
              <w:t>所</w:t>
            </w:r>
            <w:r w:rsidR="00F34E8D" w:rsidRPr="00F45AA1">
              <w:rPr>
                <w:rFonts w:hint="eastAsia"/>
                <w:bCs/>
                <w:iCs/>
                <w:sz w:val="24"/>
                <w:szCs w:val="24"/>
              </w:rPr>
              <w:t>改观。</w:t>
            </w:r>
          </w:p>
        </w:tc>
      </w:tr>
      <w:bookmarkEnd w:id="0"/>
      <w:tr w:rsidR="005D4D85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 w:rsidP="0097757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45AA1">
              <w:rPr>
                <w:rFonts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4" w:rsidRDefault="008713E4" w:rsidP="00FE6B57">
      <w:r>
        <w:separator/>
      </w:r>
    </w:p>
  </w:endnote>
  <w:endnote w:type="continuationSeparator" w:id="0">
    <w:p w:rsidR="008713E4" w:rsidRDefault="008713E4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4" w:rsidRDefault="008713E4" w:rsidP="00FE6B57">
      <w:r>
        <w:separator/>
      </w:r>
    </w:p>
  </w:footnote>
  <w:footnote w:type="continuationSeparator" w:id="0">
    <w:p w:rsidR="008713E4" w:rsidRDefault="008713E4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62084"/>
    <w:multiLevelType w:val="hybridMultilevel"/>
    <w:tmpl w:val="4E581DCA"/>
    <w:lvl w:ilvl="0" w:tplc="C2B40D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E96C5C"/>
    <w:multiLevelType w:val="hybridMultilevel"/>
    <w:tmpl w:val="EEF845D2"/>
    <w:lvl w:ilvl="0" w:tplc="5AC6F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D0A"/>
    <w:rsid w:val="000021B9"/>
    <w:rsid w:val="00024574"/>
    <w:rsid w:val="00024B86"/>
    <w:rsid w:val="00033A0C"/>
    <w:rsid w:val="000510AA"/>
    <w:rsid w:val="00066326"/>
    <w:rsid w:val="000861EA"/>
    <w:rsid w:val="000D1601"/>
    <w:rsid w:val="000D28C7"/>
    <w:rsid w:val="000D588E"/>
    <w:rsid w:val="000D7D0C"/>
    <w:rsid w:val="000E1C67"/>
    <w:rsid w:val="000E7ED7"/>
    <w:rsid w:val="00111A95"/>
    <w:rsid w:val="00116800"/>
    <w:rsid w:val="001307FC"/>
    <w:rsid w:val="0014528C"/>
    <w:rsid w:val="00146174"/>
    <w:rsid w:val="0017111D"/>
    <w:rsid w:val="00177377"/>
    <w:rsid w:val="0019311A"/>
    <w:rsid w:val="001A5CF4"/>
    <w:rsid w:val="001B0B87"/>
    <w:rsid w:val="001B1E91"/>
    <w:rsid w:val="0020367E"/>
    <w:rsid w:val="00210485"/>
    <w:rsid w:val="00231B20"/>
    <w:rsid w:val="00237D39"/>
    <w:rsid w:val="00254916"/>
    <w:rsid w:val="0026483A"/>
    <w:rsid w:val="00266E28"/>
    <w:rsid w:val="002740C4"/>
    <w:rsid w:val="00295E81"/>
    <w:rsid w:val="00300C1C"/>
    <w:rsid w:val="00303589"/>
    <w:rsid w:val="00311550"/>
    <w:rsid w:val="003346D3"/>
    <w:rsid w:val="0034248B"/>
    <w:rsid w:val="003434F8"/>
    <w:rsid w:val="0037747A"/>
    <w:rsid w:val="00382EB5"/>
    <w:rsid w:val="003900A8"/>
    <w:rsid w:val="003A31EB"/>
    <w:rsid w:val="003B30CD"/>
    <w:rsid w:val="003B7D7E"/>
    <w:rsid w:val="003D5C48"/>
    <w:rsid w:val="003D63D0"/>
    <w:rsid w:val="003F27B6"/>
    <w:rsid w:val="00400E8F"/>
    <w:rsid w:val="00402A88"/>
    <w:rsid w:val="00402ED3"/>
    <w:rsid w:val="0043555F"/>
    <w:rsid w:val="004605BD"/>
    <w:rsid w:val="00465068"/>
    <w:rsid w:val="0047139F"/>
    <w:rsid w:val="00471B3F"/>
    <w:rsid w:val="00482260"/>
    <w:rsid w:val="00483F3E"/>
    <w:rsid w:val="004A3BF1"/>
    <w:rsid w:val="004D0036"/>
    <w:rsid w:val="004F0D2E"/>
    <w:rsid w:val="004F79A7"/>
    <w:rsid w:val="00502386"/>
    <w:rsid w:val="00510B50"/>
    <w:rsid w:val="005118B3"/>
    <w:rsid w:val="0051719A"/>
    <w:rsid w:val="00523902"/>
    <w:rsid w:val="005317DB"/>
    <w:rsid w:val="0053554F"/>
    <w:rsid w:val="005858D6"/>
    <w:rsid w:val="005A1FF1"/>
    <w:rsid w:val="005B2047"/>
    <w:rsid w:val="005B5FA7"/>
    <w:rsid w:val="005C4587"/>
    <w:rsid w:val="005C6461"/>
    <w:rsid w:val="005D4D85"/>
    <w:rsid w:val="005D70B1"/>
    <w:rsid w:val="005E2F60"/>
    <w:rsid w:val="005F4C56"/>
    <w:rsid w:val="00603B63"/>
    <w:rsid w:val="00607B5E"/>
    <w:rsid w:val="006358B8"/>
    <w:rsid w:val="00642611"/>
    <w:rsid w:val="00646D30"/>
    <w:rsid w:val="00684A3A"/>
    <w:rsid w:val="006A02B3"/>
    <w:rsid w:val="006A6CE4"/>
    <w:rsid w:val="006B3C5E"/>
    <w:rsid w:val="006B4E75"/>
    <w:rsid w:val="006B746E"/>
    <w:rsid w:val="006C3221"/>
    <w:rsid w:val="006C4CBB"/>
    <w:rsid w:val="006C5E05"/>
    <w:rsid w:val="006D495C"/>
    <w:rsid w:val="006D70E3"/>
    <w:rsid w:val="006E1682"/>
    <w:rsid w:val="006F3E58"/>
    <w:rsid w:val="00703D25"/>
    <w:rsid w:val="00723DD1"/>
    <w:rsid w:val="0072511D"/>
    <w:rsid w:val="00727297"/>
    <w:rsid w:val="0073066A"/>
    <w:rsid w:val="00750EA2"/>
    <w:rsid w:val="00757D4B"/>
    <w:rsid w:val="007631CD"/>
    <w:rsid w:val="007646DE"/>
    <w:rsid w:val="0077036C"/>
    <w:rsid w:val="007934A7"/>
    <w:rsid w:val="0079646B"/>
    <w:rsid w:val="007A166C"/>
    <w:rsid w:val="007D3C0F"/>
    <w:rsid w:val="007D7192"/>
    <w:rsid w:val="007E0928"/>
    <w:rsid w:val="007E2E34"/>
    <w:rsid w:val="007E65CA"/>
    <w:rsid w:val="00812812"/>
    <w:rsid w:val="0081533D"/>
    <w:rsid w:val="0082675C"/>
    <w:rsid w:val="008415BF"/>
    <w:rsid w:val="00852C6D"/>
    <w:rsid w:val="008713E4"/>
    <w:rsid w:val="008779C6"/>
    <w:rsid w:val="008806CE"/>
    <w:rsid w:val="00883CCE"/>
    <w:rsid w:val="00895B7F"/>
    <w:rsid w:val="00895DA7"/>
    <w:rsid w:val="008A2101"/>
    <w:rsid w:val="008C16CF"/>
    <w:rsid w:val="008F0A8B"/>
    <w:rsid w:val="008F6F05"/>
    <w:rsid w:val="00905EFF"/>
    <w:rsid w:val="009068A5"/>
    <w:rsid w:val="00914530"/>
    <w:rsid w:val="00920D0F"/>
    <w:rsid w:val="00922A07"/>
    <w:rsid w:val="00940CD2"/>
    <w:rsid w:val="0094654A"/>
    <w:rsid w:val="00962CC1"/>
    <w:rsid w:val="00977575"/>
    <w:rsid w:val="00990ABC"/>
    <w:rsid w:val="00990EDB"/>
    <w:rsid w:val="009A0A5D"/>
    <w:rsid w:val="009B497B"/>
    <w:rsid w:val="009B6B15"/>
    <w:rsid w:val="009C2A4A"/>
    <w:rsid w:val="009D1A20"/>
    <w:rsid w:val="009D3D2F"/>
    <w:rsid w:val="009F6C3B"/>
    <w:rsid w:val="00A048EF"/>
    <w:rsid w:val="00A11ED0"/>
    <w:rsid w:val="00A231F1"/>
    <w:rsid w:val="00A32B1D"/>
    <w:rsid w:val="00A347E1"/>
    <w:rsid w:val="00A43CBD"/>
    <w:rsid w:val="00A50DE4"/>
    <w:rsid w:val="00A55129"/>
    <w:rsid w:val="00A563D6"/>
    <w:rsid w:val="00A80551"/>
    <w:rsid w:val="00A94E20"/>
    <w:rsid w:val="00A95CFC"/>
    <w:rsid w:val="00A96FAC"/>
    <w:rsid w:val="00AB39B5"/>
    <w:rsid w:val="00AD305E"/>
    <w:rsid w:val="00AE4ED3"/>
    <w:rsid w:val="00AF402E"/>
    <w:rsid w:val="00B2227D"/>
    <w:rsid w:val="00B27472"/>
    <w:rsid w:val="00B455C1"/>
    <w:rsid w:val="00B522AB"/>
    <w:rsid w:val="00B606BE"/>
    <w:rsid w:val="00B6275B"/>
    <w:rsid w:val="00B71F05"/>
    <w:rsid w:val="00B73E9C"/>
    <w:rsid w:val="00B92763"/>
    <w:rsid w:val="00B9495B"/>
    <w:rsid w:val="00B9595B"/>
    <w:rsid w:val="00BA6A21"/>
    <w:rsid w:val="00BD288E"/>
    <w:rsid w:val="00BD5BC2"/>
    <w:rsid w:val="00BE48A6"/>
    <w:rsid w:val="00BF48E1"/>
    <w:rsid w:val="00BF5E3F"/>
    <w:rsid w:val="00BF69A2"/>
    <w:rsid w:val="00C4261A"/>
    <w:rsid w:val="00C42E4C"/>
    <w:rsid w:val="00C5264B"/>
    <w:rsid w:val="00C62243"/>
    <w:rsid w:val="00C65AC8"/>
    <w:rsid w:val="00C75FA5"/>
    <w:rsid w:val="00C8197A"/>
    <w:rsid w:val="00CC7331"/>
    <w:rsid w:val="00CC7A87"/>
    <w:rsid w:val="00CD32B3"/>
    <w:rsid w:val="00CD5855"/>
    <w:rsid w:val="00D0027B"/>
    <w:rsid w:val="00D05850"/>
    <w:rsid w:val="00D067AF"/>
    <w:rsid w:val="00D07303"/>
    <w:rsid w:val="00D07FC1"/>
    <w:rsid w:val="00D1324E"/>
    <w:rsid w:val="00D139E7"/>
    <w:rsid w:val="00D1797A"/>
    <w:rsid w:val="00D332D9"/>
    <w:rsid w:val="00D41371"/>
    <w:rsid w:val="00D5016B"/>
    <w:rsid w:val="00D5524A"/>
    <w:rsid w:val="00D576BF"/>
    <w:rsid w:val="00D60889"/>
    <w:rsid w:val="00D709C8"/>
    <w:rsid w:val="00D7612A"/>
    <w:rsid w:val="00D765D4"/>
    <w:rsid w:val="00D913C3"/>
    <w:rsid w:val="00DA3E99"/>
    <w:rsid w:val="00DA472C"/>
    <w:rsid w:val="00DA4E94"/>
    <w:rsid w:val="00DC55FC"/>
    <w:rsid w:val="00DD0580"/>
    <w:rsid w:val="00DF3F81"/>
    <w:rsid w:val="00DF6736"/>
    <w:rsid w:val="00E0297F"/>
    <w:rsid w:val="00E03869"/>
    <w:rsid w:val="00E128B5"/>
    <w:rsid w:val="00E25A4A"/>
    <w:rsid w:val="00E30ED2"/>
    <w:rsid w:val="00E37AB2"/>
    <w:rsid w:val="00E431A9"/>
    <w:rsid w:val="00E43BC7"/>
    <w:rsid w:val="00E54E78"/>
    <w:rsid w:val="00E56B71"/>
    <w:rsid w:val="00E87B1E"/>
    <w:rsid w:val="00E91538"/>
    <w:rsid w:val="00EB3B26"/>
    <w:rsid w:val="00EB6034"/>
    <w:rsid w:val="00EC0E24"/>
    <w:rsid w:val="00ED50A7"/>
    <w:rsid w:val="00EF714F"/>
    <w:rsid w:val="00F013D9"/>
    <w:rsid w:val="00F04CDA"/>
    <w:rsid w:val="00F067D7"/>
    <w:rsid w:val="00F34E8D"/>
    <w:rsid w:val="00F41B62"/>
    <w:rsid w:val="00F45AA1"/>
    <w:rsid w:val="00F56C7D"/>
    <w:rsid w:val="00F61E17"/>
    <w:rsid w:val="00F70FBC"/>
    <w:rsid w:val="00F77931"/>
    <w:rsid w:val="00F87ED1"/>
    <w:rsid w:val="00F97C09"/>
    <w:rsid w:val="00FA558B"/>
    <w:rsid w:val="00FA611A"/>
    <w:rsid w:val="00FB0EF5"/>
    <w:rsid w:val="00FB6026"/>
    <w:rsid w:val="00FB7659"/>
    <w:rsid w:val="00FE6B57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9CD38-D03F-4956-9107-9F6ABD87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577</Words>
  <Characters>3291</Characters>
  <Application>Microsoft Office Word</Application>
  <DocSecurity>0</DocSecurity>
  <Lines>27</Lines>
  <Paragraphs>7</Paragraphs>
  <ScaleCrop>false</ScaleCrop>
  <Company>广电计量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Rainier</cp:lastModifiedBy>
  <cp:revision>20</cp:revision>
  <cp:lastPrinted>2020-05-14T08:58:00Z</cp:lastPrinted>
  <dcterms:created xsi:type="dcterms:W3CDTF">2020-05-12T08:14:00Z</dcterms:created>
  <dcterms:modified xsi:type="dcterms:W3CDTF">2020-05-14T10:33:00Z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