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BCBE8" w14:textId="0D780400" w:rsidR="00033858" w:rsidRPr="009B38EA" w:rsidRDefault="00D841A8" w:rsidP="00B41301">
      <w:pPr>
        <w:adjustRightInd w:val="0"/>
        <w:snapToGrid w:val="0"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9B38EA">
        <w:rPr>
          <w:rFonts w:ascii="Times New Roman" w:hAnsi="Times New Roman" w:hint="eastAsia"/>
          <w:kern w:val="0"/>
          <w:sz w:val="24"/>
          <w:szCs w:val="24"/>
        </w:rPr>
        <w:t>证券代码：</w:t>
      </w:r>
      <w:r w:rsidR="00C046C9">
        <w:rPr>
          <w:rFonts w:ascii="Times New Roman" w:hAnsi="Times New Roman"/>
          <w:kern w:val="0"/>
          <w:sz w:val="24"/>
          <w:szCs w:val="24"/>
        </w:rPr>
        <w:t>002957</w:t>
      </w:r>
      <w:r w:rsidRPr="009B38EA">
        <w:rPr>
          <w:rFonts w:ascii="Times New Roman" w:hAnsi="Times New Roman" w:hint="eastAsia"/>
          <w:kern w:val="0"/>
          <w:sz w:val="24"/>
          <w:szCs w:val="24"/>
        </w:rPr>
        <w:t xml:space="preserve">          </w:t>
      </w:r>
      <w:r w:rsidR="00C046C9">
        <w:rPr>
          <w:rFonts w:ascii="Times New Roman" w:hAnsi="Times New Roman" w:hint="eastAsia"/>
          <w:kern w:val="0"/>
          <w:sz w:val="24"/>
          <w:szCs w:val="24"/>
        </w:rPr>
        <w:t>证券简称：科瑞技术</w:t>
      </w:r>
      <w:r w:rsidRPr="009B38EA">
        <w:rPr>
          <w:rFonts w:ascii="Times New Roman" w:hAnsi="Times New Roman" w:hint="eastAsia"/>
          <w:kern w:val="0"/>
          <w:sz w:val="24"/>
          <w:szCs w:val="24"/>
        </w:rPr>
        <w:t xml:space="preserve">         </w:t>
      </w:r>
      <w:r w:rsidR="005A3777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5A3777"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9B38EA">
        <w:rPr>
          <w:rFonts w:ascii="Times New Roman" w:hAnsi="Times New Roman" w:hint="eastAsia"/>
          <w:kern w:val="0"/>
          <w:sz w:val="24"/>
          <w:szCs w:val="24"/>
        </w:rPr>
        <w:t>编号：</w:t>
      </w:r>
      <w:r w:rsidR="00C046C9">
        <w:rPr>
          <w:rFonts w:ascii="Times New Roman" w:hAnsi="Times New Roman"/>
          <w:kern w:val="0"/>
          <w:sz w:val="24"/>
          <w:szCs w:val="24"/>
        </w:rPr>
        <w:t>201</w:t>
      </w:r>
      <w:r w:rsidR="00C046C9" w:rsidRPr="005A3777">
        <w:rPr>
          <w:rFonts w:ascii="Times New Roman" w:hAnsi="Times New Roman"/>
          <w:kern w:val="0"/>
          <w:sz w:val="24"/>
          <w:szCs w:val="24"/>
        </w:rPr>
        <w:t>9</w:t>
      </w:r>
      <w:r w:rsidR="00C046C9" w:rsidRPr="005A3777">
        <w:rPr>
          <w:rFonts w:ascii="Times New Roman" w:hAnsi="Times New Roman" w:hint="eastAsia"/>
          <w:kern w:val="0"/>
          <w:sz w:val="24"/>
          <w:szCs w:val="24"/>
        </w:rPr>
        <w:t>-</w:t>
      </w:r>
      <w:r w:rsidR="00E07249" w:rsidRPr="005A3777">
        <w:rPr>
          <w:rFonts w:ascii="Times New Roman" w:hAnsi="Times New Roman"/>
          <w:kern w:val="0"/>
          <w:sz w:val="24"/>
          <w:szCs w:val="24"/>
        </w:rPr>
        <w:t>0</w:t>
      </w:r>
      <w:r w:rsidR="00EE43C2">
        <w:rPr>
          <w:rFonts w:ascii="Times New Roman" w:hAnsi="Times New Roman"/>
          <w:kern w:val="0"/>
          <w:sz w:val="24"/>
          <w:szCs w:val="24"/>
        </w:rPr>
        <w:t>25</w:t>
      </w:r>
    </w:p>
    <w:p w14:paraId="368A5CE5" w14:textId="77777777" w:rsidR="00B41301" w:rsidRPr="009B38EA" w:rsidRDefault="00B41301" w:rsidP="00B41301">
      <w:pPr>
        <w:adjustRightInd w:val="0"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</w:p>
    <w:p w14:paraId="751AA052" w14:textId="77777777" w:rsidR="00113663" w:rsidRPr="009B38EA" w:rsidRDefault="00C046C9" w:rsidP="00101848">
      <w:pPr>
        <w:adjustRightInd w:val="0"/>
        <w:snapToGrid w:val="0"/>
        <w:spacing w:line="360" w:lineRule="auto"/>
        <w:jc w:val="center"/>
        <w:rPr>
          <w:rFonts w:ascii="Times New Roman" w:hAnsi="Times New Roman" w:cstheme="minorBidi"/>
          <w:b/>
          <w:sz w:val="32"/>
          <w:szCs w:val="32"/>
        </w:rPr>
      </w:pPr>
      <w:r>
        <w:rPr>
          <w:rFonts w:ascii="Times New Roman" w:hAnsi="Times New Roman" w:cstheme="minorBidi" w:hint="eastAsia"/>
          <w:b/>
          <w:sz w:val="32"/>
          <w:szCs w:val="32"/>
        </w:rPr>
        <w:t>深圳科瑞技术股份有限公司</w:t>
      </w:r>
    </w:p>
    <w:p w14:paraId="19854F8B" w14:textId="77777777" w:rsidR="005D34E8" w:rsidRPr="009B38EA" w:rsidRDefault="00EF2CCE" w:rsidP="005D34E8">
      <w:pPr>
        <w:adjustRightInd w:val="0"/>
        <w:snapToGrid w:val="0"/>
        <w:spacing w:line="360" w:lineRule="auto"/>
        <w:jc w:val="center"/>
        <w:rPr>
          <w:rFonts w:ascii="Times New Roman" w:hAnsi="Times New Roman" w:cstheme="minorBidi"/>
          <w:b/>
          <w:sz w:val="32"/>
          <w:szCs w:val="32"/>
        </w:rPr>
      </w:pPr>
      <w:r w:rsidRPr="009B38EA">
        <w:rPr>
          <w:rFonts w:ascii="Times New Roman" w:hAnsi="Times New Roman" w:cstheme="minorBidi" w:hint="eastAsia"/>
          <w:b/>
          <w:sz w:val="32"/>
          <w:szCs w:val="32"/>
        </w:rPr>
        <w:t>投资者关系活动记录表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65"/>
        <w:gridCol w:w="2458"/>
        <w:gridCol w:w="1017"/>
        <w:gridCol w:w="3822"/>
      </w:tblGrid>
      <w:tr w:rsidR="00EF2CCE" w:rsidRPr="009B38EA" w14:paraId="389909EB" w14:textId="77777777" w:rsidTr="001F24C2">
        <w:trPr>
          <w:trHeight w:val="471"/>
          <w:jc w:val="center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54C0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投资者关系活动类别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507A4" w14:textId="11C8E069" w:rsidR="00EF2CCE" w:rsidRPr="00EE43C2" w:rsidRDefault="00EE43C2" w:rsidP="00EE43C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□</w:t>
            </w:r>
            <w:r w:rsidR="00EF2CCE" w:rsidRPr="00EE43C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特定对象调研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2F9C5" w14:textId="77777777" w:rsidR="00EF2CCE" w:rsidRPr="009B38EA" w:rsidRDefault="00EF2CCE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B038" w14:textId="2ED9C09D" w:rsidR="00EF2CCE" w:rsidRPr="009B38EA" w:rsidRDefault="00EE43C2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 xml:space="preserve">√ </w:t>
            </w:r>
            <w:r w:rsidR="00EF2CCE"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分析师会议</w:t>
            </w:r>
          </w:p>
        </w:tc>
      </w:tr>
      <w:tr w:rsidR="00EF2CCE" w:rsidRPr="009B38EA" w14:paraId="32B1BBCD" w14:textId="77777777" w:rsidTr="001F24C2">
        <w:trPr>
          <w:trHeight w:val="471"/>
          <w:jc w:val="center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157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34FB2" w14:textId="77777777" w:rsidR="00EF2CCE" w:rsidRPr="009B38EA" w:rsidRDefault="00EF2CCE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□媒体采访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3862" w14:textId="77777777" w:rsidR="00EF2CCE" w:rsidRPr="009B38EA" w:rsidRDefault="00EF2CCE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BD7A" w14:textId="77777777" w:rsidR="00EF2CCE" w:rsidRPr="009B38EA" w:rsidRDefault="00EF2CCE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□业绩说明会</w:t>
            </w:r>
          </w:p>
        </w:tc>
      </w:tr>
      <w:tr w:rsidR="00EF2CCE" w:rsidRPr="009B38EA" w14:paraId="62247216" w14:textId="77777777" w:rsidTr="001F24C2">
        <w:trPr>
          <w:trHeight w:val="471"/>
          <w:jc w:val="center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7013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E897A" w14:textId="77777777" w:rsidR="00EF2CCE" w:rsidRPr="009B38EA" w:rsidRDefault="00EF2CCE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□新闻发布会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D01D5" w14:textId="77777777" w:rsidR="00EF2CCE" w:rsidRPr="009B38EA" w:rsidRDefault="00EF2CCE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339B" w14:textId="77777777" w:rsidR="00EF2CCE" w:rsidRPr="009B38EA" w:rsidRDefault="00EF2CCE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□路演活动</w:t>
            </w:r>
          </w:p>
        </w:tc>
      </w:tr>
      <w:tr w:rsidR="00EF2CCE" w:rsidRPr="009B38EA" w14:paraId="3A1C4688" w14:textId="77777777" w:rsidTr="001F24C2">
        <w:trPr>
          <w:trHeight w:val="471"/>
          <w:jc w:val="center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9959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CBFA0" w14:textId="56968303" w:rsidR="00EF2CCE" w:rsidRPr="00EE43C2" w:rsidRDefault="00EE43C2" w:rsidP="00EE43C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□</w:t>
            </w:r>
            <w:r w:rsidR="00EF2CCE" w:rsidRPr="00EE43C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现场参观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04439" w14:textId="77777777" w:rsidR="00EF2CCE" w:rsidRPr="009B38EA" w:rsidRDefault="00EF2CCE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3C83" w14:textId="77777777" w:rsidR="00EF2CCE" w:rsidRPr="009B38EA" w:rsidRDefault="00B41301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□其他（请文字说明其他活动内容）</w:t>
            </w:r>
          </w:p>
        </w:tc>
      </w:tr>
      <w:tr w:rsidR="00EF2CCE" w:rsidRPr="009B38EA" w14:paraId="5FDA7B1D" w14:textId="77777777" w:rsidTr="00492884">
        <w:trPr>
          <w:trHeight w:val="1282"/>
          <w:jc w:val="center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9A2F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参与单位名称</w:t>
            </w:r>
          </w:p>
          <w:p w14:paraId="1C89E18E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及人员姓名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ECE50" w14:textId="2859CE6A" w:rsidR="00116FEA" w:rsidRPr="009B38EA" w:rsidRDefault="00116FEA" w:rsidP="00116FEA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共计</w:t>
            </w:r>
            <w:r w:rsidR="000A2A78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20</w:t>
            </w: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位</w:t>
            </w:r>
            <w:r w:rsidR="001F24C2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机构分析师、研究员、机构</w:t>
            </w: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投资者</w:t>
            </w:r>
            <w:r w:rsidR="001F24C2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代表</w:t>
            </w: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（</w:t>
            </w:r>
            <w:r w:rsidR="00E07249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排名不分先后</w:t>
            </w: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）：</w:t>
            </w:r>
          </w:p>
          <w:p w14:paraId="2FAB9377" w14:textId="7E13BB0B" w:rsidR="001E6B07" w:rsidRPr="001E6B07" w:rsidRDefault="00EE43C2" w:rsidP="00EE43C2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EE43C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兴业证券</w:t>
            </w:r>
            <w:r w:rsidR="001E6B07" w:rsidRPr="00003A2B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EE43C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李雅哲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、</w:t>
            </w:r>
            <w:r w:rsidRPr="00EE43C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李博彦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、</w:t>
            </w:r>
            <w:r w:rsidRPr="00EE43C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张亚滨</w:t>
            </w:r>
          </w:p>
          <w:p w14:paraId="175DC914" w14:textId="04D57565" w:rsidR="00003A2B" w:rsidRPr="00003A2B" w:rsidRDefault="00EE43C2" w:rsidP="00003A2B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EE43C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汇升投资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EE43C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许先扬</w:t>
            </w:r>
            <w:r w:rsidRPr="00EE43C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  <w:r w:rsidR="00003A2B" w:rsidRPr="00003A2B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       </w:t>
            </w:r>
            <w:r w:rsidR="000A2A78">
              <w:rPr>
                <w:rFonts w:ascii="Times New Roman" w:hAnsi="Times New Roman" w:cs="宋体"/>
                <w:color w:val="000000"/>
                <w:kern w:val="0"/>
                <w:sz w:val="22"/>
              </w:rPr>
              <w:t xml:space="preserve"> </w:t>
            </w:r>
            <w:r w:rsidR="000A2A78"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淳厚基金</w:t>
            </w:r>
            <w:r w:rsid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="000A2A78"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杨煜诚</w:t>
            </w:r>
          </w:p>
          <w:p w14:paraId="41A9386B" w14:textId="541C64E7" w:rsidR="000A2A78" w:rsidRDefault="000A2A78" w:rsidP="00003A2B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华商基金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梁勤之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 xml:space="preserve">        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新华基金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周晓东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</w:p>
          <w:p w14:paraId="242F07AB" w14:textId="73334755" w:rsidR="000A2A78" w:rsidRDefault="000A2A78" w:rsidP="00003A2B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渤海汇金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王雪莹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 xml:space="preserve">        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兴全基金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李扬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</w:p>
          <w:p w14:paraId="768B4C64" w14:textId="77777777" w:rsidR="000A2A78" w:rsidRDefault="000A2A78" w:rsidP="00003A2B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东海证券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刘俊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 xml:space="preserve">            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富国基金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吴栋栋</w:t>
            </w:r>
          </w:p>
          <w:p w14:paraId="2313FAA8" w14:textId="77777777" w:rsidR="000A2A78" w:rsidRDefault="000A2A78" w:rsidP="00003A2B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东方自营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惠博闻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 xml:space="preserve">    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嘉实基金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张丹华</w:t>
            </w:r>
          </w:p>
          <w:p w14:paraId="68E80570" w14:textId="11E1BF14" w:rsidR="000A2A78" w:rsidRDefault="000A2A78" w:rsidP="00003A2B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太平资管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徐纯波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 xml:space="preserve">       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南昌金融投资集团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巫寒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</w:p>
          <w:p w14:paraId="79544E26" w14:textId="54CB05FB" w:rsidR="000A2A78" w:rsidRDefault="000A2A78" w:rsidP="00003A2B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建信金融资产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胡文浩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 xml:space="preserve">    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国君自营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辛大伟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</w:p>
          <w:p w14:paraId="0BB162A0" w14:textId="7ED346BB" w:rsidR="000A2A78" w:rsidRDefault="000A2A78" w:rsidP="00003A2B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中邮基金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徐鸿博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 xml:space="preserve">        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中融基金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骆尖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</w:p>
          <w:p w14:paraId="3ABC2B6B" w14:textId="68298CB2" w:rsidR="001F24C2" w:rsidRPr="001F24C2" w:rsidRDefault="000A2A78" w:rsidP="00C829D9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国寿安保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闫阳</w:t>
            </w:r>
            <w:r w:rsidRPr="000A2A7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  <w:r w:rsidR="00457017">
              <w:rPr>
                <w:rFonts w:ascii="Times New Roman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EF2CCE" w:rsidRPr="009B38EA" w14:paraId="398E6250" w14:textId="77777777" w:rsidTr="00492884">
        <w:trPr>
          <w:trHeight w:val="422"/>
          <w:jc w:val="center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002B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时</w:t>
            </w: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间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D5C65" w14:textId="41D93469" w:rsidR="00EF2CCE" w:rsidRPr="009B38EA" w:rsidRDefault="00DC2DBF" w:rsidP="0007481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20</w:t>
            </w:r>
            <w:r w:rsidR="00B93E5A">
              <w:rPr>
                <w:rFonts w:ascii="Times New Roman" w:hAnsi="Times New Roman" w:cs="宋体"/>
                <w:color w:val="000000"/>
                <w:kern w:val="0"/>
                <w:sz w:val="22"/>
              </w:rPr>
              <w:t>20</w:t>
            </w:r>
            <w:r w:rsidR="00C046C9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 w:rsidR="00B93E5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5</w:t>
            </w:r>
            <w:r w:rsidR="00C046C9">
              <w:rPr>
                <w:rFonts w:ascii="Times New Roman" w:hAnsi="Times New Roman" w:cs="宋体"/>
                <w:color w:val="000000"/>
                <w:kern w:val="0"/>
                <w:sz w:val="22"/>
              </w:rPr>
              <w:t>月</w:t>
            </w:r>
            <w:r w:rsidR="0007481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  <w:r w:rsidR="00B93E5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2</w:t>
            </w:r>
            <w:r w:rsidR="00BA3727"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日</w:t>
            </w:r>
            <w:r w:rsidR="000F4670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1</w:t>
            </w:r>
            <w:r w:rsidR="00B93E5A">
              <w:rPr>
                <w:rFonts w:ascii="Times New Roman" w:hAnsi="Times New Roman" w:cs="宋体"/>
                <w:color w:val="000000"/>
                <w:kern w:val="0"/>
                <w:sz w:val="22"/>
              </w:rPr>
              <w:t>5</w:t>
            </w:r>
            <w:r w:rsidR="00C046C9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:0</w:t>
            </w:r>
            <w:r w:rsidR="00C046C9">
              <w:rPr>
                <w:rFonts w:ascii="Times New Roman" w:hAnsi="Times New Roman" w:cs="宋体"/>
                <w:color w:val="000000"/>
                <w:kern w:val="0"/>
                <w:sz w:val="22"/>
              </w:rPr>
              <w:t>0</w:t>
            </w:r>
            <w:r w:rsidR="00C046C9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1</w:t>
            </w:r>
            <w:r w:rsidR="00D60F1E">
              <w:rPr>
                <w:rFonts w:ascii="Times New Roman" w:hAnsi="Times New Roman" w:cs="宋体"/>
                <w:color w:val="000000"/>
                <w:kern w:val="0"/>
                <w:sz w:val="22"/>
              </w:rPr>
              <w:t>7</w:t>
            </w:r>
            <w:r w:rsidR="00BA3727"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:</w:t>
            </w:r>
            <w:r w:rsidR="00D60F1E">
              <w:rPr>
                <w:rFonts w:ascii="Times New Roman" w:hAnsi="Times New Roman" w:cs="宋体"/>
                <w:color w:val="000000"/>
                <w:kern w:val="0"/>
                <w:sz w:val="22"/>
              </w:rPr>
              <w:t>0</w:t>
            </w:r>
            <w:r w:rsidR="00BA3727"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F2CCE" w:rsidRPr="009B38EA" w14:paraId="2DF9856E" w14:textId="77777777" w:rsidTr="00492884">
        <w:trPr>
          <w:trHeight w:val="474"/>
          <w:jc w:val="center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65D0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地</w:t>
            </w: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点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4B2BC" w14:textId="3688B976" w:rsidR="00DC2DBF" w:rsidRPr="00DC2DBF" w:rsidRDefault="000A2A78" w:rsidP="001F24C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电话会议</w:t>
            </w:r>
            <w:bookmarkStart w:id="0" w:name="_GoBack"/>
            <w:bookmarkEnd w:id="0"/>
          </w:p>
        </w:tc>
      </w:tr>
      <w:tr w:rsidR="00EF2CCE" w:rsidRPr="009B38EA" w14:paraId="624CD39F" w14:textId="77777777" w:rsidTr="00EE43C2">
        <w:trPr>
          <w:trHeight w:val="474"/>
          <w:jc w:val="center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8A1A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上市公司接待人员姓名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6C0BD" w14:textId="7BA8630D" w:rsidR="00A83F3A" w:rsidRPr="009B38EA" w:rsidRDefault="0014576E" w:rsidP="0007481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/>
                <w:color w:val="000000"/>
                <w:kern w:val="0"/>
                <w:sz w:val="22"/>
              </w:rPr>
              <w:t>董事会秘书</w:t>
            </w:r>
            <w:r w:rsidR="00C046C9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：</w:t>
            </w:r>
            <w:r w:rsidR="00DC2DBF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李单单女士</w:t>
            </w:r>
          </w:p>
        </w:tc>
      </w:tr>
      <w:tr w:rsidR="00EF2CCE" w:rsidRPr="009B38EA" w14:paraId="4C3CB5C4" w14:textId="77777777" w:rsidTr="00492884">
        <w:trPr>
          <w:trHeight w:val="632"/>
          <w:jc w:val="center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671C" w14:textId="77777777" w:rsidR="00EF2CCE" w:rsidRPr="009B38EA" w:rsidRDefault="00EF2CCE" w:rsidP="00492884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投资者关系活动主要内容介绍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58A24" w14:textId="5FD35C8F" w:rsidR="000072D3" w:rsidRDefault="004844C3" w:rsidP="00186679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科瑞技术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成立于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2001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年，是中国较早设立的自动化公司，一直专注于自动化技术在先进制造领域的跨行业应用，经历了中国的工业自动化发展的重要阶段。公司刚设立的时候，业务主要是需要</w:t>
            </w:r>
            <w:r w:rsidR="00A0286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精度和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工艺</w:t>
            </w:r>
            <w:r w:rsidR="00A0286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要求较高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的硬盘行业，必须使用自动化</w:t>
            </w:r>
            <w:r w:rsid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设备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2008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年开始是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3C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行业的高速发展期，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2015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年之后是中国新能源行业高速发展</w:t>
            </w:r>
            <w:r w:rsidR="00A0286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期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，公司有机会陆续进入了相关业务。目前进入或者应用的下游行业包括移</w:t>
            </w:r>
            <w:r w:rsidR="000072D3" w:rsidRPr="000072D3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lastRenderedPageBreak/>
              <w:t>动终端、新能源、电子烟、汽车电子零部件、硬盘、医疗健康、物流、食品等行业，与所在行业的头部企业或领先品牌建立了持续与良好的合作关系。</w:t>
            </w:r>
          </w:p>
          <w:p w14:paraId="6591F0AC" w14:textId="06B6B244" w:rsidR="000072D3" w:rsidRDefault="004844C3" w:rsidP="00186679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科瑞技术</w:t>
            </w:r>
            <w:r w:rsidR="001B13F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能够进入多个行业，得益于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公司丰富的</w:t>
            </w:r>
            <w:r w:rsidR="001B13F6" w:rsidRPr="001B13F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技术储备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及</w:t>
            </w:r>
            <w:r w:rsidR="001571F8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项目实施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经验，在行业内获得客户较高的认可度</w:t>
            </w:r>
            <w:r w:rsidR="001B13F6" w:rsidRPr="001B13F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。新产品和前瞻性技术开发都是由行业的领导品牌所推动的。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而产品与技术的先进性，需要自动化公司的支持与配合。公司</w:t>
            </w:r>
            <w:r w:rsidR="001B13F6" w:rsidRPr="001B13F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的技术储备与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应用</w:t>
            </w:r>
            <w:r w:rsidR="001B13F6" w:rsidRPr="001B13F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能力，能够帮助客户进行新产品和新工艺的配合与开发。</w:t>
            </w:r>
            <w:r w:rsidR="004B58F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生产运行</w:t>
            </w:r>
            <w:r w:rsidR="00016149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、</w:t>
            </w:r>
            <w:r w:rsidR="004B58F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设备先行，</w:t>
            </w:r>
            <w:r w:rsidR="001B13F6" w:rsidRPr="001B13F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所有</w:t>
            </w:r>
            <w:r w:rsidR="004B58F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的</w:t>
            </w:r>
            <w:r w:rsidR="001B13F6" w:rsidRPr="001B13F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业务首先都是从非标</w:t>
            </w:r>
            <w:r w:rsidR="004B58F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自动化设备</w:t>
            </w:r>
            <w:r w:rsidR="001B13F6" w:rsidRPr="001B13F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开始</w:t>
            </w:r>
            <w:r w:rsidR="004B58F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行业龙头</w:t>
            </w:r>
            <w:r w:rsidR="001B13F6" w:rsidRPr="001B13F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客户的认可与合作机会给予科瑞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技术</w:t>
            </w:r>
            <w:r w:rsidR="001B13F6" w:rsidRPr="001B13F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进入多行业发展的机会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</w:t>
            </w:r>
          </w:p>
          <w:p w14:paraId="1D7B1A61" w14:textId="350BE6F1" w:rsidR="004844C3" w:rsidRDefault="00D60F1E" w:rsidP="00D60F1E">
            <w:pPr>
              <w:spacing w:line="360" w:lineRule="auto"/>
              <w:ind w:firstLineChars="200" w:firstLine="480"/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交流与问答内容</w:t>
            </w:r>
            <w:r w:rsidRPr="00457017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如下：</w:t>
            </w:r>
          </w:p>
          <w:p w14:paraId="67376A32" w14:textId="0AB61F1D" w:rsidR="00D5603A" w:rsidRPr="00186679" w:rsidRDefault="00D5464D" w:rsidP="00D371B1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Times New Roman" w:hAnsi="Times New Roman"/>
                <w:b/>
                <w:kern w:val="0"/>
                <w:sz w:val="24"/>
                <w:szCs w:val="24"/>
                <w:lang w:val="x-none"/>
              </w:rPr>
            </w:pPr>
            <w:r w:rsidRPr="00186679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问：</w:t>
            </w:r>
            <w:r w:rsidR="00D371B1" w:rsidRPr="00D371B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2019</w:t>
            </w:r>
            <w:r w:rsidR="00D371B1" w:rsidRPr="00D371B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年</w:t>
            </w:r>
            <w:r w:rsidR="00D371B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公司</w:t>
            </w:r>
            <w:r w:rsidR="00D371B1" w:rsidRPr="00D371B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经营情况的亮点？</w:t>
            </w:r>
            <w:r w:rsidR="00D371B1" w:rsidRPr="00D371B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2020</w:t>
            </w:r>
            <w:r w:rsidR="00D371B1" w:rsidRPr="00D371B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年第一季度的</w:t>
            </w:r>
            <w:r w:rsidR="00D371B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经营</w:t>
            </w:r>
            <w:r w:rsidR="00D371B1" w:rsidRPr="00D371B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情况</w:t>
            </w:r>
            <w:r w:rsidR="00D371B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的分析及第二季度的业绩</w:t>
            </w:r>
            <w:r w:rsidR="00D371B1" w:rsidRPr="00D371B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预期？</w:t>
            </w:r>
          </w:p>
          <w:p w14:paraId="53F1ED69" w14:textId="7E212356" w:rsidR="00D5603A" w:rsidRDefault="00D5603A" w:rsidP="00D5464D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  <w:r w:rsidRPr="00D5603A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答：</w:t>
            </w:r>
            <w:r w:rsidR="003418A2" w:rsidRPr="003418A2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2019</w:t>
            </w:r>
            <w:r w:rsidR="003418A2" w:rsidRPr="003418A2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年公司对大客户的依赖在进一步的下降，整体毛利率保持稳定。同时内销</w:t>
            </w:r>
            <w:r w:rsidR="00A0286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也在公司主动的运营活动下逐步</w:t>
            </w:r>
            <w:r w:rsidR="003418A2" w:rsidRPr="003418A2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增长，内、外销的收入比重趋于均衡。另外，延续公司一贯的经营特征，公司现金流的状况是非常</w:t>
            </w:r>
            <w:r w:rsidR="00A0286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健康</w:t>
            </w:r>
            <w:r w:rsidR="003418A2" w:rsidRPr="003418A2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。通过加强内部管理改进，库存周转率也表现不错。</w:t>
            </w:r>
            <w:r w:rsidR="003418A2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2020</w:t>
            </w:r>
            <w:r w:rsidR="003418A2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年第一季度业绩主要是受到今年</w:t>
            </w:r>
            <w:r w:rsidR="003418A2" w:rsidRPr="003418A2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春节假期较早，一月份实际生产交付订单较少，二月受疫情对复工复产、供应链恢复缓慢的影响，公司生产与订单交付均有延迟的情况。三月初开始逐步进行产</w:t>
            </w:r>
            <w:r w:rsidR="003418A2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品交付，由于产品需要验收后进入收入确认程序，需要一定的时间周期等综合因素的影响</w:t>
            </w:r>
            <w:r w:rsidR="00D5464D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</w:t>
            </w:r>
            <w:r w:rsidR="0040558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目前公司产能饱满、订单充足，一季度</w:t>
            </w:r>
            <w:r w:rsidR="004862E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延迟的</w:t>
            </w:r>
            <w:r w:rsidR="0040558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订单</w:t>
            </w:r>
            <w:r w:rsidR="004862E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需求</w:t>
            </w:r>
            <w:r w:rsidR="0040558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开始释放</w:t>
            </w:r>
            <w:r w:rsidR="00A0286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，二季度生产经营与交付任务均非常饱满，预计可以较大程度补回一季度延迟的订单</w:t>
            </w:r>
            <w:r w:rsidR="0040558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</w:t>
            </w:r>
          </w:p>
          <w:p w14:paraId="620ABA54" w14:textId="77777777" w:rsidR="00186679" w:rsidRPr="00A02860" w:rsidRDefault="00186679" w:rsidP="00D5464D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</w:p>
          <w:p w14:paraId="09A79658" w14:textId="798D8EE7" w:rsidR="00D5603A" w:rsidRPr="00D5464D" w:rsidRDefault="00D5464D" w:rsidP="00702726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Times New Roman" w:hAnsi="Times New Roman"/>
                <w:b/>
                <w:kern w:val="0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问：</w:t>
            </w:r>
            <w:r w:rsidR="00702726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公司在技术发展、行业应用上有什么特点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？</w:t>
            </w:r>
          </w:p>
          <w:p w14:paraId="26AC7E2F" w14:textId="508F6E4C" w:rsidR="00831163" w:rsidRPr="00783975" w:rsidRDefault="00D5603A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  <w:r w:rsidRPr="00D5603A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答：</w:t>
            </w:r>
            <w:r w:rsidR="00702726" w:rsidRPr="0070272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从技术角度来说，公司在机器视觉与光学精密传感测控、运动控制器、机器人软件、精密机械设计这五个领域</w:t>
            </w:r>
            <w:r w:rsidR="00A0286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技术把握和运</w:t>
            </w:r>
            <w:r w:rsidR="00A0286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lastRenderedPageBreak/>
              <w:t>用能力较为全面</w:t>
            </w:r>
            <w:r w:rsidR="00702726" w:rsidRPr="0070272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。运用这些基础技术，</w:t>
            </w:r>
            <w:r w:rsidR="00190094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结合各领域的</w:t>
            </w:r>
            <w:r w:rsidR="00A0286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实际需求，</w:t>
            </w:r>
            <w:r w:rsidR="00190094" w:rsidRPr="00190094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公司自主开发了各行业应用技术平台，包括应用于移动终端行业的智能测控技术</w:t>
            </w:r>
            <w:r w:rsidR="00190094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；</w:t>
            </w:r>
            <w:r w:rsidR="00190094" w:rsidRPr="00190094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应用于新能源锂电行业的精密控制技术；应用于医疗、食品等行业的高速、高精度灌装技术；应用于硬盘行业、汽车电子电气模组与电子烟等行业的精密零部件、柔性材料高速高精度装配技术等。在共性技术平台上，公司加大了在</w:t>
            </w:r>
            <w:r w:rsidR="00190094" w:rsidRPr="00190094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AOI</w:t>
            </w:r>
            <w:r w:rsidR="00190094" w:rsidRPr="00190094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（自动光学检测）视觉技术、高速自动化技术、精密测控技术与数字智能互联四大技术平台的持续投入。</w:t>
            </w:r>
          </w:p>
          <w:p w14:paraId="60F1510F" w14:textId="77777777" w:rsidR="00D5464D" w:rsidRPr="00D5603A" w:rsidRDefault="00D5464D" w:rsidP="00D5464D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</w:p>
          <w:p w14:paraId="24BF8577" w14:textId="5E6C85E6" w:rsidR="00D5603A" w:rsidRPr="00D5464D" w:rsidRDefault="00683E13" w:rsidP="00702726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Times New Roman" w:hAnsi="Times New Roman"/>
                <w:b/>
                <w:kern w:val="0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问：</w:t>
            </w:r>
            <w:r w:rsidR="00702726" w:rsidRPr="00702726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公司对自动化产业发展的预期</w:t>
            </w:r>
            <w:r w:rsidR="00D5603A" w:rsidRPr="00D5464D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？</w:t>
            </w:r>
          </w:p>
          <w:p w14:paraId="626FF7FA" w14:textId="555C96C2" w:rsidR="00D5603A" w:rsidRDefault="00D5603A" w:rsidP="00D5464D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  <w:r w:rsidRPr="00D5603A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答：</w:t>
            </w:r>
            <w:r w:rsidR="00702726" w:rsidRPr="0070272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工业自动化是制造能力的重要构成，是产业升级非常重要的基础环节。要实现智能制造，必须通过设备自动化率提升，再逐步地实现</w:t>
            </w:r>
            <w:r w:rsidR="00A0286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自动化生产线</w:t>
            </w:r>
            <w:r w:rsidR="00702726" w:rsidRPr="00702726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，最终形成智慧工厂形态。工业自动化千差万别，不同的产品、不同的管理方式，对自动化的需求模式不一样，这是一个循序渐进的过程</w:t>
            </w:r>
            <w:r w:rsidRPr="00D5603A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</w:t>
            </w:r>
          </w:p>
          <w:p w14:paraId="71DBBBBA" w14:textId="395B703C" w:rsidR="00705855" w:rsidRPr="00705855" w:rsidRDefault="00705855" w:rsidP="00705855">
            <w:pPr>
              <w:pStyle w:val="a5"/>
              <w:spacing w:line="360" w:lineRule="auto"/>
              <w:ind w:left="360" w:firstLine="48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经过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过去十年的时间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积累和发展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，未来十年中国工业自动化发展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将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从局部缓慢发展进入了快速多领域发展</w:t>
            </w:r>
            <w:r w:rsidR="00353C1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阶段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由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技术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驱动带来的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各行业发展</w:t>
            </w:r>
            <w:r w:rsidR="00353C1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特点将会越来越明显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简单来说，各行业的自动化发展特点如下</w:t>
            </w:r>
            <w:r w:rsidRPr="00D60F1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：一是各产业轮动发展。从</w:t>
            </w:r>
            <w:r w:rsidRPr="00D60F1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3C</w:t>
            </w:r>
            <w:r w:rsidRPr="00D60F1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、新能源、光伏、</w:t>
            </w:r>
            <w:r w:rsidRPr="00D60F1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OLED</w:t>
            </w:r>
            <w:r w:rsidRPr="00D60F1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、芯片等战略新兴行业，到传统产品技术升级改造，各行业的自动化进程都将获得突破；二是贸易</w:t>
            </w:r>
            <w:r w:rsidR="00353C1F" w:rsidRPr="00D60F1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摩擦</w:t>
            </w:r>
            <w:r w:rsidRPr="00D60F1E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背景下国产化替代的诉求</w:t>
            </w:r>
            <w:r w:rsidRPr="009D7410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；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三是</w:t>
            </w:r>
            <w:r w:rsidR="00353C1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平台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技术的导入加速自动化应用普及。例如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5G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互联网数字化等技术，推动各行业加快自动化应用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；最后是以特殊事件表征所带来的行业发展的影响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，加速中国自动化发展。例如在本次疫情情况下，短期内对自动化行业的影响，未来对该行业的更为迫切的需求与促进。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总体而言，</w:t>
            </w:r>
            <w:r w:rsidRPr="0070585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在这样的时代背景下，中国工业自动化发展机会大有可为。</w:t>
            </w:r>
          </w:p>
          <w:p w14:paraId="7C89122D" w14:textId="77777777" w:rsidR="00D5464D" w:rsidRPr="00705855" w:rsidRDefault="00D5464D" w:rsidP="00D5464D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</w:p>
          <w:p w14:paraId="318B38D1" w14:textId="2827AAC8" w:rsidR="00D5603A" w:rsidRPr="003E3208" w:rsidRDefault="003E3208" w:rsidP="00702726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Times New Roman" w:hAnsi="Times New Roman"/>
                <w:b/>
                <w:kern w:val="0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问：</w:t>
            </w:r>
            <w:r w:rsidR="00702726" w:rsidRPr="00702726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精密零部件和夹模具业务与自动化业务之间的关系</w:t>
            </w:r>
            <w:r w:rsidR="0033080B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。</w:t>
            </w:r>
          </w:p>
          <w:p w14:paraId="450F7621" w14:textId="4BC74F3B" w:rsidR="00D5603A" w:rsidRDefault="00D5603A" w:rsidP="003E3208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  <w:r w:rsidRPr="00D5603A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lastRenderedPageBreak/>
              <w:t>答：</w:t>
            </w:r>
            <w:r w:rsidR="004862EF" w:rsidRPr="004862E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精密零部件是自动化、精密设备的基础</w:t>
            </w:r>
            <w:r w:rsidR="00353C1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部件</w:t>
            </w:r>
            <w:r w:rsidR="004862EF" w:rsidRPr="004862E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。公司早期做硬盘行业设备的时候，高精度零部件在市场上很难去购买，自</w:t>
            </w:r>
            <w:r w:rsidR="00353C1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制</w:t>
            </w:r>
            <w:r w:rsidR="004862EF" w:rsidRPr="004862E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可以满足内需，同时也可以对外拓展产品和服务</w:t>
            </w:r>
            <w:r w:rsidRPr="00D5603A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</w:t>
            </w:r>
            <w:r w:rsidR="00353C1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目前，公司有计划在这个领域增加投入</w:t>
            </w:r>
            <w:r w:rsidR="001D1DC7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、</w:t>
            </w:r>
            <w:r w:rsidR="00353C1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扩大规模。</w:t>
            </w:r>
          </w:p>
          <w:p w14:paraId="7D339F69" w14:textId="77777777" w:rsidR="00D5464D" w:rsidRPr="00D5603A" w:rsidRDefault="00D5464D" w:rsidP="003E3208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</w:p>
          <w:p w14:paraId="40776DAA" w14:textId="1BA173CE" w:rsidR="00D5603A" w:rsidRPr="003E3208" w:rsidRDefault="003E3208" w:rsidP="004862EF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Times New Roman" w:hAnsi="Times New Roman"/>
                <w:b/>
                <w:kern w:val="0"/>
                <w:sz w:val="24"/>
                <w:szCs w:val="24"/>
                <w:lang w:val="x-none"/>
              </w:rPr>
            </w:pPr>
            <w:r w:rsidRPr="003E3208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问：</w:t>
            </w:r>
            <w:r w:rsidR="004862EF" w:rsidRPr="004862EF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公司自动化设备配件业务毛利率比较高的原因</w:t>
            </w:r>
            <w:r w:rsidR="00D5603A" w:rsidRPr="003E3208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？</w:t>
            </w:r>
          </w:p>
          <w:p w14:paraId="40B6E99A" w14:textId="4039C129" w:rsidR="00D5603A" w:rsidRDefault="00D5603A" w:rsidP="003E3208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  <w:r w:rsidRPr="00D5603A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答：</w:t>
            </w:r>
            <w:r w:rsidR="004862EF" w:rsidRPr="004862E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配件类属于自动化设备的辅助性产品。设备更新替换或者是售后服务的时候，</w:t>
            </w:r>
            <w:r w:rsidR="001D1DC7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会有</w:t>
            </w:r>
            <w:r w:rsidR="004862EF" w:rsidRPr="004862E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附加服务性的成本，所以毛利率会略高</w:t>
            </w:r>
            <w:r w:rsidRPr="008C6B05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</w:t>
            </w:r>
          </w:p>
          <w:p w14:paraId="442C806D" w14:textId="77777777" w:rsidR="00D5464D" w:rsidRPr="00D5603A" w:rsidRDefault="00D5464D" w:rsidP="003E3208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</w:p>
          <w:p w14:paraId="7A47BA5F" w14:textId="7E0828B4" w:rsidR="00D5603A" w:rsidRPr="003E3208" w:rsidRDefault="003E3208" w:rsidP="004862EF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Times New Roman" w:hAnsi="Times New Roman"/>
                <w:b/>
                <w:kern w:val="0"/>
                <w:sz w:val="24"/>
                <w:szCs w:val="24"/>
                <w:lang w:val="x-none"/>
              </w:rPr>
            </w:pPr>
            <w:r w:rsidRPr="003E3208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问：</w:t>
            </w:r>
            <w:r w:rsidR="004862EF" w:rsidRPr="004862EF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公司如何看待电子烟业务</w:t>
            </w:r>
            <w:r w:rsidRPr="003E3208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？</w:t>
            </w:r>
          </w:p>
          <w:p w14:paraId="2CC5DA7B" w14:textId="7FFC36E4" w:rsidR="00D5603A" w:rsidRDefault="00D5603A" w:rsidP="003E3208">
            <w:pPr>
              <w:pStyle w:val="a5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  <w:r w:rsidRPr="00D5603A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答：</w:t>
            </w:r>
            <w:r w:rsidR="004862EF" w:rsidRPr="004862E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电子烟监管政</w:t>
            </w:r>
            <w:r w:rsidR="004862EF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策趋严是大趋势，但这个行业不会彻底消失，公司还在做多方面的尝试</w:t>
            </w:r>
            <w:r w:rsidRPr="00D5603A">
              <w:rPr>
                <w:rFonts w:ascii="Times New Roman" w:hAnsi="Times New Roman" w:hint="eastAsia"/>
                <w:kern w:val="0"/>
                <w:sz w:val="24"/>
                <w:szCs w:val="24"/>
                <w:lang w:val="x-none"/>
              </w:rPr>
              <w:t>。</w:t>
            </w:r>
          </w:p>
          <w:p w14:paraId="4179FEEF" w14:textId="77777777" w:rsidR="0011764B" w:rsidRPr="001D7518" w:rsidRDefault="0011764B" w:rsidP="001D7518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x-none"/>
              </w:rPr>
            </w:pPr>
            <w:bookmarkStart w:id="1" w:name="_Toc496957079"/>
          </w:p>
          <w:bookmarkEnd w:id="1"/>
          <w:p w14:paraId="340F5BAC" w14:textId="661B1257" w:rsidR="00EF2CCE" w:rsidRPr="00F55A31" w:rsidRDefault="0014576E" w:rsidP="004862EF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  <w:lang w:val="x-none"/>
              </w:rPr>
            </w:pPr>
            <w:r w:rsidRPr="00F55A3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接待过程中，公司与投资者进行了充分的交流与沟通，并严格按照公司《信息披露管理制度》等规定，保证信息披露的</w:t>
            </w:r>
            <w:r w:rsidR="004862EF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真实、准确、完整、及时、公平，没有出现未公开重大信息泄露等情况</w:t>
            </w:r>
            <w:r w:rsidRPr="00F55A31">
              <w:rPr>
                <w:rFonts w:ascii="Times New Roman" w:hAnsi="Times New Roman" w:hint="eastAsia"/>
                <w:b/>
                <w:kern w:val="0"/>
                <w:sz w:val="24"/>
                <w:szCs w:val="24"/>
                <w:lang w:val="x-none"/>
              </w:rPr>
              <w:t>。</w:t>
            </w:r>
          </w:p>
        </w:tc>
      </w:tr>
      <w:tr w:rsidR="00EF2CCE" w:rsidRPr="009B38EA" w14:paraId="3D6171A9" w14:textId="77777777" w:rsidTr="00492884">
        <w:trPr>
          <w:trHeight w:val="632"/>
          <w:jc w:val="center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09B4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lastRenderedPageBreak/>
              <w:t>附件清单（如有）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F0EA3" w14:textId="77777777" w:rsidR="00EF2CCE" w:rsidRPr="009B38EA" w:rsidRDefault="00EF2CCE" w:rsidP="00B41301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EF2CCE" w:rsidRPr="009B38EA" w14:paraId="5BD7F86A" w14:textId="77777777" w:rsidTr="00492884">
        <w:trPr>
          <w:trHeight w:val="632"/>
          <w:jc w:val="center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3057" w14:textId="77777777" w:rsidR="00EF2CCE" w:rsidRPr="009B38EA" w:rsidRDefault="00EF2CCE" w:rsidP="00B41301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9B38EA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5728B" w14:textId="59BE087A" w:rsidR="00EF2CCE" w:rsidRPr="009B38EA" w:rsidRDefault="001E2320" w:rsidP="001E2320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0</w:t>
            </w:r>
            <w:r w:rsidR="00B93E5A">
              <w:rPr>
                <w:rFonts w:ascii="Times New Roman" w:hAnsi="Times New Roman" w:cs="宋体"/>
                <w:color w:val="000000"/>
                <w:kern w:val="0"/>
                <w:sz w:val="22"/>
              </w:rPr>
              <w:t>20</w:t>
            </w:r>
            <w:r w:rsidR="00D841A8"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 w:rsidR="00B93E5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5</w:t>
            </w:r>
            <w:r w:rsidR="00D841A8"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</w:t>
            </w:r>
            <w:r w:rsidR="00D5464D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  <w:r w:rsidR="00B93E5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2</w:t>
            </w:r>
            <w:r w:rsidR="00D841A8" w:rsidRPr="009B38EA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0761E403" w14:textId="77777777" w:rsidR="005D3839" w:rsidRPr="009B38EA" w:rsidRDefault="005D3839" w:rsidP="00B41301">
      <w:pPr>
        <w:spacing w:line="360" w:lineRule="auto"/>
        <w:rPr>
          <w:rFonts w:ascii="Times New Roman" w:hAnsi="Times New Roman"/>
        </w:rPr>
      </w:pPr>
    </w:p>
    <w:sectPr w:rsidR="005D3839" w:rsidRPr="009B38EA" w:rsidSect="00E07249">
      <w:pgSz w:w="11906" w:h="16838"/>
      <w:pgMar w:top="156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2D264" w14:textId="77777777" w:rsidR="00BD6D32" w:rsidRDefault="00BD6D32" w:rsidP="005F0142">
      <w:r>
        <w:separator/>
      </w:r>
    </w:p>
  </w:endnote>
  <w:endnote w:type="continuationSeparator" w:id="0">
    <w:p w14:paraId="49E041BE" w14:textId="77777777" w:rsidR="00BD6D32" w:rsidRDefault="00BD6D32" w:rsidP="005F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9886" w14:textId="77777777" w:rsidR="00BD6D32" w:rsidRDefault="00BD6D32" w:rsidP="005F0142">
      <w:r>
        <w:separator/>
      </w:r>
    </w:p>
  </w:footnote>
  <w:footnote w:type="continuationSeparator" w:id="0">
    <w:p w14:paraId="009BC4F1" w14:textId="77777777" w:rsidR="00BD6D32" w:rsidRDefault="00BD6D32" w:rsidP="005F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6E0F"/>
    <w:multiLevelType w:val="hybridMultilevel"/>
    <w:tmpl w:val="C5D2C618"/>
    <w:lvl w:ilvl="0" w:tplc="B50AED94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B93781"/>
    <w:multiLevelType w:val="hybridMultilevel"/>
    <w:tmpl w:val="6EB0C762"/>
    <w:lvl w:ilvl="0" w:tplc="D6006238">
      <w:start w:val="3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632707"/>
    <w:multiLevelType w:val="hybridMultilevel"/>
    <w:tmpl w:val="E30268A6"/>
    <w:lvl w:ilvl="0" w:tplc="763EB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02650"/>
    <w:multiLevelType w:val="hybridMultilevel"/>
    <w:tmpl w:val="F0D6D19E"/>
    <w:lvl w:ilvl="0" w:tplc="1DD61A96">
      <w:start w:val="1"/>
      <w:numFmt w:val="japaneseCounting"/>
      <w:lvlText w:val="%1、"/>
      <w:lvlJc w:val="left"/>
      <w:pPr>
        <w:ind w:left="450" w:hanging="45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E975E7"/>
    <w:multiLevelType w:val="singleLevel"/>
    <w:tmpl w:val="1AF23E4C"/>
    <w:lvl w:ilvl="0">
      <w:start w:val="1"/>
      <w:numFmt w:val="decimal"/>
      <w:suff w:val="nothing"/>
      <w:lvlText w:val="%1、"/>
      <w:lvlJc w:val="left"/>
      <w:rPr>
        <w:lang w:val="x-none"/>
      </w:rPr>
    </w:lvl>
  </w:abstractNum>
  <w:abstractNum w:abstractNumId="5" w15:restartNumberingAfterBreak="0">
    <w:nsid w:val="58876A85"/>
    <w:multiLevelType w:val="hybridMultilevel"/>
    <w:tmpl w:val="2862A842"/>
    <w:lvl w:ilvl="0" w:tplc="04C097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 w15:restartNumberingAfterBreak="0">
    <w:nsid w:val="5967064F"/>
    <w:multiLevelType w:val="hybridMultilevel"/>
    <w:tmpl w:val="B5E0F854"/>
    <w:lvl w:ilvl="0" w:tplc="D812DC5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904F86"/>
    <w:multiLevelType w:val="hybridMultilevel"/>
    <w:tmpl w:val="A336B6C0"/>
    <w:lvl w:ilvl="0" w:tplc="592C4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FE62369"/>
    <w:multiLevelType w:val="hybridMultilevel"/>
    <w:tmpl w:val="F970D00C"/>
    <w:lvl w:ilvl="0" w:tplc="F21CC04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E205FA"/>
    <w:multiLevelType w:val="hybridMultilevel"/>
    <w:tmpl w:val="E29E82D2"/>
    <w:lvl w:ilvl="0" w:tplc="4C3270F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E70BA"/>
    <w:multiLevelType w:val="hybridMultilevel"/>
    <w:tmpl w:val="7F9E73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244BE1"/>
    <w:multiLevelType w:val="hybridMultilevel"/>
    <w:tmpl w:val="B9C41B2C"/>
    <w:lvl w:ilvl="0" w:tplc="57B41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8"/>
    <w:rsid w:val="00003A2B"/>
    <w:rsid w:val="000072D3"/>
    <w:rsid w:val="0001124C"/>
    <w:rsid w:val="00016149"/>
    <w:rsid w:val="00023C28"/>
    <w:rsid w:val="00033858"/>
    <w:rsid w:val="000366D1"/>
    <w:rsid w:val="00041D47"/>
    <w:rsid w:val="00052757"/>
    <w:rsid w:val="00074812"/>
    <w:rsid w:val="00076770"/>
    <w:rsid w:val="00082C68"/>
    <w:rsid w:val="00084149"/>
    <w:rsid w:val="00092C2A"/>
    <w:rsid w:val="000A190F"/>
    <w:rsid w:val="000A2A78"/>
    <w:rsid w:val="000E4E52"/>
    <w:rsid w:val="000F3E9F"/>
    <w:rsid w:val="000F4670"/>
    <w:rsid w:val="00101848"/>
    <w:rsid w:val="00113663"/>
    <w:rsid w:val="00116FEA"/>
    <w:rsid w:val="0011764B"/>
    <w:rsid w:val="00135F75"/>
    <w:rsid w:val="0014576E"/>
    <w:rsid w:val="001571F8"/>
    <w:rsid w:val="00157744"/>
    <w:rsid w:val="001577F0"/>
    <w:rsid w:val="00181E05"/>
    <w:rsid w:val="00186679"/>
    <w:rsid w:val="00190094"/>
    <w:rsid w:val="0019380B"/>
    <w:rsid w:val="001A6DEF"/>
    <w:rsid w:val="001B13F6"/>
    <w:rsid w:val="001C6B56"/>
    <w:rsid w:val="001D1DC7"/>
    <w:rsid w:val="001D5D92"/>
    <w:rsid w:val="001D7518"/>
    <w:rsid w:val="001E2320"/>
    <w:rsid w:val="001E6B07"/>
    <w:rsid w:val="001F1136"/>
    <w:rsid w:val="001F24C2"/>
    <w:rsid w:val="00205E56"/>
    <w:rsid w:val="002172C7"/>
    <w:rsid w:val="00237CAF"/>
    <w:rsid w:val="0024754C"/>
    <w:rsid w:val="00266237"/>
    <w:rsid w:val="00277AE0"/>
    <w:rsid w:val="00286566"/>
    <w:rsid w:val="00290BA3"/>
    <w:rsid w:val="002A2B44"/>
    <w:rsid w:val="002B0787"/>
    <w:rsid w:val="002B41AE"/>
    <w:rsid w:val="002E576F"/>
    <w:rsid w:val="0033080B"/>
    <w:rsid w:val="003418A2"/>
    <w:rsid w:val="00353C1F"/>
    <w:rsid w:val="00360B05"/>
    <w:rsid w:val="0036558E"/>
    <w:rsid w:val="00391A6E"/>
    <w:rsid w:val="003C64DC"/>
    <w:rsid w:val="003E3208"/>
    <w:rsid w:val="003F5FA7"/>
    <w:rsid w:val="003F7009"/>
    <w:rsid w:val="00405585"/>
    <w:rsid w:val="00457017"/>
    <w:rsid w:val="00466E41"/>
    <w:rsid w:val="00470644"/>
    <w:rsid w:val="004844C3"/>
    <w:rsid w:val="004862EF"/>
    <w:rsid w:val="004873B3"/>
    <w:rsid w:val="00492884"/>
    <w:rsid w:val="00496982"/>
    <w:rsid w:val="004B58FE"/>
    <w:rsid w:val="004C24C1"/>
    <w:rsid w:val="004C5F8A"/>
    <w:rsid w:val="004E416C"/>
    <w:rsid w:val="0052105D"/>
    <w:rsid w:val="005254AC"/>
    <w:rsid w:val="00527819"/>
    <w:rsid w:val="00532385"/>
    <w:rsid w:val="00534DA5"/>
    <w:rsid w:val="005369B4"/>
    <w:rsid w:val="00547AC7"/>
    <w:rsid w:val="005733EF"/>
    <w:rsid w:val="00585EF9"/>
    <w:rsid w:val="005A3777"/>
    <w:rsid w:val="005A550D"/>
    <w:rsid w:val="005B26D8"/>
    <w:rsid w:val="005D34E8"/>
    <w:rsid w:val="005D3839"/>
    <w:rsid w:val="005E2421"/>
    <w:rsid w:val="005F0142"/>
    <w:rsid w:val="005F6409"/>
    <w:rsid w:val="0060650A"/>
    <w:rsid w:val="00622622"/>
    <w:rsid w:val="00622A2E"/>
    <w:rsid w:val="006567D9"/>
    <w:rsid w:val="00681A57"/>
    <w:rsid w:val="00683E13"/>
    <w:rsid w:val="00696A43"/>
    <w:rsid w:val="006A2CB6"/>
    <w:rsid w:val="006B0321"/>
    <w:rsid w:val="006B4030"/>
    <w:rsid w:val="006B59BA"/>
    <w:rsid w:val="006C1DF5"/>
    <w:rsid w:val="006F5E5A"/>
    <w:rsid w:val="006F7998"/>
    <w:rsid w:val="00702726"/>
    <w:rsid w:val="00702D62"/>
    <w:rsid w:val="00705855"/>
    <w:rsid w:val="007128EF"/>
    <w:rsid w:val="00713477"/>
    <w:rsid w:val="00746D84"/>
    <w:rsid w:val="00774A4C"/>
    <w:rsid w:val="00783975"/>
    <w:rsid w:val="00787A22"/>
    <w:rsid w:val="007925DC"/>
    <w:rsid w:val="007B0B3F"/>
    <w:rsid w:val="007D2D43"/>
    <w:rsid w:val="007D58BA"/>
    <w:rsid w:val="007E1019"/>
    <w:rsid w:val="0080049C"/>
    <w:rsid w:val="0082077F"/>
    <w:rsid w:val="00831163"/>
    <w:rsid w:val="008630C2"/>
    <w:rsid w:val="00865809"/>
    <w:rsid w:val="00876A84"/>
    <w:rsid w:val="008776B5"/>
    <w:rsid w:val="00884A89"/>
    <w:rsid w:val="008A31F7"/>
    <w:rsid w:val="008A6128"/>
    <w:rsid w:val="008C6B05"/>
    <w:rsid w:val="009348CF"/>
    <w:rsid w:val="00945307"/>
    <w:rsid w:val="009521E9"/>
    <w:rsid w:val="009854CF"/>
    <w:rsid w:val="009B38EA"/>
    <w:rsid w:val="009D24AA"/>
    <w:rsid w:val="009D7410"/>
    <w:rsid w:val="009E5EC8"/>
    <w:rsid w:val="00A02860"/>
    <w:rsid w:val="00A12A1D"/>
    <w:rsid w:val="00A309BF"/>
    <w:rsid w:val="00A47D75"/>
    <w:rsid w:val="00A62B66"/>
    <w:rsid w:val="00A83F3A"/>
    <w:rsid w:val="00A84FBB"/>
    <w:rsid w:val="00AA3126"/>
    <w:rsid w:val="00AA4897"/>
    <w:rsid w:val="00AB113F"/>
    <w:rsid w:val="00AC2B83"/>
    <w:rsid w:val="00AE339E"/>
    <w:rsid w:val="00AF0832"/>
    <w:rsid w:val="00AF6ACB"/>
    <w:rsid w:val="00AF79C5"/>
    <w:rsid w:val="00B27ACB"/>
    <w:rsid w:val="00B41301"/>
    <w:rsid w:val="00B65CBA"/>
    <w:rsid w:val="00B93E5A"/>
    <w:rsid w:val="00BA3727"/>
    <w:rsid w:val="00BA39F4"/>
    <w:rsid w:val="00BD3C88"/>
    <w:rsid w:val="00BD3E3B"/>
    <w:rsid w:val="00BD6D32"/>
    <w:rsid w:val="00BF2D6A"/>
    <w:rsid w:val="00BF2F92"/>
    <w:rsid w:val="00C046C9"/>
    <w:rsid w:val="00C0628A"/>
    <w:rsid w:val="00C30E1C"/>
    <w:rsid w:val="00C829D9"/>
    <w:rsid w:val="00C908F5"/>
    <w:rsid w:val="00CB7FA4"/>
    <w:rsid w:val="00CC3163"/>
    <w:rsid w:val="00CD0E70"/>
    <w:rsid w:val="00CE1276"/>
    <w:rsid w:val="00D059AA"/>
    <w:rsid w:val="00D36222"/>
    <w:rsid w:val="00D3630C"/>
    <w:rsid w:val="00D371B1"/>
    <w:rsid w:val="00D4192F"/>
    <w:rsid w:val="00D5464D"/>
    <w:rsid w:val="00D5603A"/>
    <w:rsid w:val="00D57CC9"/>
    <w:rsid w:val="00D601CD"/>
    <w:rsid w:val="00D60F1E"/>
    <w:rsid w:val="00D841A8"/>
    <w:rsid w:val="00DA3D10"/>
    <w:rsid w:val="00DB45FB"/>
    <w:rsid w:val="00DC0A5F"/>
    <w:rsid w:val="00DC25DB"/>
    <w:rsid w:val="00DC2DBF"/>
    <w:rsid w:val="00DC5A8E"/>
    <w:rsid w:val="00DE03BA"/>
    <w:rsid w:val="00DE1214"/>
    <w:rsid w:val="00DE1FF7"/>
    <w:rsid w:val="00E0070B"/>
    <w:rsid w:val="00E07249"/>
    <w:rsid w:val="00E206AD"/>
    <w:rsid w:val="00E46BC3"/>
    <w:rsid w:val="00E51F11"/>
    <w:rsid w:val="00E54442"/>
    <w:rsid w:val="00E737E0"/>
    <w:rsid w:val="00ED2CC8"/>
    <w:rsid w:val="00ED4B59"/>
    <w:rsid w:val="00EE422A"/>
    <w:rsid w:val="00EE43C2"/>
    <w:rsid w:val="00EF2CCE"/>
    <w:rsid w:val="00F0264B"/>
    <w:rsid w:val="00F0419B"/>
    <w:rsid w:val="00F33EAE"/>
    <w:rsid w:val="00F41095"/>
    <w:rsid w:val="00F4580C"/>
    <w:rsid w:val="00F55A31"/>
    <w:rsid w:val="00F64E13"/>
    <w:rsid w:val="00FA0554"/>
    <w:rsid w:val="00FB71B5"/>
    <w:rsid w:val="00FC491C"/>
    <w:rsid w:val="00FE20AA"/>
    <w:rsid w:val="00FF0742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34DC8"/>
  <w15:docId w15:val="{9892C85E-7538-46B5-9E6E-88EBA62E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4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28656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42"/>
    <w:rPr>
      <w:sz w:val="18"/>
      <w:szCs w:val="18"/>
    </w:rPr>
  </w:style>
  <w:style w:type="paragraph" w:customStyle="1" w:styleId="Default">
    <w:name w:val="Default"/>
    <w:rsid w:val="005F0142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83F3A"/>
    <w:pPr>
      <w:ind w:firstLineChars="200" w:firstLine="420"/>
    </w:pPr>
  </w:style>
  <w:style w:type="character" w:styleId="a6">
    <w:name w:val="annotation reference"/>
    <w:basedOn w:val="a0"/>
    <w:uiPriority w:val="99"/>
    <w:unhideWhenUsed/>
    <w:rsid w:val="00C046C9"/>
    <w:rPr>
      <w:sz w:val="21"/>
      <w:szCs w:val="21"/>
    </w:rPr>
  </w:style>
  <w:style w:type="paragraph" w:styleId="a7">
    <w:name w:val="annotation text"/>
    <w:basedOn w:val="a"/>
    <w:link w:val="Char1"/>
    <w:unhideWhenUsed/>
    <w:rsid w:val="00C046C9"/>
    <w:pPr>
      <w:jc w:val="left"/>
    </w:pPr>
  </w:style>
  <w:style w:type="character" w:customStyle="1" w:styleId="Char1">
    <w:name w:val="批注文字 Char"/>
    <w:basedOn w:val="a0"/>
    <w:link w:val="a7"/>
    <w:rsid w:val="00C046C9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046C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046C9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046C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046C9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286566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3级标题 Char"/>
    <w:link w:val="3"/>
    <w:rsid w:val="00D57CC9"/>
    <w:rPr>
      <w:rFonts w:eastAsia="黑体"/>
      <w:b/>
      <w:sz w:val="30"/>
    </w:rPr>
  </w:style>
  <w:style w:type="paragraph" w:customStyle="1" w:styleId="3">
    <w:name w:val="3级标题"/>
    <w:basedOn w:val="20"/>
    <w:link w:val="3Char"/>
    <w:qFormat/>
    <w:rsid w:val="00D57CC9"/>
    <w:pPr>
      <w:tabs>
        <w:tab w:val="left" w:pos="3119"/>
      </w:tabs>
      <w:spacing w:beforeLines="50" w:before="50" w:afterLines="50" w:after="50" w:line="360" w:lineRule="auto"/>
      <w:ind w:leftChars="0" w:left="0" w:firstLineChars="200" w:firstLine="200"/>
      <w:outlineLvl w:val="2"/>
    </w:pPr>
    <w:rPr>
      <w:rFonts w:asciiTheme="minorHAnsi" w:eastAsia="黑体" w:hAnsiTheme="minorHAnsi" w:cstheme="minorBidi"/>
      <w:b/>
      <w:sz w:val="30"/>
    </w:rPr>
  </w:style>
  <w:style w:type="paragraph" w:styleId="20">
    <w:name w:val="Body Text Indent 2"/>
    <w:basedOn w:val="a"/>
    <w:link w:val="2Char0"/>
    <w:uiPriority w:val="99"/>
    <w:semiHidden/>
    <w:unhideWhenUsed/>
    <w:rsid w:val="00D57CC9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D57CC9"/>
    <w:rPr>
      <w:rFonts w:ascii="Calibri" w:eastAsia="宋体" w:hAnsi="Calibri" w:cs="Times New Roman"/>
    </w:rPr>
  </w:style>
  <w:style w:type="paragraph" w:styleId="aa">
    <w:name w:val="Revision"/>
    <w:hidden/>
    <w:uiPriority w:val="99"/>
    <w:semiHidden/>
    <w:rsid w:val="00D059A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C4E7-8F1B-4299-A09E-6F8CACE9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zhangyue</dc:creator>
  <cp:keywords/>
  <dc:description/>
  <cp:lastModifiedBy>hmjiang</cp:lastModifiedBy>
  <cp:revision>3</cp:revision>
  <cp:lastPrinted>2019-09-05T11:31:00Z</cp:lastPrinted>
  <dcterms:created xsi:type="dcterms:W3CDTF">2020-05-14T10:51:00Z</dcterms:created>
  <dcterms:modified xsi:type="dcterms:W3CDTF">2020-05-14T10:52:00Z</dcterms:modified>
</cp:coreProperties>
</file>