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ind w:firstLine="720" w:firstLineChars="300"/>
        <w:rPr>
          <w:rStyle w:val="6"/>
          <w:rFonts w:ascii="宋体" w:hAnsi="宋体"/>
          <w:bCs/>
          <w:iCs/>
          <w:color w:val="000000"/>
          <w:sz w:val="24"/>
        </w:rPr>
      </w:pPr>
      <w:r>
        <w:rPr>
          <w:rStyle w:val="6"/>
          <w:rFonts w:ascii="宋体" w:hAnsi="宋体"/>
          <w:bCs/>
          <w:iCs/>
          <w:color w:val="000000"/>
          <w:sz w:val="24"/>
        </w:rPr>
        <w:t xml:space="preserve">证券代码：002332              </w:t>
      </w:r>
      <w:r>
        <w:rPr>
          <w:rStyle w:val="6"/>
          <w:rFonts w:hint="eastAsia" w:ascii="宋体" w:hAnsi="宋体"/>
          <w:bCs/>
          <w:iCs/>
          <w:color w:val="000000"/>
          <w:sz w:val="24"/>
        </w:rPr>
        <w:t xml:space="preserve"> </w:t>
      </w:r>
      <w:r>
        <w:rPr>
          <w:rStyle w:val="6"/>
          <w:rFonts w:ascii="宋体" w:hAnsi="宋体"/>
          <w:bCs/>
          <w:iCs/>
          <w:color w:val="000000"/>
          <w:sz w:val="24"/>
        </w:rPr>
        <w:t xml:space="preserve">    证券简称：仙琚制药</w:t>
      </w:r>
    </w:p>
    <w:p>
      <w:pPr>
        <w:spacing w:before="156" w:after="156" w:line="400" w:lineRule="exact"/>
        <w:jc w:val="center"/>
        <w:rPr>
          <w:rStyle w:val="6"/>
          <w:rFonts w:ascii="宋体" w:hAnsi="宋体"/>
          <w:b/>
          <w:bCs/>
          <w:iCs/>
          <w:color w:val="000000"/>
          <w:sz w:val="32"/>
          <w:szCs w:val="32"/>
        </w:rPr>
      </w:pPr>
    </w:p>
    <w:p>
      <w:pPr>
        <w:spacing w:before="156" w:after="156" w:line="400" w:lineRule="exact"/>
        <w:jc w:val="center"/>
        <w:rPr>
          <w:rStyle w:val="6"/>
          <w:rFonts w:ascii="宋体" w:hAnsi="宋体"/>
          <w:b/>
          <w:bCs/>
          <w:iCs/>
          <w:color w:val="000000"/>
          <w:sz w:val="30"/>
          <w:szCs w:val="30"/>
        </w:rPr>
      </w:pPr>
      <w:r>
        <w:rPr>
          <w:rStyle w:val="6"/>
          <w:rFonts w:ascii="宋体" w:hAnsi="宋体"/>
          <w:b/>
          <w:bCs/>
          <w:iCs/>
          <w:color w:val="000000"/>
          <w:sz w:val="30"/>
          <w:szCs w:val="30"/>
        </w:rPr>
        <w:t>浙江仙琚制药股份有限公司投资者关系活动记录表</w:t>
      </w:r>
    </w:p>
    <w:p>
      <w:pPr>
        <w:spacing w:line="400" w:lineRule="exact"/>
        <w:rPr>
          <w:rStyle w:val="6"/>
          <w:rFonts w:ascii="宋体" w:hAnsi="宋体"/>
          <w:bCs/>
          <w:iCs/>
          <w:color w:val="FF0000"/>
          <w:sz w:val="24"/>
        </w:rPr>
      </w:pPr>
      <w:r>
        <w:rPr>
          <w:rStyle w:val="6"/>
          <w:rFonts w:ascii="宋体" w:hAnsi="宋体"/>
          <w:bCs/>
          <w:iCs/>
          <w:color w:val="000000"/>
          <w:sz w:val="24"/>
        </w:rPr>
        <w:t xml:space="preserve">  </w:t>
      </w:r>
      <w:r>
        <w:rPr>
          <w:rStyle w:val="6"/>
          <w:rFonts w:hint="eastAsia" w:ascii="宋体" w:hAnsi="宋体"/>
          <w:bCs/>
          <w:iCs/>
          <w:color w:val="000000"/>
          <w:sz w:val="24"/>
        </w:rPr>
        <w:t xml:space="preserve">                                                </w:t>
      </w:r>
      <w:r>
        <w:rPr>
          <w:rStyle w:val="6"/>
          <w:rFonts w:ascii="宋体" w:hAnsi="宋体"/>
          <w:bCs/>
          <w:iCs/>
          <w:color w:val="000000"/>
          <w:sz w:val="24"/>
        </w:rPr>
        <w:t>编号：20</w:t>
      </w:r>
      <w:r>
        <w:rPr>
          <w:rStyle w:val="6"/>
          <w:rFonts w:hint="eastAsia" w:ascii="宋体" w:hAnsi="宋体"/>
          <w:bCs/>
          <w:iCs/>
          <w:color w:val="000000"/>
          <w:sz w:val="24"/>
        </w:rPr>
        <w:t>20</w:t>
      </w:r>
      <w:r>
        <w:rPr>
          <w:rStyle w:val="6"/>
          <w:rFonts w:ascii="宋体" w:hAnsi="宋体"/>
          <w:bCs/>
          <w:iCs/>
          <w:color w:val="000000"/>
          <w:sz w:val="24"/>
        </w:rPr>
        <w:t>-0</w:t>
      </w:r>
      <w:r>
        <w:rPr>
          <w:rStyle w:val="6"/>
          <w:rFonts w:ascii="宋体" w:hAnsi="宋体"/>
          <w:bCs/>
          <w:iCs/>
          <w:sz w:val="24"/>
        </w:rPr>
        <w:t>0</w:t>
      </w:r>
      <w:r>
        <w:rPr>
          <w:rStyle w:val="6"/>
          <w:rFonts w:hint="eastAsia" w:ascii="宋体" w:hAnsi="宋体"/>
          <w:bCs/>
          <w:iCs/>
          <w:sz w:val="24"/>
        </w:rPr>
        <w:t>3</w:t>
      </w:r>
    </w:p>
    <w:tbl>
      <w:tblPr>
        <w:tblStyle w:val="4"/>
        <w:tblW w:w="82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投资者关系活动类别</w:t>
            </w:r>
          </w:p>
          <w:p>
            <w:pPr>
              <w:spacing w:line="480" w:lineRule="atLeast"/>
              <w:rPr>
                <w:rStyle w:val="6"/>
                <w:rFonts w:ascii="宋体" w:hAnsi="宋体"/>
                <w:b/>
                <w:bCs/>
                <w:iCs/>
                <w:color w:val="000000"/>
                <w:sz w:val="24"/>
              </w:rPr>
            </w:pP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 xml:space="preserve">特定对象调研       </w:t>
            </w:r>
            <w:r>
              <w:rPr>
                <w:rStyle w:val="6"/>
                <w:rFonts w:ascii="宋体" w:hAnsi="宋体"/>
                <w:bCs/>
                <w:iCs/>
                <w:color w:val="000000"/>
                <w:sz w:val="24"/>
              </w:rPr>
              <w:t>□</w:t>
            </w:r>
            <w:r>
              <w:rPr>
                <w:rStyle w:val="6"/>
                <w:rFonts w:ascii="宋体" w:hAnsi="宋体"/>
                <w:sz w:val="24"/>
              </w:rPr>
              <w:t>分析师会议</w:t>
            </w:r>
          </w:p>
          <w:p>
            <w:pPr>
              <w:spacing w:line="480" w:lineRule="atLeast"/>
              <w:rPr>
                <w:rStyle w:val="6"/>
                <w:rFonts w:ascii="宋体" w:hAnsi="宋体"/>
                <w:bCs/>
                <w:iCs/>
                <w:color w:val="000000"/>
                <w:sz w:val="24"/>
              </w:rPr>
            </w:pPr>
            <w:r>
              <w:rPr>
                <w:rStyle w:val="6"/>
                <w:rFonts w:ascii="宋体" w:hAnsi="宋体"/>
                <w:bCs/>
                <w:iCs/>
                <w:color w:val="000000"/>
                <w:sz w:val="24"/>
              </w:rPr>
              <w:sym w:font="Wingdings 2" w:char="00A3"/>
            </w:r>
            <w:r>
              <w:rPr>
                <w:rStyle w:val="6"/>
                <w:rFonts w:ascii="宋体" w:hAnsi="宋体"/>
                <w:sz w:val="24"/>
              </w:rPr>
              <w:t xml:space="preserve">媒体采访           </w:t>
            </w:r>
            <w:r>
              <w:rPr>
                <w:rStyle w:val="6"/>
                <w:rFonts w:ascii="宋体" w:hAnsi="宋体"/>
                <w:bCs/>
                <w:iCs/>
                <w:color w:val="000000"/>
                <w:sz w:val="24"/>
              </w:rPr>
              <w:t>□</w:t>
            </w:r>
            <w:r>
              <w:rPr>
                <w:rStyle w:val="6"/>
                <w:rFonts w:ascii="宋体" w:hAnsi="宋体"/>
                <w:sz w:val="24"/>
              </w:rPr>
              <w:t>业绩说明会</w:t>
            </w:r>
          </w:p>
          <w:p>
            <w:pPr>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 xml:space="preserve">新闻发布会         </w:t>
            </w:r>
            <w:r>
              <w:rPr>
                <w:rStyle w:val="6"/>
                <w:rFonts w:ascii="宋体" w:hAnsi="宋体"/>
                <w:bCs/>
                <w:iCs/>
                <w:color w:val="000000"/>
                <w:sz w:val="24"/>
              </w:rPr>
              <w:t>□</w:t>
            </w:r>
            <w:r>
              <w:rPr>
                <w:rStyle w:val="6"/>
                <w:rFonts w:ascii="宋体" w:hAnsi="宋体"/>
                <w:sz w:val="24"/>
              </w:rPr>
              <w:t>路演活动</w:t>
            </w:r>
          </w:p>
          <w:p>
            <w:pPr>
              <w:tabs>
                <w:tab w:val="left" w:pos="3045"/>
                <w:tab w:val="center" w:pos="3199"/>
              </w:tabs>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现场参观</w:t>
            </w:r>
            <w:r>
              <w:rPr>
                <w:rStyle w:val="6"/>
                <w:rFonts w:hint="eastAsia" w:ascii="宋体" w:hAnsi="宋体"/>
                <w:sz w:val="24"/>
                <w:lang w:val="en-US" w:eastAsia="zh-CN"/>
              </w:rPr>
              <w:t xml:space="preserve">           </w:t>
            </w:r>
            <w:r>
              <w:rPr>
                <w:rStyle w:val="6"/>
                <w:rFonts w:ascii="宋体" w:hAnsi="宋体"/>
                <w:bCs/>
                <w:iCs/>
                <w:color w:val="000000"/>
                <w:sz w:val="24"/>
              </w:rPr>
              <w:sym w:font="Wingdings 2" w:char="0052"/>
            </w:r>
            <w:r>
              <w:rPr>
                <w:rStyle w:val="6"/>
                <w:rFonts w:ascii="宋体" w:hAnsi="宋体"/>
                <w:sz w:val="24"/>
              </w:rPr>
              <w:t xml:space="preserve">其他 </w:t>
            </w:r>
            <w:r>
              <w:rPr>
                <w:rStyle w:val="6"/>
                <w:rFonts w:ascii="宋体" w:hAnsi="宋体"/>
                <w:sz w:val="24"/>
                <w:szCs w:val="22"/>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5" w:hRule="atLeast"/>
        </w:trPr>
        <w:tc>
          <w:tcPr>
            <w:tcW w:w="1134"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参与单位名称及人员姓名</w:t>
            </w:r>
            <w:bookmarkStart w:id="0" w:name="_GoBack"/>
            <w:bookmarkEnd w:id="0"/>
          </w:p>
        </w:tc>
        <w:tc>
          <w:tcPr>
            <w:tcW w:w="7118" w:type="dxa"/>
            <w:tcBorders>
              <w:top w:val="single" w:color="000000" w:sz="4" w:space="0"/>
              <w:left w:val="single" w:color="000000" w:sz="4" w:space="0"/>
              <w:bottom w:val="single" w:color="000000" w:sz="4" w:space="0"/>
              <w:right w:val="single" w:color="000000" w:sz="4" w:space="0"/>
            </w:tcBorders>
          </w:tcPr>
          <w:tbl>
            <w:tblPr>
              <w:tblStyle w:val="4"/>
              <w:tblW w:w="10590" w:type="dxa"/>
              <w:tblInd w:w="0" w:type="dxa"/>
              <w:tblLayout w:type="fixed"/>
              <w:tblCellMar>
                <w:top w:w="0" w:type="dxa"/>
                <w:left w:w="0" w:type="dxa"/>
                <w:bottom w:w="0" w:type="dxa"/>
                <w:right w:w="0" w:type="dxa"/>
              </w:tblCellMar>
            </w:tblPr>
            <w:tblGrid>
              <w:gridCol w:w="10590"/>
            </w:tblGrid>
            <w:tr>
              <w:tblPrEx>
                <w:tblCellMar>
                  <w:top w:w="0" w:type="dxa"/>
                  <w:left w:w="0" w:type="dxa"/>
                  <w:bottom w:w="0" w:type="dxa"/>
                  <w:right w:w="0" w:type="dxa"/>
                </w:tblCellMar>
              </w:tblPrEx>
              <w:trPr>
                <w:trHeight w:val="312" w:hRule="atLeast"/>
              </w:trPr>
              <w:tc>
                <w:tcPr>
                  <w:tcW w:w="10604" w:type="dxa"/>
                  <w:vMerge w:val="restart"/>
                  <w:tcBorders>
                    <w:top w:val="nil"/>
                    <w:left w:val="nil"/>
                    <w:bottom w:val="nil"/>
                    <w:right w:val="nil"/>
                  </w:tcBorders>
                  <w:shd w:val="clear" w:color="auto" w:fill="auto"/>
                  <w:tcMar>
                    <w:top w:w="15" w:type="dxa"/>
                    <w:left w:w="15" w:type="dxa"/>
                    <w:right w:w="15" w:type="dxa"/>
                  </w:tcMar>
                  <w:vAlign w:val="top"/>
                </w:tcPr>
                <w:p>
                  <w:pPr>
                    <w:jc w:val="left"/>
                    <w:textAlignment w:val="center"/>
                    <w:rPr>
                      <w:rFonts w:hint="eastAsia" w:asciiTheme="minorEastAsia" w:hAnsiTheme="minorEastAsia" w:eastAsiaTheme="minorEastAsia"/>
                    </w:rPr>
                  </w:pPr>
                  <w:r>
                    <w:rPr>
                      <w:rFonts w:hint="eastAsia" w:asciiTheme="minorEastAsia" w:hAnsiTheme="minorEastAsia" w:eastAsiaTheme="minorEastAsia"/>
                      <w:lang w:eastAsia="zh-CN"/>
                    </w:rPr>
                    <w:t>广发证券、</w:t>
                  </w:r>
                  <w:r>
                    <w:rPr>
                      <w:rFonts w:hint="eastAsia" w:asciiTheme="minorEastAsia" w:hAnsiTheme="minorEastAsia" w:eastAsiaTheme="minorEastAsia"/>
                    </w:rPr>
                    <w:t>华夏基金、宏道投资、浙江九章资管、彤源投资、玖鹏投资、</w:t>
                  </w:r>
                </w:p>
                <w:p>
                  <w:pPr>
                    <w:jc w:val="left"/>
                    <w:textAlignment w:val="center"/>
                    <w:rPr>
                      <w:rFonts w:asciiTheme="minorEastAsia" w:hAnsiTheme="minorEastAsia" w:eastAsiaTheme="minorEastAsia"/>
                    </w:rPr>
                  </w:pPr>
                  <w:r>
                    <w:rPr>
                      <w:rFonts w:hint="eastAsia" w:asciiTheme="minorEastAsia" w:hAnsiTheme="minorEastAsia" w:eastAsiaTheme="minorEastAsia"/>
                    </w:rPr>
                    <w:t>富国基金、九泰基金、兴业基金、东海基金、中信建投基金、玄元投资、</w:t>
                  </w:r>
                </w:p>
                <w:p>
                  <w:pPr>
                    <w:jc w:val="left"/>
                    <w:rPr>
                      <w:rFonts w:asciiTheme="minorEastAsia" w:hAnsiTheme="minorEastAsia" w:eastAsiaTheme="minorEastAsia"/>
                    </w:rPr>
                  </w:pPr>
                  <w:r>
                    <w:rPr>
                      <w:rFonts w:hint="eastAsia" w:asciiTheme="minorEastAsia" w:hAnsiTheme="minorEastAsia" w:eastAsiaTheme="minorEastAsia"/>
                    </w:rPr>
                    <w:t>重阳投资、合众资产、国泰君安自营、浙商证券、中意资产、华泰柏瑞、</w:t>
                  </w:r>
                </w:p>
                <w:p>
                  <w:pPr>
                    <w:jc w:val="left"/>
                    <w:rPr>
                      <w:rFonts w:hint="eastAsia" w:asciiTheme="minorEastAsia" w:hAnsiTheme="minorEastAsia" w:eastAsiaTheme="minorEastAsia"/>
                    </w:rPr>
                  </w:pPr>
                  <w:r>
                    <w:rPr>
                      <w:rFonts w:hint="eastAsia" w:asciiTheme="minorEastAsia" w:hAnsiTheme="minorEastAsia" w:eastAsiaTheme="minorEastAsia"/>
                    </w:rPr>
                    <w:t>深圳前海百创资本、农银汇理、中融基金、中庚基金、人寿资管、</w:t>
                  </w:r>
                </w:p>
                <w:p>
                  <w:pPr>
                    <w:jc w:val="left"/>
                    <w:rPr>
                      <w:rFonts w:hint="eastAsia" w:asciiTheme="minorEastAsia" w:hAnsiTheme="minorEastAsia" w:eastAsiaTheme="minorEastAsia"/>
                    </w:rPr>
                  </w:pPr>
                  <w:r>
                    <w:rPr>
                      <w:rFonts w:hint="eastAsia" w:asciiTheme="minorEastAsia" w:hAnsiTheme="minorEastAsia" w:eastAsiaTheme="minorEastAsia"/>
                    </w:rPr>
                    <w:t>趣合投资、申港证券、江苏瑞华投资、红筹投资、理臻投资、</w:t>
                  </w:r>
                </w:p>
                <w:p>
                  <w:pPr>
                    <w:jc w:val="left"/>
                    <w:rPr>
                      <w:rFonts w:hint="eastAsia" w:asciiTheme="minorEastAsia" w:hAnsiTheme="minorEastAsia" w:eastAsiaTheme="minorEastAsia"/>
                    </w:rPr>
                  </w:pPr>
                  <w:r>
                    <w:rPr>
                      <w:rFonts w:hint="eastAsia" w:asciiTheme="minorEastAsia" w:hAnsiTheme="minorEastAsia" w:eastAsiaTheme="minorEastAsia"/>
                    </w:rPr>
                    <w:t>汉和汉华资本、大成基金、百年保险、东亚前海证券、新华基金、</w:t>
                  </w:r>
                </w:p>
                <w:p>
                  <w:pPr>
                    <w:jc w:val="left"/>
                    <w:rPr>
                      <w:rFonts w:hint="eastAsia" w:asciiTheme="minorEastAsia" w:hAnsiTheme="minorEastAsia" w:eastAsiaTheme="minorEastAsia"/>
                    </w:rPr>
                  </w:pPr>
                  <w:r>
                    <w:rPr>
                      <w:rFonts w:hint="eastAsia" w:asciiTheme="minorEastAsia" w:hAnsiTheme="minorEastAsia" w:eastAsiaTheme="minorEastAsia"/>
                    </w:rPr>
                    <w:t>中再资产、鼎锋资产、人寿养老保险、永安国富、涌峰</w:t>
                  </w:r>
                  <w:r>
                    <w:rPr>
                      <w:rFonts w:hint="eastAsia" w:asciiTheme="minorEastAsia" w:hAnsiTheme="minorEastAsia" w:eastAsiaTheme="minorEastAsia"/>
                      <w:lang w:eastAsia="zh-CN"/>
                    </w:rPr>
                    <w:t>投</w:t>
                  </w:r>
                  <w:r>
                    <w:rPr>
                      <w:rFonts w:hint="eastAsia" w:asciiTheme="minorEastAsia" w:hAnsiTheme="minorEastAsia" w:eastAsiaTheme="minorEastAsia"/>
                    </w:rPr>
                    <w:t>资、</w:t>
                  </w:r>
                </w:p>
                <w:p>
                  <w:pPr>
                    <w:jc w:val="left"/>
                    <w:rPr>
                      <w:rFonts w:hint="eastAsia" w:asciiTheme="minorEastAsia" w:hAnsiTheme="minorEastAsia" w:eastAsiaTheme="minorEastAsia"/>
                    </w:rPr>
                  </w:pPr>
                  <w:r>
                    <w:rPr>
                      <w:rFonts w:hint="eastAsia" w:asciiTheme="minorEastAsia" w:hAnsiTheme="minorEastAsia" w:eastAsiaTheme="minorEastAsia"/>
                    </w:rPr>
                    <w:t>国投瑞银、领骥资本、人保资产、千合资本、中金资管、中银资管、</w:t>
                  </w:r>
                </w:p>
                <w:p>
                  <w:pPr>
                    <w:jc w:val="left"/>
                    <w:rPr>
                      <w:rFonts w:hint="eastAsia" w:asciiTheme="minorEastAsia" w:hAnsiTheme="minorEastAsia" w:eastAsiaTheme="minorEastAsia"/>
                    </w:rPr>
                  </w:pPr>
                  <w:r>
                    <w:rPr>
                      <w:rFonts w:hint="eastAsia" w:asciiTheme="minorEastAsia" w:hAnsiTheme="minorEastAsia" w:eastAsiaTheme="minorEastAsia"/>
                    </w:rPr>
                    <w:t>中海基金、天治基金、太平资产、长江养老、睿远基金、华融证券、</w:t>
                  </w:r>
                </w:p>
                <w:p>
                  <w:pPr>
                    <w:jc w:val="left"/>
                    <w:rPr>
                      <w:rFonts w:hint="eastAsia" w:asciiTheme="minorEastAsia" w:hAnsiTheme="minorEastAsia" w:eastAsiaTheme="minorEastAsia"/>
                    </w:rPr>
                  </w:pPr>
                  <w:r>
                    <w:rPr>
                      <w:rFonts w:hint="eastAsia" w:asciiTheme="minorEastAsia" w:hAnsiTheme="minorEastAsia" w:eastAsiaTheme="minorEastAsia"/>
                    </w:rPr>
                    <w:t>景顺长城、Kadensa Capital、碧云资本、汇丰晋信、浦泓投资、</w:t>
                  </w:r>
                </w:p>
                <w:p>
                  <w:pPr>
                    <w:jc w:val="left"/>
                    <w:rPr>
                      <w:rFonts w:hint="eastAsia" w:asciiTheme="minorEastAsia" w:hAnsiTheme="minorEastAsia" w:eastAsiaTheme="minorEastAsia"/>
                    </w:rPr>
                  </w:pPr>
                  <w:r>
                    <w:rPr>
                      <w:rFonts w:hint="eastAsia" w:asciiTheme="minorEastAsia" w:hAnsiTheme="minorEastAsia" w:eastAsiaTheme="minorEastAsia"/>
                    </w:rPr>
                    <w:t>昶元投资、广州粤民投、富安达、安信基金、国元证券、中加基金、</w:t>
                  </w:r>
                </w:p>
                <w:p>
                  <w:pPr>
                    <w:jc w:val="left"/>
                    <w:rPr>
                      <w:rFonts w:hint="eastAsia" w:asciiTheme="minorEastAsia" w:hAnsiTheme="minorEastAsia" w:eastAsiaTheme="minorEastAsia"/>
                    </w:rPr>
                  </w:pPr>
                  <w:r>
                    <w:rPr>
                      <w:rFonts w:hint="eastAsia" w:asciiTheme="minorEastAsia" w:hAnsiTheme="minorEastAsia" w:eastAsiaTheme="minorEastAsia"/>
                    </w:rPr>
                    <w:t>永诚财产保险、广州金控、华商基金、Mighty Divine、淳厚基金、</w:t>
                  </w:r>
                </w:p>
                <w:p>
                  <w:pPr>
                    <w:jc w:val="left"/>
                    <w:rPr>
                      <w:rFonts w:hint="eastAsia" w:asciiTheme="minorEastAsia" w:hAnsiTheme="minorEastAsia" w:eastAsiaTheme="minorEastAsia"/>
                    </w:rPr>
                  </w:pPr>
                  <w:r>
                    <w:rPr>
                      <w:rFonts w:hint="eastAsia" w:asciiTheme="minorEastAsia" w:hAnsiTheme="minorEastAsia" w:eastAsiaTheme="minorEastAsia"/>
                    </w:rPr>
                    <w:t>昆仑健康保险、平安养老、中信证券、华泰资产、凯石基金、光大资管、</w:t>
                  </w:r>
                </w:p>
                <w:p>
                  <w:pPr>
                    <w:jc w:val="left"/>
                    <w:rPr>
                      <w:rFonts w:hint="eastAsia" w:asciiTheme="minorEastAsia" w:hAnsiTheme="minorEastAsia" w:eastAsiaTheme="minorEastAsia"/>
                    </w:rPr>
                  </w:pPr>
                  <w:r>
                    <w:rPr>
                      <w:rFonts w:hint="eastAsia" w:asciiTheme="minorEastAsia" w:hAnsiTheme="minorEastAsia" w:eastAsiaTheme="minorEastAsia"/>
                    </w:rPr>
                    <w:t>Capital Strategy Research、汇添富、华安基金、海富通、华富基金、</w:t>
                  </w:r>
                </w:p>
                <w:p>
                  <w:pPr>
                    <w:jc w:val="left"/>
                    <w:rPr>
                      <w:rStyle w:val="6"/>
                      <w:rFonts w:asciiTheme="minorEastAsia" w:hAnsiTheme="minorEastAsia" w:eastAsiaTheme="minorEastAsia"/>
                    </w:rPr>
                  </w:pPr>
                  <w:r>
                    <w:rPr>
                      <w:rFonts w:hint="eastAsia" w:asciiTheme="minorEastAsia" w:hAnsiTheme="minorEastAsia" w:eastAsiaTheme="minorEastAsia"/>
                    </w:rPr>
                    <w:t>惠通基金、丹羿投资、天风资管、聚鸣投资</w:t>
                  </w: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312"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r>
              <w:tblPrEx>
                <w:tblCellMar>
                  <w:top w:w="0" w:type="dxa"/>
                  <w:left w:w="0" w:type="dxa"/>
                  <w:bottom w:w="0" w:type="dxa"/>
                  <w:right w:w="0" w:type="dxa"/>
                </w:tblCellMar>
              </w:tblPrEx>
              <w:trPr>
                <w:trHeight w:val="1953" w:hRule="atLeast"/>
              </w:trPr>
              <w:tc>
                <w:tcPr>
                  <w:tcW w:w="10604" w:type="dxa"/>
                  <w:vMerge w:val="continue"/>
                  <w:tcBorders>
                    <w:top w:val="nil"/>
                    <w:left w:val="nil"/>
                    <w:bottom w:val="nil"/>
                    <w:right w:val="nil"/>
                  </w:tcBorders>
                  <w:shd w:val="clear" w:color="auto" w:fill="auto"/>
                  <w:tcMar>
                    <w:top w:w="15" w:type="dxa"/>
                    <w:left w:w="15" w:type="dxa"/>
                    <w:right w:w="15" w:type="dxa"/>
                  </w:tcMar>
                  <w:vAlign w:val="center"/>
                </w:tcPr>
                <w:p>
                  <w:pPr>
                    <w:jc w:val="center"/>
                    <w:rPr>
                      <w:rStyle w:val="6"/>
                      <w:rFonts w:ascii="宋体" w:hAnsi="宋体"/>
                      <w:sz w:val="24"/>
                    </w:rPr>
                  </w:pPr>
                </w:p>
              </w:tc>
            </w:tr>
          </w:tbl>
          <w:p>
            <w:pPr>
              <w:textAlignment w:val="center"/>
              <w:rPr>
                <w:rStyle w:val="6"/>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34"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时间</w:t>
            </w: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20</w:t>
            </w:r>
            <w:r>
              <w:rPr>
                <w:rStyle w:val="6"/>
                <w:rFonts w:hint="eastAsia" w:ascii="宋体" w:hAnsi="宋体"/>
                <w:bCs/>
                <w:iCs/>
                <w:color w:val="000000"/>
                <w:sz w:val="24"/>
              </w:rPr>
              <w:t>20</w:t>
            </w:r>
            <w:r>
              <w:rPr>
                <w:rStyle w:val="6"/>
                <w:rFonts w:ascii="宋体" w:hAnsi="宋体"/>
                <w:bCs/>
                <w:iCs/>
                <w:color w:val="000000"/>
                <w:sz w:val="24"/>
              </w:rPr>
              <w:t>年</w:t>
            </w:r>
            <w:r>
              <w:rPr>
                <w:rStyle w:val="6"/>
                <w:rFonts w:hint="eastAsia" w:ascii="宋体" w:hAnsi="宋体"/>
                <w:bCs/>
                <w:iCs/>
                <w:color w:val="000000"/>
                <w:sz w:val="24"/>
              </w:rPr>
              <w:t>5</w:t>
            </w:r>
            <w:r>
              <w:rPr>
                <w:rStyle w:val="6"/>
                <w:rFonts w:ascii="宋体" w:hAnsi="宋体"/>
                <w:bCs/>
                <w:iCs/>
                <w:color w:val="000000"/>
                <w:sz w:val="24"/>
              </w:rPr>
              <w:t>月</w:t>
            </w:r>
            <w:r>
              <w:rPr>
                <w:rStyle w:val="6"/>
                <w:rFonts w:hint="eastAsia" w:ascii="宋体" w:hAnsi="宋体"/>
                <w:bCs/>
                <w:iCs/>
                <w:color w:val="000000"/>
                <w:sz w:val="24"/>
              </w:rPr>
              <w:t>12</w:t>
            </w:r>
            <w:r>
              <w:rPr>
                <w:rStyle w:val="6"/>
                <w:rFonts w:ascii="宋体" w:hAnsi="宋体"/>
                <w:bCs/>
                <w:iCs/>
                <w:color w:val="000000"/>
                <w:sz w:val="24"/>
              </w:rPr>
              <w:t>日</w:t>
            </w:r>
            <w:r>
              <w:rPr>
                <w:rStyle w:val="6"/>
                <w:rFonts w:hint="eastAsia" w:ascii="宋体" w:hAnsi="宋体"/>
                <w:bCs/>
                <w:iCs/>
                <w:color w:val="000000"/>
                <w:sz w:val="24"/>
              </w:rPr>
              <w:t>下</w:t>
            </w:r>
            <w:r>
              <w:rPr>
                <w:rStyle w:val="6"/>
                <w:rFonts w:ascii="宋体" w:hAnsi="宋体"/>
                <w:bCs/>
                <w:iCs/>
                <w:color w:val="000000"/>
                <w:sz w:val="24"/>
              </w:rPr>
              <w:t>午</w:t>
            </w:r>
            <w:r>
              <w:rPr>
                <w:rStyle w:val="6"/>
                <w:rFonts w:hint="eastAsia" w:ascii="宋体" w:hAnsi="宋体"/>
                <w:bCs/>
                <w:iCs/>
                <w:color w:val="000000"/>
                <w:sz w:val="24"/>
              </w:rPr>
              <w:t>1</w:t>
            </w:r>
            <w:r>
              <w:rPr>
                <w:rStyle w:val="6"/>
                <w:rFonts w:hint="eastAsia" w:ascii="宋体" w:hAnsi="宋体"/>
                <w:bCs/>
                <w:iCs/>
                <w:color w:val="000000"/>
                <w:sz w:val="24"/>
                <w:lang w:val="en-US" w:eastAsia="zh-CN"/>
              </w:rPr>
              <w:t>6</w:t>
            </w:r>
            <w:r>
              <w:rPr>
                <w:rStyle w:val="6"/>
                <w:rFonts w:ascii="宋体" w:hAnsi="宋体"/>
                <w:bCs/>
                <w:iCs/>
                <w:color w:val="000000"/>
                <w:sz w:val="24"/>
              </w:rPr>
              <w:t>：</w:t>
            </w:r>
            <w:r>
              <w:rPr>
                <w:rStyle w:val="6"/>
                <w:rFonts w:hint="eastAsia" w:ascii="宋体" w:hAnsi="宋体"/>
                <w:bCs/>
                <w:iCs/>
                <w:color w:val="000000"/>
                <w:sz w:val="24"/>
                <w:lang w:val="en-US" w:eastAsia="zh-CN"/>
              </w:rPr>
              <w:t>3</w:t>
            </w:r>
            <w:r>
              <w:rPr>
                <w:rStyle w:val="6"/>
                <w:rFonts w:ascii="宋体" w:hAnsi="宋体"/>
                <w:bCs/>
                <w:iCs/>
                <w:color w:val="000000"/>
                <w:sz w:val="24"/>
              </w:rPr>
              <w:t>0-1</w:t>
            </w:r>
            <w:r>
              <w:rPr>
                <w:rStyle w:val="6"/>
                <w:rFonts w:hint="eastAsia" w:ascii="宋体" w:hAnsi="宋体"/>
                <w:bCs/>
                <w:iCs/>
                <w:color w:val="000000"/>
                <w:sz w:val="24"/>
              </w:rPr>
              <w:t>7:</w:t>
            </w:r>
            <w:r>
              <w:rPr>
                <w:rStyle w:val="6"/>
                <w:rFonts w:hint="eastAsia" w:ascii="宋体" w:hAnsi="宋体"/>
                <w:bCs/>
                <w:iCs/>
                <w:color w:val="000000"/>
                <w:sz w:val="24"/>
                <w:lang w:val="en-US" w:eastAsia="zh-CN"/>
              </w:rPr>
              <w:t>2</w:t>
            </w:r>
            <w:r>
              <w:rPr>
                <w:rStyle w:val="6"/>
                <w:rFonts w:hint="eastAsia" w:ascii="宋体" w:hAnsi="宋体"/>
                <w:bCs/>
                <w:iCs/>
                <w:color w:val="000000"/>
                <w:sz w:val="24"/>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134"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地点</w:t>
            </w: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szCs w:val="22"/>
              </w:rPr>
              <w:t>线上调研电话会议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上市公司接待人员姓名</w:t>
            </w: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董事会秘书    张王伟</w:t>
            </w:r>
          </w:p>
          <w:p>
            <w:pPr>
              <w:spacing w:line="480" w:lineRule="atLeast"/>
              <w:rPr>
                <w:rStyle w:val="6"/>
                <w:rFonts w:ascii="宋体" w:hAnsi="宋体"/>
                <w:bCs/>
                <w:iCs/>
                <w:color w:val="000000"/>
                <w:sz w:val="24"/>
              </w:rPr>
            </w:pPr>
            <w:r>
              <w:rPr>
                <w:rStyle w:val="6"/>
                <w:rFonts w:ascii="宋体" w:hAnsi="宋体"/>
                <w:bCs/>
                <w:iCs/>
                <w:color w:val="000000"/>
                <w:sz w:val="24"/>
              </w:rPr>
              <w:t xml:space="preserve">证券事务代表  </w:t>
            </w:r>
            <w:r>
              <w:rPr>
                <w:rStyle w:val="6"/>
                <w:rFonts w:hint="eastAsia" w:ascii="宋体" w:hAnsi="宋体"/>
                <w:bCs/>
                <w:iCs/>
                <w:color w:val="000000"/>
                <w:sz w:val="24"/>
              </w:rPr>
              <w:t>沈旭红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sz w:val="24"/>
              </w:rPr>
            </w:pPr>
            <w:r>
              <w:rPr>
                <w:rStyle w:val="6"/>
                <w:rFonts w:ascii="宋体" w:hAnsi="宋体"/>
                <w:b/>
                <w:bCs/>
                <w:iCs/>
                <w:color w:val="000000"/>
                <w:sz w:val="24"/>
              </w:rPr>
              <w:t>投资者关系活动主要内容介绍</w:t>
            </w:r>
          </w:p>
          <w:p>
            <w:pPr>
              <w:spacing w:line="480" w:lineRule="atLeast"/>
              <w:rPr>
                <w:rStyle w:val="6"/>
                <w:rFonts w:ascii="宋体" w:hAnsi="宋体"/>
                <w:b/>
                <w:bCs/>
                <w:iCs/>
                <w:color w:val="000000"/>
                <w:sz w:val="24"/>
              </w:rPr>
            </w:pPr>
          </w:p>
        </w:tc>
        <w:tc>
          <w:tcPr>
            <w:tcW w:w="7118" w:type="dxa"/>
            <w:tcBorders>
              <w:top w:val="single" w:color="000000" w:sz="4" w:space="0"/>
              <w:left w:val="single" w:color="000000" w:sz="4" w:space="0"/>
              <w:bottom w:val="single" w:color="000000" w:sz="4" w:space="0"/>
              <w:right w:val="single" w:color="000000" w:sz="4" w:space="0"/>
            </w:tcBorders>
          </w:tcPr>
          <w:p>
            <w:pPr>
              <w:spacing w:line="420" w:lineRule="exact"/>
              <w:ind w:firstLine="472" w:firstLineChars="196"/>
              <w:rPr>
                <w:rStyle w:val="6"/>
                <w:rFonts w:hint="default" w:ascii="宋体" w:hAnsi="宋体" w:eastAsia="宋体"/>
                <w:b/>
                <w:sz w:val="24"/>
                <w:szCs w:val="22"/>
                <w:lang w:val="en-US" w:eastAsia="zh-CN"/>
              </w:rPr>
            </w:pPr>
            <w:r>
              <w:rPr>
                <w:rStyle w:val="6"/>
                <w:rFonts w:ascii="宋体" w:hAnsi="宋体"/>
                <w:b/>
                <w:sz w:val="24"/>
              </w:rPr>
              <w:t>1、</w:t>
            </w:r>
            <w:r>
              <w:rPr>
                <w:rStyle w:val="6"/>
                <w:rFonts w:ascii="宋体" w:hAnsi="宋体"/>
                <w:b/>
                <w:sz w:val="24"/>
                <w:szCs w:val="22"/>
              </w:rPr>
              <w:t>介绍公司2019年</w:t>
            </w:r>
            <w:r>
              <w:rPr>
                <w:rStyle w:val="6"/>
                <w:rFonts w:hint="eastAsia" w:ascii="宋体" w:hAnsi="宋体"/>
                <w:b/>
                <w:sz w:val="24"/>
                <w:szCs w:val="22"/>
              </w:rPr>
              <w:t>度经营情况</w:t>
            </w:r>
            <w:r>
              <w:rPr>
                <w:rStyle w:val="6"/>
                <w:rFonts w:hint="eastAsia" w:ascii="宋体" w:hAnsi="宋体"/>
                <w:b/>
                <w:sz w:val="24"/>
                <w:szCs w:val="22"/>
                <w:lang w:eastAsia="zh-CN"/>
              </w:rPr>
              <w:t>和</w:t>
            </w:r>
            <w:r>
              <w:rPr>
                <w:rStyle w:val="6"/>
                <w:rFonts w:hint="eastAsia" w:ascii="宋体" w:hAnsi="宋体"/>
                <w:b/>
                <w:sz w:val="24"/>
                <w:szCs w:val="22"/>
                <w:lang w:val="en-US" w:eastAsia="zh-CN"/>
              </w:rPr>
              <w:t>2020年一季度情况</w:t>
            </w:r>
          </w:p>
          <w:p>
            <w:pPr>
              <w:spacing w:line="480" w:lineRule="atLeast"/>
              <w:ind w:firstLine="482" w:firstLineChars="200"/>
              <w:rPr>
                <w:rStyle w:val="6"/>
                <w:rFonts w:hint="eastAsia" w:ascii="宋体" w:hAnsi="宋体"/>
                <w:bCs/>
                <w:iCs/>
                <w:color w:val="000000"/>
                <w:sz w:val="24"/>
                <w:szCs w:val="22"/>
                <w:lang w:val="zh-CN"/>
              </w:rPr>
            </w:pPr>
            <w:r>
              <w:rPr>
                <w:rStyle w:val="6"/>
                <w:rFonts w:hint="eastAsia" w:ascii="宋体" w:hAnsi="宋体"/>
                <w:b/>
                <w:iCs/>
                <w:color w:val="000000"/>
                <w:sz w:val="24"/>
                <w:szCs w:val="22"/>
              </w:rPr>
              <w:t>2019年年度业绩情况：</w:t>
            </w:r>
            <w:r>
              <w:rPr>
                <w:rStyle w:val="6"/>
                <w:rFonts w:hint="eastAsia" w:ascii="宋体" w:hAnsi="宋体"/>
                <w:bCs/>
                <w:iCs/>
                <w:color w:val="000000"/>
                <w:sz w:val="24"/>
                <w:szCs w:val="22"/>
                <w:lang w:val="zh-CN"/>
              </w:rPr>
              <w:t>公司实现营业收入</w:t>
            </w:r>
            <w:r>
              <w:rPr>
                <w:rStyle w:val="6"/>
                <w:rFonts w:ascii="宋体" w:hAnsi="宋体"/>
                <w:bCs/>
                <w:iCs/>
                <w:color w:val="000000"/>
                <w:sz w:val="24"/>
                <w:szCs w:val="22"/>
                <w:lang w:val="zh-CN"/>
              </w:rPr>
              <w:t>3</w:t>
            </w:r>
            <w:r>
              <w:rPr>
                <w:rStyle w:val="6"/>
                <w:rFonts w:hint="eastAsia" w:ascii="宋体" w:hAnsi="宋体"/>
                <w:bCs/>
                <w:iCs/>
                <w:color w:val="000000"/>
                <w:sz w:val="24"/>
                <w:szCs w:val="22"/>
                <w:lang w:val="en-US" w:eastAsia="zh-CN"/>
              </w:rPr>
              <w:t>7亿</w:t>
            </w:r>
            <w:r>
              <w:rPr>
                <w:rStyle w:val="6"/>
                <w:rFonts w:hint="eastAsia" w:ascii="宋体" w:hAnsi="宋体"/>
                <w:bCs/>
                <w:iCs/>
                <w:color w:val="000000"/>
                <w:sz w:val="24"/>
                <w:szCs w:val="22"/>
                <w:lang w:val="zh-CN"/>
              </w:rPr>
              <w:t>元，同比增长</w:t>
            </w:r>
            <w:r>
              <w:rPr>
                <w:rStyle w:val="6"/>
                <w:rFonts w:ascii="宋体" w:hAnsi="宋体"/>
                <w:bCs/>
                <w:iCs/>
                <w:color w:val="000000"/>
                <w:sz w:val="24"/>
                <w:szCs w:val="22"/>
                <w:lang w:val="zh-CN"/>
              </w:rPr>
              <w:t>2.4%</w:t>
            </w:r>
            <w:r>
              <w:rPr>
                <w:rStyle w:val="6"/>
                <w:rFonts w:hint="eastAsia" w:ascii="宋体" w:hAnsi="宋体"/>
                <w:bCs/>
                <w:iCs/>
                <w:color w:val="000000"/>
                <w:sz w:val="24"/>
                <w:szCs w:val="22"/>
                <w:lang w:val="zh-CN"/>
              </w:rPr>
              <w:t>；实现利润总额</w:t>
            </w:r>
            <w:r>
              <w:rPr>
                <w:rStyle w:val="6"/>
                <w:rFonts w:ascii="宋体" w:hAnsi="宋体"/>
                <w:bCs/>
                <w:iCs/>
                <w:color w:val="000000"/>
                <w:sz w:val="24"/>
                <w:szCs w:val="22"/>
                <w:lang w:val="zh-CN"/>
              </w:rPr>
              <w:t>5</w:t>
            </w:r>
            <w:r>
              <w:rPr>
                <w:rStyle w:val="6"/>
                <w:rFonts w:hint="eastAsia" w:ascii="宋体" w:hAnsi="宋体"/>
                <w:bCs/>
                <w:iCs/>
                <w:color w:val="000000"/>
                <w:sz w:val="24"/>
                <w:szCs w:val="22"/>
                <w:lang w:val="en-US" w:eastAsia="zh-CN"/>
              </w:rPr>
              <w:t>.</w:t>
            </w:r>
            <w:r>
              <w:rPr>
                <w:rStyle w:val="6"/>
                <w:rFonts w:ascii="宋体" w:hAnsi="宋体"/>
                <w:bCs/>
                <w:iCs/>
                <w:color w:val="000000"/>
                <w:sz w:val="24"/>
                <w:szCs w:val="22"/>
                <w:lang w:val="zh-CN"/>
              </w:rPr>
              <w:t>27</w:t>
            </w:r>
            <w:r>
              <w:rPr>
                <w:rStyle w:val="6"/>
                <w:rFonts w:hint="eastAsia" w:ascii="宋体" w:hAnsi="宋体"/>
                <w:bCs/>
                <w:iCs/>
                <w:color w:val="000000"/>
                <w:sz w:val="24"/>
                <w:szCs w:val="22"/>
                <w:lang w:val="zh-CN"/>
              </w:rPr>
              <w:t>亿元，同比增长</w:t>
            </w:r>
            <w:r>
              <w:rPr>
                <w:rStyle w:val="6"/>
                <w:rFonts w:ascii="宋体" w:hAnsi="宋体"/>
                <w:bCs/>
                <w:iCs/>
                <w:color w:val="000000"/>
                <w:sz w:val="24"/>
                <w:szCs w:val="22"/>
                <w:lang w:val="zh-CN"/>
              </w:rPr>
              <w:t>22.52%</w:t>
            </w:r>
            <w:r>
              <w:rPr>
                <w:rStyle w:val="6"/>
                <w:rFonts w:hint="eastAsia" w:ascii="宋体" w:hAnsi="宋体"/>
                <w:bCs/>
                <w:iCs/>
                <w:color w:val="000000"/>
                <w:sz w:val="24"/>
                <w:szCs w:val="22"/>
                <w:lang w:val="zh-CN"/>
              </w:rPr>
              <w:t>；实现归属于上市公司股东的净利润</w:t>
            </w:r>
            <w:r>
              <w:rPr>
                <w:rStyle w:val="6"/>
                <w:rFonts w:ascii="宋体" w:hAnsi="宋体"/>
                <w:bCs/>
                <w:iCs/>
                <w:color w:val="000000"/>
                <w:sz w:val="24"/>
                <w:szCs w:val="22"/>
                <w:lang w:val="zh-CN"/>
              </w:rPr>
              <w:t>4</w:t>
            </w:r>
            <w:r>
              <w:rPr>
                <w:rStyle w:val="6"/>
                <w:rFonts w:hint="eastAsia" w:ascii="宋体" w:hAnsi="宋体"/>
                <w:bCs/>
                <w:iCs/>
                <w:color w:val="000000"/>
                <w:sz w:val="24"/>
                <w:szCs w:val="22"/>
                <w:lang w:val="en-US" w:eastAsia="zh-CN"/>
              </w:rPr>
              <w:t>.</w:t>
            </w:r>
            <w:r>
              <w:rPr>
                <w:rStyle w:val="6"/>
                <w:rFonts w:ascii="宋体" w:hAnsi="宋体"/>
                <w:bCs/>
                <w:iCs/>
                <w:color w:val="000000"/>
                <w:sz w:val="24"/>
                <w:szCs w:val="22"/>
                <w:lang w:val="zh-CN"/>
              </w:rPr>
              <w:t>1</w:t>
            </w:r>
            <w:r>
              <w:rPr>
                <w:rStyle w:val="6"/>
                <w:rFonts w:hint="eastAsia" w:ascii="宋体" w:hAnsi="宋体"/>
                <w:bCs/>
                <w:iCs/>
                <w:color w:val="000000"/>
                <w:sz w:val="24"/>
                <w:szCs w:val="22"/>
                <w:lang w:val="zh-CN" w:eastAsia="zh-CN"/>
              </w:rPr>
              <w:t>亿</w:t>
            </w:r>
            <w:r>
              <w:rPr>
                <w:rStyle w:val="6"/>
                <w:rFonts w:hint="eastAsia" w:ascii="宋体" w:hAnsi="宋体"/>
                <w:bCs/>
                <w:iCs/>
                <w:color w:val="000000"/>
                <w:sz w:val="24"/>
                <w:szCs w:val="22"/>
                <w:lang w:val="zh-CN"/>
              </w:rPr>
              <w:t>元，同比增长</w:t>
            </w:r>
            <w:r>
              <w:rPr>
                <w:rStyle w:val="6"/>
                <w:rFonts w:ascii="宋体" w:hAnsi="宋体"/>
                <w:bCs/>
                <w:iCs/>
                <w:color w:val="000000"/>
                <w:sz w:val="24"/>
                <w:szCs w:val="22"/>
                <w:lang w:val="zh-CN"/>
              </w:rPr>
              <w:t>36.17%</w:t>
            </w:r>
            <w:r>
              <w:rPr>
                <w:rStyle w:val="6"/>
                <w:rFonts w:hint="eastAsia" w:ascii="宋体" w:hAnsi="宋体"/>
                <w:bCs/>
                <w:iCs/>
                <w:color w:val="000000"/>
                <w:sz w:val="24"/>
                <w:szCs w:val="22"/>
                <w:lang w:val="zh-CN"/>
              </w:rPr>
              <w:t>。</w:t>
            </w:r>
          </w:p>
          <w:p>
            <w:pPr>
              <w:spacing w:line="360" w:lineRule="auto"/>
              <w:ind w:firstLine="482" w:firstLineChars="200"/>
              <w:rPr>
                <w:rStyle w:val="6"/>
                <w:rFonts w:hint="eastAsia" w:ascii="宋体" w:hAnsi="宋体"/>
                <w:bCs/>
                <w:iCs/>
                <w:color w:val="000000"/>
                <w:sz w:val="24"/>
                <w:szCs w:val="22"/>
              </w:rPr>
            </w:pPr>
            <w:r>
              <w:rPr>
                <w:rStyle w:val="6"/>
                <w:rFonts w:hint="eastAsia" w:ascii="宋体" w:hAnsi="宋体"/>
                <w:b/>
                <w:sz w:val="24"/>
                <w:szCs w:val="22"/>
              </w:rPr>
              <w:t>2020年一季度情况：</w:t>
            </w:r>
            <w:r>
              <w:rPr>
                <w:rStyle w:val="6"/>
                <w:rFonts w:hint="eastAsia" w:ascii="宋体" w:hAnsi="宋体"/>
                <w:bCs/>
                <w:iCs/>
                <w:color w:val="000000"/>
                <w:sz w:val="24"/>
                <w:szCs w:val="22"/>
                <w:lang w:val="zh-CN"/>
              </w:rPr>
              <w:t>公司</w:t>
            </w:r>
            <w:r>
              <w:rPr>
                <w:rStyle w:val="6"/>
                <w:rFonts w:hint="eastAsia" w:ascii="宋体" w:hAnsi="宋体"/>
                <w:bCs/>
                <w:iCs/>
                <w:color w:val="000000"/>
                <w:sz w:val="24"/>
                <w:szCs w:val="22"/>
                <w:lang w:val="en-US" w:eastAsia="zh-CN"/>
              </w:rPr>
              <w:t>2020年一季度</w:t>
            </w:r>
            <w:r>
              <w:rPr>
                <w:rStyle w:val="6"/>
                <w:rFonts w:hint="eastAsia" w:ascii="宋体" w:hAnsi="宋体"/>
                <w:bCs/>
                <w:iCs/>
                <w:color w:val="000000"/>
                <w:sz w:val="24"/>
                <w:szCs w:val="22"/>
                <w:lang w:val="zh-CN"/>
              </w:rPr>
              <w:t>实现营业收入</w:t>
            </w:r>
            <w:r>
              <w:rPr>
                <w:rStyle w:val="6"/>
                <w:rFonts w:ascii="宋体" w:hAnsi="宋体"/>
                <w:bCs/>
                <w:iCs/>
                <w:color w:val="000000"/>
                <w:sz w:val="24"/>
                <w:szCs w:val="22"/>
              </w:rPr>
              <w:t>7</w:t>
            </w:r>
            <w:r>
              <w:rPr>
                <w:rStyle w:val="6"/>
                <w:rFonts w:hint="eastAsia" w:ascii="宋体" w:hAnsi="宋体"/>
                <w:bCs/>
                <w:iCs/>
                <w:color w:val="000000"/>
                <w:sz w:val="24"/>
                <w:szCs w:val="22"/>
                <w:lang w:val="en-US" w:eastAsia="zh-CN"/>
              </w:rPr>
              <w:t>.45亿</w:t>
            </w:r>
            <w:r>
              <w:rPr>
                <w:rStyle w:val="6"/>
                <w:rFonts w:hint="eastAsia" w:ascii="宋体" w:hAnsi="宋体"/>
                <w:bCs/>
                <w:iCs/>
                <w:color w:val="000000"/>
                <w:sz w:val="24"/>
                <w:szCs w:val="22"/>
                <w:lang w:val="zh-CN"/>
              </w:rPr>
              <w:t>万元，同比减少</w:t>
            </w:r>
            <w:r>
              <w:rPr>
                <w:rStyle w:val="6"/>
                <w:rFonts w:ascii="宋体" w:hAnsi="宋体"/>
                <w:bCs/>
                <w:iCs/>
                <w:color w:val="000000"/>
                <w:sz w:val="24"/>
                <w:szCs w:val="22"/>
              </w:rPr>
              <w:t>10.89%</w:t>
            </w:r>
            <w:r>
              <w:rPr>
                <w:rStyle w:val="6"/>
                <w:rFonts w:hint="eastAsia" w:ascii="宋体" w:hAnsi="宋体"/>
                <w:bCs/>
                <w:iCs/>
                <w:color w:val="000000"/>
                <w:sz w:val="24"/>
                <w:szCs w:val="22"/>
                <w:lang w:val="zh-CN"/>
              </w:rPr>
              <w:t>；实现归属于上市公司股东的净利润</w:t>
            </w:r>
            <w:r>
              <w:rPr>
                <w:rStyle w:val="6"/>
                <w:rFonts w:ascii="宋体" w:hAnsi="宋体"/>
                <w:bCs/>
                <w:iCs/>
                <w:color w:val="000000"/>
                <w:sz w:val="24"/>
                <w:szCs w:val="22"/>
              </w:rPr>
              <w:t>6,735</w:t>
            </w:r>
            <w:r>
              <w:rPr>
                <w:rStyle w:val="6"/>
                <w:rFonts w:hint="eastAsia" w:ascii="宋体" w:hAnsi="宋体"/>
                <w:bCs/>
                <w:iCs/>
                <w:color w:val="000000"/>
                <w:sz w:val="24"/>
                <w:szCs w:val="22"/>
              </w:rPr>
              <w:t>.</w:t>
            </w:r>
            <w:r>
              <w:rPr>
                <w:rStyle w:val="6"/>
                <w:rFonts w:ascii="宋体" w:hAnsi="宋体"/>
                <w:bCs/>
                <w:iCs/>
                <w:color w:val="000000"/>
                <w:sz w:val="24"/>
                <w:szCs w:val="22"/>
              </w:rPr>
              <w:t>4</w:t>
            </w:r>
            <w:r>
              <w:rPr>
                <w:rStyle w:val="6"/>
                <w:rFonts w:hint="eastAsia" w:ascii="宋体" w:hAnsi="宋体"/>
                <w:bCs/>
                <w:iCs/>
                <w:color w:val="000000"/>
                <w:sz w:val="24"/>
                <w:szCs w:val="22"/>
              </w:rPr>
              <w:t>6</w:t>
            </w:r>
            <w:r>
              <w:rPr>
                <w:rStyle w:val="6"/>
                <w:rFonts w:hint="eastAsia" w:ascii="宋体" w:hAnsi="宋体"/>
                <w:bCs/>
                <w:iCs/>
                <w:color w:val="000000"/>
                <w:sz w:val="24"/>
                <w:szCs w:val="22"/>
                <w:lang w:val="zh-CN"/>
              </w:rPr>
              <w:t>万元，同比增长</w:t>
            </w:r>
            <w:r>
              <w:rPr>
                <w:rStyle w:val="6"/>
                <w:rFonts w:hint="eastAsia" w:ascii="宋体" w:hAnsi="宋体"/>
                <w:bCs/>
                <w:iCs/>
                <w:color w:val="000000"/>
                <w:sz w:val="24"/>
                <w:szCs w:val="22"/>
              </w:rPr>
              <w:t>16.11</w:t>
            </w:r>
            <w:r>
              <w:rPr>
                <w:rStyle w:val="6"/>
                <w:rFonts w:ascii="宋体" w:hAnsi="宋体"/>
                <w:bCs/>
                <w:iCs/>
                <w:color w:val="000000"/>
                <w:sz w:val="24"/>
                <w:szCs w:val="22"/>
                <w:lang w:val="zh-CN"/>
              </w:rPr>
              <w:t>%</w:t>
            </w:r>
            <w:r>
              <w:rPr>
                <w:rStyle w:val="6"/>
                <w:rFonts w:hint="eastAsia" w:ascii="宋体" w:hAnsi="宋体"/>
                <w:bCs/>
                <w:iCs/>
                <w:color w:val="000000"/>
                <w:sz w:val="24"/>
                <w:szCs w:val="22"/>
                <w:lang w:val="zh-CN"/>
              </w:rPr>
              <w:t>。一季度</w:t>
            </w:r>
            <w:r>
              <w:rPr>
                <w:rStyle w:val="6"/>
                <w:rFonts w:hint="eastAsia" w:ascii="宋体" w:hAnsi="宋体"/>
                <w:bCs/>
                <w:iCs/>
                <w:color w:val="000000"/>
                <w:sz w:val="24"/>
                <w:szCs w:val="22"/>
              </w:rPr>
              <w:t>收入方面</w:t>
            </w:r>
            <w:r>
              <w:rPr>
                <w:rStyle w:val="6"/>
                <w:rFonts w:hint="eastAsia" w:ascii="宋体" w:hAnsi="宋体"/>
                <w:bCs/>
                <w:iCs/>
                <w:color w:val="000000"/>
                <w:sz w:val="24"/>
                <w:szCs w:val="22"/>
                <w:lang w:eastAsia="zh-CN"/>
              </w:rPr>
              <w:t>略降</w:t>
            </w:r>
            <w:r>
              <w:rPr>
                <w:rStyle w:val="6"/>
                <w:rFonts w:hint="eastAsia" w:ascii="宋体" w:hAnsi="宋体"/>
                <w:bCs/>
                <w:iCs/>
                <w:color w:val="000000"/>
                <w:sz w:val="24"/>
                <w:szCs w:val="22"/>
              </w:rPr>
              <w:t>，</w:t>
            </w:r>
            <w:r>
              <w:rPr>
                <w:rStyle w:val="6"/>
                <w:rFonts w:hint="eastAsia" w:ascii="宋体" w:hAnsi="宋体"/>
                <w:bCs/>
                <w:iCs/>
                <w:color w:val="000000"/>
                <w:sz w:val="24"/>
                <w:szCs w:val="22"/>
                <w:lang w:eastAsia="zh-CN"/>
              </w:rPr>
              <w:t>主要是</w:t>
            </w:r>
            <w:r>
              <w:rPr>
                <w:rStyle w:val="6"/>
                <w:rFonts w:hint="eastAsia" w:ascii="宋体" w:hAnsi="宋体"/>
                <w:bCs/>
                <w:iCs/>
                <w:color w:val="000000"/>
                <w:sz w:val="24"/>
                <w:szCs w:val="22"/>
              </w:rPr>
              <w:t>子公司海盛制药</w:t>
            </w:r>
            <w:r>
              <w:rPr>
                <w:rStyle w:val="6"/>
                <w:rFonts w:hint="eastAsia" w:ascii="宋体" w:hAnsi="宋体"/>
                <w:bCs/>
                <w:iCs/>
                <w:color w:val="000000"/>
                <w:sz w:val="24"/>
                <w:szCs w:val="22"/>
                <w:lang w:eastAsia="zh-CN"/>
              </w:rPr>
              <w:t>营业收入同比</w:t>
            </w:r>
            <w:r>
              <w:rPr>
                <w:rStyle w:val="6"/>
                <w:rFonts w:hint="eastAsia" w:ascii="宋体" w:hAnsi="宋体"/>
                <w:bCs/>
                <w:iCs/>
                <w:color w:val="000000"/>
                <w:sz w:val="24"/>
                <w:szCs w:val="22"/>
              </w:rPr>
              <w:t>下滑，受到疫情影响部分制剂品种特别是麻醉</w:t>
            </w:r>
            <w:r>
              <w:rPr>
                <w:rStyle w:val="6"/>
                <w:rFonts w:hint="eastAsia" w:ascii="宋体" w:hAnsi="宋体"/>
                <w:bCs/>
                <w:iCs/>
                <w:color w:val="000000"/>
                <w:sz w:val="24"/>
                <w:szCs w:val="22"/>
                <w:lang w:eastAsia="zh-CN"/>
              </w:rPr>
              <w:t>肌松</w:t>
            </w:r>
            <w:r>
              <w:rPr>
                <w:rStyle w:val="6"/>
                <w:rFonts w:hint="eastAsia" w:ascii="宋体" w:hAnsi="宋体"/>
                <w:bCs/>
                <w:iCs/>
                <w:color w:val="000000"/>
                <w:sz w:val="24"/>
                <w:szCs w:val="22"/>
              </w:rPr>
              <w:t>品种营业收入同比减少。</w:t>
            </w:r>
          </w:p>
          <w:p>
            <w:pPr>
              <w:spacing w:line="480" w:lineRule="atLeast"/>
              <w:ind w:firstLine="480" w:firstLineChars="200"/>
              <w:rPr>
                <w:rStyle w:val="6"/>
                <w:rFonts w:hint="eastAsia" w:ascii="宋体" w:hAnsi="宋体"/>
                <w:bCs/>
                <w:iCs/>
                <w:color w:val="000000"/>
                <w:sz w:val="24"/>
                <w:szCs w:val="22"/>
                <w:lang w:val="zh-CN"/>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2、介绍公司（国内、国外）复产复工情况</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w:t>
            </w:r>
            <w:r>
              <w:rPr>
                <w:rFonts w:asciiTheme="minorEastAsia" w:hAnsiTheme="minorEastAsia" w:eastAsiaTheme="minorEastAsia"/>
                <w:sz w:val="24"/>
              </w:rPr>
              <w:t>国内生产</w:t>
            </w:r>
            <w:r>
              <w:rPr>
                <w:rFonts w:hint="eastAsia" w:asciiTheme="minorEastAsia" w:hAnsiTheme="minorEastAsia" w:eastAsiaTheme="minorEastAsia"/>
                <w:sz w:val="24"/>
              </w:rPr>
              <w:t>方面</w:t>
            </w:r>
            <w:r>
              <w:rPr>
                <w:rFonts w:asciiTheme="minorEastAsia" w:hAnsiTheme="minorEastAsia" w:eastAsiaTheme="minorEastAsia"/>
                <w:sz w:val="24"/>
              </w:rPr>
              <w:t>，</w:t>
            </w:r>
            <w:r>
              <w:rPr>
                <w:rStyle w:val="6"/>
                <w:rFonts w:hint="eastAsia" w:ascii="宋体" w:hAnsi="宋体"/>
                <w:bCs/>
                <w:iCs/>
                <w:color w:val="000000"/>
                <w:sz w:val="24"/>
                <w:szCs w:val="22"/>
              </w:rPr>
              <w:t>公司从2月11日起经政府相关部门批准陆续复工</w:t>
            </w:r>
            <w:r>
              <w:rPr>
                <w:rStyle w:val="6"/>
                <w:rFonts w:hint="eastAsia" w:ascii="宋体" w:hAnsi="宋体"/>
                <w:bCs/>
                <w:iCs/>
                <w:color w:val="000000"/>
                <w:sz w:val="24"/>
                <w:szCs w:val="22"/>
                <w:lang w:eastAsia="zh-CN"/>
              </w:rPr>
              <w:t>，</w:t>
            </w:r>
            <w:r>
              <w:rPr>
                <w:rFonts w:hint="eastAsia" w:asciiTheme="minorEastAsia" w:hAnsiTheme="minorEastAsia" w:eastAsiaTheme="minorEastAsia"/>
                <w:sz w:val="24"/>
                <w:lang w:eastAsia="zh-CN"/>
              </w:rPr>
              <w:t>目前已全面复工复产</w:t>
            </w:r>
            <w:r>
              <w:rPr>
                <w:rFonts w:asciiTheme="minorEastAsia" w:hAnsiTheme="minorEastAsia" w:eastAsiaTheme="minorEastAsia"/>
                <w:sz w:val="24"/>
              </w:rPr>
              <w:t>。销售</w:t>
            </w:r>
            <w:r>
              <w:rPr>
                <w:rFonts w:hint="eastAsia" w:asciiTheme="minorEastAsia" w:hAnsiTheme="minorEastAsia" w:eastAsiaTheme="minorEastAsia"/>
                <w:sz w:val="24"/>
              </w:rPr>
              <w:t>方面，一季度原料药整体情况</w:t>
            </w:r>
            <w:r>
              <w:rPr>
                <w:rFonts w:asciiTheme="minorEastAsia" w:hAnsiTheme="minorEastAsia" w:eastAsiaTheme="minorEastAsia"/>
                <w:sz w:val="24"/>
              </w:rPr>
              <w:t>保持了较好的增长，</w:t>
            </w:r>
            <w:r>
              <w:rPr>
                <w:rFonts w:hint="eastAsia" w:asciiTheme="minorEastAsia" w:hAnsiTheme="minorEastAsia" w:eastAsiaTheme="minorEastAsia"/>
                <w:sz w:val="24"/>
              </w:rPr>
              <w:t>制剂端在一定程度上受到疫情的</w:t>
            </w:r>
            <w:r>
              <w:rPr>
                <w:rFonts w:asciiTheme="minorEastAsia" w:hAnsiTheme="minorEastAsia" w:eastAsiaTheme="minorEastAsia"/>
                <w:sz w:val="24"/>
              </w:rPr>
              <w:t>影响，</w:t>
            </w:r>
            <w:r>
              <w:rPr>
                <w:rFonts w:hint="eastAsia" w:asciiTheme="minorEastAsia" w:hAnsiTheme="minorEastAsia" w:eastAsiaTheme="minorEastAsia"/>
                <w:sz w:val="24"/>
                <w:lang w:eastAsia="zh-CN"/>
              </w:rPr>
              <w:t>一季度</w:t>
            </w:r>
            <w:r>
              <w:rPr>
                <w:rFonts w:asciiTheme="minorEastAsia" w:hAnsiTheme="minorEastAsia" w:eastAsiaTheme="minorEastAsia"/>
                <w:sz w:val="24"/>
              </w:rPr>
              <w:t>的</w:t>
            </w:r>
            <w:r>
              <w:rPr>
                <w:rFonts w:hint="eastAsia" w:asciiTheme="minorEastAsia" w:hAnsiTheme="minorEastAsia" w:eastAsiaTheme="minorEastAsia"/>
                <w:sz w:val="24"/>
                <w:lang w:eastAsia="zh-CN"/>
              </w:rPr>
              <w:t>疫情</w:t>
            </w:r>
            <w:r>
              <w:rPr>
                <w:rFonts w:hint="eastAsia" w:asciiTheme="minorEastAsia" w:hAnsiTheme="minorEastAsia" w:eastAsiaTheme="minorEastAsia"/>
                <w:sz w:val="24"/>
              </w:rPr>
              <w:t>对</w:t>
            </w:r>
            <w:r>
              <w:rPr>
                <w:rFonts w:asciiTheme="minorEastAsia" w:hAnsiTheme="minorEastAsia" w:eastAsiaTheme="minorEastAsia"/>
                <w:sz w:val="24"/>
              </w:rPr>
              <w:t>临床用药</w:t>
            </w:r>
            <w:r>
              <w:rPr>
                <w:rFonts w:hint="eastAsia" w:asciiTheme="minorEastAsia" w:hAnsiTheme="minorEastAsia" w:eastAsiaTheme="minorEastAsia"/>
                <w:sz w:val="24"/>
              </w:rPr>
              <w:t>有一定</w:t>
            </w:r>
            <w:r>
              <w:rPr>
                <w:rFonts w:asciiTheme="minorEastAsia" w:hAnsiTheme="minorEastAsia" w:eastAsiaTheme="minorEastAsia"/>
                <w:sz w:val="24"/>
              </w:rPr>
              <w:t>影响。目前</w:t>
            </w:r>
            <w:r>
              <w:rPr>
                <w:rFonts w:hint="eastAsia" w:asciiTheme="minorEastAsia" w:hAnsiTheme="minorEastAsia" w:eastAsiaTheme="minorEastAsia"/>
                <w:sz w:val="24"/>
              </w:rPr>
              <w:t>除</w:t>
            </w:r>
            <w:r>
              <w:rPr>
                <w:rFonts w:hint="eastAsia" w:asciiTheme="minorEastAsia" w:hAnsiTheme="minorEastAsia" w:eastAsiaTheme="minorEastAsia"/>
                <w:sz w:val="24"/>
                <w:lang w:eastAsia="zh-CN"/>
              </w:rPr>
              <w:t>个别</w:t>
            </w:r>
            <w:r>
              <w:rPr>
                <w:rFonts w:asciiTheme="minorEastAsia" w:hAnsiTheme="minorEastAsia" w:eastAsiaTheme="minorEastAsia"/>
                <w:sz w:val="24"/>
              </w:rPr>
              <w:t>地区</w:t>
            </w:r>
            <w:r>
              <w:rPr>
                <w:rFonts w:hint="eastAsia" w:asciiTheme="minorEastAsia" w:hAnsiTheme="minorEastAsia" w:eastAsiaTheme="minorEastAsia"/>
                <w:sz w:val="24"/>
              </w:rPr>
              <w:t>外</w:t>
            </w:r>
            <w:r>
              <w:rPr>
                <w:rFonts w:asciiTheme="minorEastAsia" w:hAnsiTheme="minorEastAsia" w:eastAsiaTheme="minorEastAsia"/>
                <w:sz w:val="24"/>
              </w:rPr>
              <w:t>，</w:t>
            </w:r>
            <w:r>
              <w:rPr>
                <w:rFonts w:hint="eastAsia" w:asciiTheme="minorEastAsia" w:hAnsiTheme="minorEastAsia" w:eastAsiaTheme="minorEastAsia"/>
                <w:sz w:val="24"/>
              </w:rPr>
              <w:t>其它</w:t>
            </w:r>
            <w:r>
              <w:rPr>
                <w:rFonts w:asciiTheme="minorEastAsia" w:hAnsiTheme="minorEastAsia" w:eastAsiaTheme="minorEastAsia"/>
                <w:sz w:val="24"/>
              </w:rPr>
              <w:t>地区逐步</w:t>
            </w:r>
            <w:r>
              <w:rPr>
                <w:rFonts w:hint="eastAsia" w:asciiTheme="minorEastAsia" w:hAnsiTheme="minorEastAsia" w:eastAsiaTheme="minorEastAsia"/>
                <w:sz w:val="24"/>
              </w:rPr>
              <w:t>恢复态势</w:t>
            </w:r>
            <w:r>
              <w:rPr>
                <w:rFonts w:asciiTheme="minorEastAsia" w:hAnsiTheme="minorEastAsia" w:eastAsiaTheme="minorEastAsia"/>
                <w:sz w:val="24"/>
              </w:rPr>
              <w:t xml:space="preserve">向好。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在国外生产方面，</w:t>
            </w:r>
            <w:r>
              <w:rPr>
                <w:rFonts w:asciiTheme="minorEastAsia" w:hAnsiTheme="minorEastAsia" w:eastAsiaTheme="minorEastAsia"/>
                <w:sz w:val="24"/>
              </w:rPr>
              <w:t>意大利</w:t>
            </w:r>
            <w:r>
              <w:rPr>
                <w:rFonts w:hint="eastAsia" w:asciiTheme="minorEastAsia" w:hAnsiTheme="minorEastAsia" w:eastAsiaTheme="minorEastAsia"/>
                <w:sz w:val="24"/>
              </w:rPr>
              <w:t>Newchem公司</w:t>
            </w:r>
            <w:r>
              <w:rPr>
                <w:rFonts w:asciiTheme="minorEastAsia" w:hAnsiTheme="minorEastAsia" w:eastAsiaTheme="minorEastAsia"/>
                <w:sz w:val="24"/>
              </w:rPr>
              <w:t>属于</w:t>
            </w:r>
            <w:r>
              <w:rPr>
                <w:rFonts w:hint="eastAsia" w:asciiTheme="minorEastAsia" w:hAnsiTheme="minorEastAsia" w:eastAsiaTheme="minorEastAsia"/>
                <w:sz w:val="24"/>
              </w:rPr>
              <w:t>医药行业，在疫情</w:t>
            </w:r>
            <w:r>
              <w:rPr>
                <w:rFonts w:asciiTheme="minorEastAsia" w:hAnsiTheme="minorEastAsia" w:eastAsiaTheme="minorEastAsia"/>
                <w:sz w:val="24"/>
              </w:rPr>
              <w:t>期间</w:t>
            </w:r>
            <w:r>
              <w:rPr>
                <w:rFonts w:hint="eastAsia" w:asciiTheme="minorEastAsia" w:hAnsiTheme="minorEastAsia" w:eastAsiaTheme="minorEastAsia"/>
                <w:sz w:val="24"/>
                <w:lang w:eastAsia="zh-CN"/>
              </w:rPr>
              <w:t>按当地政策要求</w:t>
            </w:r>
            <w:r>
              <w:rPr>
                <w:rFonts w:hint="eastAsia" w:asciiTheme="minorEastAsia" w:hAnsiTheme="minorEastAsia" w:eastAsiaTheme="minorEastAsia"/>
                <w:sz w:val="24"/>
              </w:rPr>
              <w:t>，</w:t>
            </w:r>
            <w:r>
              <w:rPr>
                <w:rFonts w:asciiTheme="minorEastAsia" w:hAnsiTheme="minorEastAsia" w:eastAsiaTheme="minorEastAsia"/>
                <w:sz w:val="24"/>
              </w:rPr>
              <w:t>一直保持生产</w:t>
            </w:r>
            <w:r>
              <w:rPr>
                <w:rFonts w:hint="eastAsia" w:asciiTheme="minorEastAsia" w:hAnsiTheme="minorEastAsia" w:eastAsiaTheme="minorEastAsia"/>
                <w:sz w:val="24"/>
                <w:lang w:eastAsia="zh-CN"/>
              </w:rPr>
              <w:t>状态</w:t>
            </w:r>
            <w:r>
              <w:rPr>
                <w:rFonts w:asciiTheme="minorEastAsia" w:hAnsiTheme="minorEastAsia" w:eastAsiaTheme="minorEastAsia"/>
                <w:sz w:val="24"/>
              </w:rPr>
              <w:t>。虽然</w:t>
            </w:r>
            <w:r>
              <w:rPr>
                <w:rFonts w:hint="eastAsia" w:asciiTheme="minorEastAsia" w:hAnsiTheme="minorEastAsia" w:eastAsiaTheme="minorEastAsia"/>
                <w:sz w:val="24"/>
              </w:rPr>
              <w:t>意大利4月份</w:t>
            </w:r>
            <w:r>
              <w:rPr>
                <w:rFonts w:hint="eastAsia" w:asciiTheme="minorEastAsia" w:hAnsiTheme="minorEastAsia" w:eastAsiaTheme="minorEastAsia"/>
                <w:sz w:val="24"/>
                <w:lang w:eastAsia="zh-CN"/>
              </w:rPr>
              <w:t>疫情趋势缓解</w:t>
            </w:r>
            <w:r>
              <w:rPr>
                <w:rFonts w:asciiTheme="minorEastAsia" w:hAnsiTheme="minorEastAsia" w:eastAsiaTheme="minorEastAsia"/>
                <w:sz w:val="24"/>
              </w:rPr>
              <w:t>，</w:t>
            </w:r>
            <w:r>
              <w:rPr>
                <w:rFonts w:hint="eastAsia" w:asciiTheme="minorEastAsia" w:hAnsiTheme="minorEastAsia" w:eastAsiaTheme="minorEastAsia"/>
                <w:sz w:val="24"/>
              </w:rPr>
              <w:t>但考虑到疫情</w:t>
            </w:r>
            <w:r>
              <w:rPr>
                <w:rFonts w:asciiTheme="minorEastAsia" w:hAnsiTheme="minorEastAsia" w:eastAsiaTheme="minorEastAsia"/>
                <w:sz w:val="24"/>
              </w:rPr>
              <w:t>防控</w:t>
            </w:r>
            <w:r>
              <w:rPr>
                <w:rFonts w:hint="eastAsia" w:asciiTheme="minorEastAsia" w:hAnsiTheme="minorEastAsia" w:eastAsiaTheme="minorEastAsia"/>
                <w:sz w:val="24"/>
                <w:lang w:eastAsia="zh-CN"/>
              </w:rPr>
              <w:t>需要，意大利子公司</w:t>
            </w:r>
            <w:r>
              <w:rPr>
                <w:rFonts w:hint="eastAsia" w:asciiTheme="minorEastAsia" w:hAnsiTheme="minorEastAsia" w:eastAsiaTheme="minorEastAsia"/>
                <w:sz w:val="24"/>
              </w:rPr>
              <w:t>产能处于</w:t>
            </w:r>
            <w:r>
              <w:rPr>
                <w:rFonts w:hint="eastAsia" w:asciiTheme="minorEastAsia" w:hAnsiTheme="minorEastAsia" w:eastAsiaTheme="minorEastAsia"/>
                <w:sz w:val="24"/>
                <w:lang w:val="en-US" w:eastAsia="zh-CN"/>
              </w:rPr>
              <w:t>70%-80%的</w:t>
            </w:r>
            <w:r>
              <w:rPr>
                <w:rFonts w:hint="eastAsia" w:asciiTheme="minorEastAsia" w:hAnsiTheme="minorEastAsia" w:eastAsiaTheme="minorEastAsia"/>
                <w:sz w:val="24"/>
                <w:lang w:eastAsia="zh-CN"/>
              </w:rPr>
              <w:t>正常产能区间</w:t>
            </w:r>
            <w:r>
              <w:rPr>
                <w:rFonts w:asciiTheme="minorEastAsia" w:hAnsiTheme="minorEastAsia" w:eastAsiaTheme="minorEastAsia"/>
                <w:sz w:val="24"/>
              </w:rPr>
              <w:t>。目前</w:t>
            </w:r>
            <w:r>
              <w:rPr>
                <w:rFonts w:hint="eastAsia" w:asciiTheme="minorEastAsia" w:hAnsiTheme="minorEastAsia" w:eastAsiaTheme="minorEastAsia"/>
                <w:sz w:val="24"/>
                <w:lang w:eastAsia="zh-CN"/>
              </w:rPr>
              <w:t>国际</w:t>
            </w:r>
            <w:r>
              <w:rPr>
                <w:rFonts w:asciiTheme="minorEastAsia" w:hAnsiTheme="minorEastAsia" w:eastAsiaTheme="minorEastAsia"/>
                <w:sz w:val="24"/>
              </w:rPr>
              <w:t>运输</w:t>
            </w:r>
            <w:r>
              <w:rPr>
                <w:rFonts w:hint="eastAsia" w:asciiTheme="minorEastAsia" w:hAnsiTheme="minorEastAsia" w:eastAsiaTheme="minorEastAsia"/>
                <w:sz w:val="24"/>
                <w:lang w:eastAsia="zh-CN"/>
              </w:rPr>
              <w:t>问题尚待缓解</w:t>
            </w:r>
            <w:r>
              <w:rPr>
                <w:rFonts w:asciiTheme="minorEastAsia" w:hAnsiTheme="minorEastAsia" w:eastAsiaTheme="minorEastAsia"/>
                <w:sz w:val="24"/>
              </w:rPr>
              <w:t>，</w:t>
            </w:r>
            <w:r>
              <w:rPr>
                <w:rFonts w:hint="eastAsia" w:asciiTheme="minorEastAsia" w:hAnsiTheme="minorEastAsia" w:eastAsiaTheme="minorEastAsia"/>
                <w:sz w:val="24"/>
              </w:rPr>
              <w:t>运输效率</w:t>
            </w:r>
            <w:r>
              <w:rPr>
                <w:rFonts w:hint="eastAsia" w:asciiTheme="minorEastAsia" w:hAnsiTheme="minorEastAsia" w:eastAsiaTheme="minorEastAsia"/>
                <w:sz w:val="24"/>
                <w:lang w:eastAsia="zh-CN"/>
              </w:rPr>
              <w:t>降低</w:t>
            </w:r>
            <w:r>
              <w:rPr>
                <w:rFonts w:hint="eastAsia" w:asciiTheme="minorEastAsia" w:hAnsiTheme="minorEastAsia" w:eastAsiaTheme="minorEastAsia"/>
                <w:sz w:val="24"/>
              </w:rPr>
              <w:t>，运输成本增加。</w:t>
            </w:r>
          </w:p>
          <w:p>
            <w:pPr>
              <w:spacing w:line="360" w:lineRule="auto"/>
              <w:ind w:firstLine="480" w:firstLineChars="200"/>
              <w:rPr>
                <w:rFonts w:asciiTheme="minorEastAsia" w:hAnsiTheme="minorEastAsia" w:eastAsiaTheme="minorEastAsia"/>
                <w:sz w:val="24"/>
              </w:rPr>
            </w:pPr>
          </w:p>
          <w:p>
            <w:pPr>
              <w:spacing w:line="360" w:lineRule="auto"/>
              <w:ind w:firstLine="465"/>
              <w:rPr>
                <w:rFonts w:asciiTheme="minorEastAsia" w:hAnsiTheme="minorEastAsia" w:eastAsiaTheme="minorEastAsia"/>
                <w:b/>
                <w:sz w:val="24"/>
              </w:rPr>
            </w:pPr>
            <w:r>
              <w:rPr>
                <w:rFonts w:hint="eastAsia" w:asciiTheme="minorEastAsia" w:hAnsiTheme="minorEastAsia" w:eastAsiaTheme="minorEastAsia"/>
                <w:b/>
                <w:sz w:val="24"/>
              </w:rPr>
              <w:t>3、介绍呼吸科</w:t>
            </w:r>
            <w:r>
              <w:rPr>
                <w:rFonts w:asciiTheme="minorEastAsia" w:hAnsiTheme="minorEastAsia" w:eastAsiaTheme="minorEastAsia"/>
                <w:b/>
                <w:sz w:val="24"/>
              </w:rPr>
              <w:t>产品</w:t>
            </w:r>
            <w:r>
              <w:rPr>
                <w:rFonts w:hint="eastAsia" w:asciiTheme="minorEastAsia" w:hAnsiTheme="minorEastAsia" w:eastAsiaTheme="minorEastAsia"/>
                <w:b/>
                <w:sz w:val="24"/>
              </w:rPr>
              <w:t>相关情况</w:t>
            </w:r>
          </w:p>
          <w:p>
            <w:pPr>
              <w:spacing w:line="360" w:lineRule="auto"/>
              <w:ind w:firstLine="465"/>
              <w:rPr>
                <w:rFonts w:asciiTheme="minorEastAsia" w:hAnsiTheme="minorEastAsia" w:eastAsiaTheme="minorEastAsia"/>
                <w:sz w:val="24"/>
              </w:rPr>
            </w:pPr>
            <w:r>
              <w:rPr>
                <w:rFonts w:asciiTheme="minorEastAsia" w:hAnsiTheme="minorEastAsia" w:eastAsiaTheme="minorEastAsia"/>
                <w:sz w:val="24"/>
              </w:rPr>
              <w:t>吸入制剂</w:t>
            </w:r>
            <w:r>
              <w:rPr>
                <w:rFonts w:hint="eastAsia" w:asciiTheme="minorEastAsia" w:hAnsiTheme="minorEastAsia" w:eastAsiaTheme="minorEastAsia"/>
                <w:sz w:val="24"/>
              </w:rPr>
              <w:t>属于</w:t>
            </w:r>
            <w:r>
              <w:rPr>
                <w:rFonts w:asciiTheme="minorEastAsia" w:hAnsiTheme="minorEastAsia" w:eastAsiaTheme="minorEastAsia"/>
                <w:sz w:val="24"/>
              </w:rPr>
              <w:t>高技术壁垒的领域。</w:t>
            </w:r>
            <w:r>
              <w:rPr>
                <w:rFonts w:hint="eastAsia" w:asciiTheme="minorEastAsia" w:hAnsiTheme="minorEastAsia" w:eastAsiaTheme="minorEastAsia"/>
                <w:sz w:val="24"/>
              </w:rPr>
              <w:t>公司在</w:t>
            </w:r>
            <w:r>
              <w:rPr>
                <w:rFonts w:asciiTheme="minorEastAsia" w:hAnsiTheme="minorEastAsia" w:eastAsiaTheme="minorEastAsia"/>
                <w:sz w:val="24"/>
              </w:rPr>
              <w:t>较早的</w:t>
            </w:r>
            <w:r>
              <w:rPr>
                <w:rFonts w:hint="eastAsia" w:asciiTheme="minorEastAsia" w:hAnsiTheme="minorEastAsia" w:eastAsiaTheme="minorEastAsia"/>
                <w:sz w:val="24"/>
                <w:lang w:eastAsia="zh-CN"/>
              </w:rPr>
              <w:t>布局</w:t>
            </w:r>
            <w:r>
              <w:rPr>
                <w:rFonts w:hint="eastAsia" w:asciiTheme="minorEastAsia" w:hAnsiTheme="minorEastAsia" w:eastAsiaTheme="minorEastAsia"/>
                <w:sz w:val="24"/>
              </w:rPr>
              <w:t>呼吸科产品</w:t>
            </w:r>
            <w:r>
              <w:rPr>
                <w:rFonts w:asciiTheme="minorEastAsia" w:hAnsiTheme="minorEastAsia" w:eastAsiaTheme="minorEastAsia"/>
                <w:sz w:val="24"/>
              </w:rPr>
              <w:t>领域</w:t>
            </w:r>
            <w:r>
              <w:rPr>
                <w:rFonts w:hint="eastAsia" w:asciiTheme="minorEastAsia" w:hAnsiTheme="minorEastAsia" w:eastAsiaTheme="minorEastAsia"/>
                <w:sz w:val="24"/>
                <w:lang w:eastAsia="zh-CN"/>
              </w:rPr>
              <w:t>。近</w:t>
            </w:r>
            <w:r>
              <w:rPr>
                <w:rFonts w:asciiTheme="minorEastAsia" w:hAnsiTheme="minorEastAsia" w:eastAsiaTheme="minorEastAsia"/>
                <w:sz w:val="24"/>
              </w:rPr>
              <w:t>几年呼吸</w:t>
            </w:r>
            <w:r>
              <w:rPr>
                <w:rFonts w:hint="eastAsia" w:asciiTheme="minorEastAsia" w:hAnsiTheme="minorEastAsia" w:eastAsiaTheme="minorEastAsia"/>
                <w:sz w:val="24"/>
              </w:rPr>
              <w:t>科</w:t>
            </w:r>
            <w:r>
              <w:rPr>
                <w:rFonts w:asciiTheme="minorEastAsia" w:hAnsiTheme="minorEastAsia" w:eastAsiaTheme="minorEastAsia"/>
                <w:sz w:val="24"/>
              </w:rPr>
              <w:t>制剂</w:t>
            </w:r>
            <w:r>
              <w:rPr>
                <w:rFonts w:hint="eastAsia" w:asciiTheme="minorEastAsia" w:hAnsiTheme="minorEastAsia" w:eastAsiaTheme="minorEastAsia"/>
                <w:sz w:val="24"/>
                <w:lang w:eastAsia="zh-CN"/>
              </w:rPr>
              <w:t>保持</w:t>
            </w:r>
            <w:r>
              <w:rPr>
                <w:rFonts w:hint="eastAsia" w:asciiTheme="minorEastAsia" w:hAnsiTheme="minorEastAsia" w:eastAsiaTheme="minorEastAsia"/>
                <w:sz w:val="24"/>
              </w:rPr>
              <w:t>较好</w:t>
            </w:r>
            <w:r>
              <w:rPr>
                <w:rFonts w:asciiTheme="minorEastAsia" w:hAnsiTheme="minorEastAsia" w:eastAsiaTheme="minorEastAsia"/>
                <w:sz w:val="24"/>
              </w:rPr>
              <w:t>增速。</w:t>
            </w:r>
            <w:r>
              <w:rPr>
                <w:rFonts w:hint="eastAsia" w:asciiTheme="minorEastAsia" w:hAnsiTheme="minorEastAsia" w:eastAsiaTheme="minorEastAsia"/>
                <w:sz w:val="24"/>
              </w:rPr>
              <w:t>目前的糠酸莫米松鼻喷剂、噻托溴铵吸入粉雾剂等</w:t>
            </w:r>
            <w:r>
              <w:rPr>
                <w:rFonts w:asciiTheme="minorEastAsia" w:hAnsiTheme="minorEastAsia" w:eastAsiaTheme="minorEastAsia"/>
                <w:sz w:val="24"/>
              </w:rPr>
              <w:t>都是</w:t>
            </w:r>
            <w:r>
              <w:rPr>
                <w:rFonts w:hint="eastAsia" w:asciiTheme="minorEastAsia" w:hAnsiTheme="minorEastAsia" w:eastAsiaTheme="minorEastAsia"/>
                <w:sz w:val="24"/>
              </w:rPr>
              <w:t>以一致性评价作为</w:t>
            </w:r>
            <w:r>
              <w:rPr>
                <w:rFonts w:asciiTheme="minorEastAsia" w:hAnsiTheme="minorEastAsia" w:eastAsiaTheme="minorEastAsia"/>
                <w:sz w:val="24"/>
              </w:rPr>
              <w:t>重要抓手</w:t>
            </w:r>
            <w:r>
              <w:rPr>
                <w:rFonts w:hint="eastAsia" w:asciiTheme="minorEastAsia" w:hAnsiTheme="minorEastAsia" w:eastAsiaTheme="minorEastAsia"/>
                <w:sz w:val="24"/>
              </w:rPr>
              <w:t>。通过一致性评价</w:t>
            </w:r>
            <w:r>
              <w:rPr>
                <w:rFonts w:hint="eastAsia" w:asciiTheme="minorEastAsia" w:hAnsiTheme="minorEastAsia" w:eastAsiaTheme="minorEastAsia"/>
                <w:sz w:val="24"/>
                <w:lang w:eastAsia="zh-CN"/>
              </w:rPr>
              <w:t>提升技术能力</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逐步</w:t>
            </w:r>
            <w:r>
              <w:rPr>
                <w:rFonts w:asciiTheme="minorEastAsia" w:hAnsiTheme="minorEastAsia" w:eastAsiaTheme="minorEastAsia"/>
                <w:sz w:val="24"/>
              </w:rPr>
              <w:t>在</w:t>
            </w:r>
            <w:r>
              <w:rPr>
                <w:rFonts w:hint="eastAsia" w:asciiTheme="minorEastAsia" w:hAnsiTheme="minorEastAsia" w:eastAsiaTheme="minorEastAsia"/>
                <w:sz w:val="24"/>
              </w:rPr>
              <w:t>呼吸科</w:t>
            </w:r>
            <w:r>
              <w:rPr>
                <w:rFonts w:asciiTheme="minorEastAsia" w:hAnsiTheme="minorEastAsia" w:eastAsiaTheme="minorEastAsia"/>
                <w:sz w:val="24"/>
              </w:rPr>
              <w:t>领域</w:t>
            </w:r>
            <w:r>
              <w:rPr>
                <w:rFonts w:hint="eastAsia" w:asciiTheme="minorEastAsia" w:hAnsiTheme="minorEastAsia" w:eastAsiaTheme="minorEastAsia"/>
                <w:sz w:val="24"/>
              </w:rPr>
              <w:t>深耕。</w:t>
            </w:r>
            <w:r>
              <w:rPr>
                <w:rFonts w:asciiTheme="minorEastAsia" w:hAnsiTheme="minorEastAsia" w:eastAsiaTheme="minorEastAsia"/>
                <w:sz w:val="24"/>
              </w:rPr>
              <w:t>目前的</w:t>
            </w:r>
            <w:r>
              <w:rPr>
                <w:rFonts w:hint="eastAsia" w:asciiTheme="minorEastAsia" w:hAnsiTheme="minorEastAsia" w:eastAsiaTheme="minorEastAsia"/>
                <w:sz w:val="24"/>
                <w:lang w:eastAsia="zh-CN"/>
              </w:rPr>
              <w:t>产品</w:t>
            </w:r>
            <w:r>
              <w:rPr>
                <w:rFonts w:asciiTheme="minorEastAsia" w:hAnsiTheme="minorEastAsia" w:eastAsiaTheme="minorEastAsia"/>
                <w:sz w:val="24"/>
              </w:rPr>
              <w:t>格局</w:t>
            </w:r>
            <w:r>
              <w:rPr>
                <w:rFonts w:hint="eastAsia" w:asciiTheme="minorEastAsia" w:hAnsiTheme="minorEastAsia" w:eastAsiaTheme="minorEastAsia"/>
                <w:sz w:val="24"/>
              </w:rPr>
              <w:t>、</w:t>
            </w:r>
            <w:r>
              <w:rPr>
                <w:rFonts w:asciiTheme="minorEastAsia" w:hAnsiTheme="minorEastAsia" w:eastAsiaTheme="minorEastAsia"/>
                <w:sz w:val="24"/>
              </w:rPr>
              <w:t>增速</w:t>
            </w:r>
            <w:r>
              <w:rPr>
                <w:rFonts w:hint="eastAsia" w:asciiTheme="minorEastAsia" w:hAnsiTheme="minorEastAsia" w:eastAsiaTheme="minorEastAsia"/>
                <w:sz w:val="24"/>
              </w:rPr>
              <w:t>和</w:t>
            </w:r>
            <w:r>
              <w:rPr>
                <w:rFonts w:asciiTheme="minorEastAsia" w:hAnsiTheme="minorEastAsia" w:eastAsiaTheme="minorEastAsia"/>
                <w:sz w:val="24"/>
              </w:rPr>
              <w:t>市场</w:t>
            </w:r>
            <w:r>
              <w:rPr>
                <w:rFonts w:hint="eastAsia" w:asciiTheme="minorEastAsia" w:hAnsiTheme="minorEastAsia" w:eastAsiaTheme="minorEastAsia"/>
                <w:sz w:val="24"/>
                <w:lang w:eastAsia="zh-CN"/>
              </w:rPr>
              <w:t>均</w:t>
            </w:r>
            <w:r>
              <w:rPr>
                <w:rFonts w:asciiTheme="minorEastAsia" w:hAnsiTheme="minorEastAsia" w:eastAsiaTheme="minorEastAsia"/>
                <w:sz w:val="24"/>
              </w:rPr>
              <w:t>处于较好态势。</w:t>
            </w:r>
          </w:p>
          <w:p>
            <w:pPr>
              <w:spacing w:line="360" w:lineRule="auto"/>
              <w:ind w:firstLine="465"/>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麻醉</w:t>
            </w:r>
            <w:r>
              <w:rPr>
                <w:rFonts w:hint="eastAsia" w:asciiTheme="minorEastAsia" w:hAnsiTheme="minorEastAsia" w:eastAsiaTheme="minorEastAsia"/>
                <w:b/>
                <w:sz w:val="24"/>
              </w:rPr>
              <w:t>肌</w:t>
            </w:r>
            <w:r>
              <w:rPr>
                <w:rFonts w:asciiTheme="minorEastAsia" w:hAnsiTheme="minorEastAsia" w:eastAsiaTheme="minorEastAsia"/>
                <w:b/>
                <w:sz w:val="24"/>
              </w:rPr>
              <w:t>松产品在终端手术科室现在的恢复情况</w:t>
            </w:r>
            <w:r>
              <w:rPr>
                <w:rFonts w:hint="eastAsia" w:asciiTheme="minorEastAsia" w:hAnsiTheme="minorEastAsia" w:eastAsiaTheme="minorEastAsia"/>
                <w:b/>
                <w:sz w:val="24"/>
              </w:rPr>
              <w:t>如何？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不同的省份有所差异</w:t>
            </w:r>
            <w:r>
              <w:rPr>
                <w:rFonts w:hint="eastAsia" w:asciiTheme="minorEastAsia" w:hAnsiTheme="minorEastAsia" w:eastAsiaTheme="minorEastAsia"/>
                <w:sz w:val="24"/>
              </w:rPr>
              <w:t>，</w:t>
            </w:r>
            <w:r>
              <w:rPr>
                <w:rFonts w:asciiTheme="minorEastAsia" w:hAnsiTheme="minorEastAsia" w:eastAsiaTheme="minorEastAsia"/>
                <w:sz w:val="24"/>
              </w:rPr>
              <w:t>临床反馈终端</w:t>
            </w:r>
            <w:r>
              <w:rPr>
                <w:rFonts w:hint="eastAsia" w:asciiTheme="minorEastAsia" w:hAnsiTheme="minorEastAsia" w:eastAsiaTheme="minorEastAsia"/>
                <w:sz w:val="24"/>
                <w:lang w:eastAsia="zh-CN"/>
              </w:rPr>
              <w:t>约</w:t>
            </w:r>
            <w:r>
              <w:rPr>
                <w:rFonts w:asciiTheme="minorEastAsia" w:hAnsiTheme="minorEastAsia" w:eastAsiaTheme="minorEastAsia"/>
                <w:sz w:val="24"/>
              </w:rPr>
              <w:t>恢复到</w:t>
            </w:r>
            <w:r>
              <w:rPr>
                <w:rFonts w:hint="eastAsia" w:asciiTheme="minorEastAsia" w:hAnsiTheme="minorEastAsia" w:eastAsiaTheme="minorEastAsia"/>
                <w:sz w:val="24"/>
              </w:rPr>
              <w:t>正常状态的8</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-90</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相信随着国内疫情防控的好转将会逐步回归正常状态</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5、公司未来</w:t>
            </w:r>
            <w:r>
              <w:rPr>
                <w:rFonts w:asciiTheme="minorEastAsia" w:hAnsiTheme="minorEastAsia" w:eastAsiaTheme="minorEastAsia"/>
                <w:b/>
                <w:sz w:val="24"/>
              </w:rPr>
              <w:t>2</w:t>
            </w:r>
            <w:r>
              <w:rPr>
                <w:rFonts w:hint="eastAsia" w:asciiTheme="minorEastAsia" w:hAnsiTheme="minorEastAsia" w:eastAsiaTheme="minorEastAsia"/>
                <w:b/>
                <w:sz w:val="24"/>
              </w:rPr>
              <w:t>-</w:t>
            </w:r>
            <w:r>
              <w:rPr>
                <w:rFonts w:asciiTheme="minorEastAsia" w:hAnsiTheme="minorEastAsia" w:eastAsiaTheme="minorEastAsia"/>
                <w:b/>
                <w:sz w:val="24"/>
              </w:rPr>
              <w:t>3年研</w:t>
            </w:r>
            <w:r>
              <w:rPr>
                <w:rFonts w:hint="eastAsia" w:asciiTheme="minorEastAsia" w:hAnsiTheme="minorEastAsia" w:eastAsiaTheme="minorEastAsia"/>
                <w:b/>
                <w:sz w:val="24"/>
              </w:rPr>
              <w:t>发状况。</w:t>
            </w:r>
          </w:p>
          <w:p>
            <w:pPr>
              <w:spacing w:line="360" w:lineRule="auto"/>
              <w:ind w:firstLine="480" w:firstLineChars="200"/>
              <w:rPr>
                <w:rFonts w:hint="eastAsia" w:asciiTheme="minorEastAsia" w:hAnsiTheme="minorEastAsia" w:eastAsiaTheme="minorEastAsia"/>
                <w:kern w:val="0"/>
                <w:sz w:val="24"/>
              </w:rPr>
            </w:pPr>
            <w:r>
              <w:rPr>
                <w:rFonts w:asciiTheme="minorEastAsia" w:hAnsiTheme="minorEastAsia" w:eastAsiaTheme="minorEastAsia"/>
                <w:sz w:val="24"/>
              </w:rPr>
              <w:t>公司对研发的重视程度</w:t>
            </w:r>
            <w:r>
              <w:rPr>
                <w:rFonts w:hint="eastAsia" w:asciiTheme="minorEastAsia" w:hAnsiTheme="minorEastAsia" w:eastAsiaTheme="minorEastAsia"/>
                <w:sz w:val="24"/>
              </w:rPr>
              <w:t>、</w:t>
            </w:r>
            <w:r>
              <w:rPr>
                <w:rFonts w:asciiTheme="minorEastAsia" w:hAnsiTheme="minorEastAsia" w:eastAsiaTheme="minorEastAsia"/>
                <w:sz w:val="24"/>
              </w:rPr>
              <w:t>投入程度不断</w:t>
            </w:r>
            <w:r>
              <w:rPr>
                <w:rFonts w:hint="eastAsia" w:asciiTheme="minorEastAsia" w:hAnsiTheme="minorEastAsia" w:eastAsiaTheme="minorEastAsia"/>
                <w:sz w:val="24"/>
              </w:rPr>
              <w:t>加大</w:t>
            </w:r>
            <w:r>
              <w:rPr>
                <w:rFonts w:asciiTheme="minorEastAsia" w:hAnsiTheme="minorEastAsia" w:eastAsiaTheme="minorEastAsia"/>
                <w:sz w:val="24"/>
              </w:rPr>
              <w:t>，未来医疗行业对产品的</w:t>
            </w:r>
            <w:r>
              <w:rPr>
                <w:rFonts w:hint="eastAsia" w:asciiTheme="minorEastAsia" w:hAnsiTheme="minorEastAsia" w:eastAsiaTheme="minorEastAsia"/>
                <w:sz w:val="24"/>
              </w:rPr>
              <w:t>研发只有足够</w:t>
            </w:r>
            <w:r>
              <w:rPr>
                <w:rFonts w:asciiTheme="minorEastAsia" w:hAnsiTheme="minorEastAsia" w:eastAsiaTheme="minorEastAsia"/>
                <w:sz w:val="24"/>
              </w:rPr>
              <w:t>重视，</w:t>
            </w:r>
            <w:r>
              <w:rPr>
                <w:rFonts w:hint="eastAsia" w:asciiTheme="minorEastAsia" w:hAnsiTheme="minorEastAsia" w:eastAsiaTheme="minorEastAsia"/>
                <w:sz w:val="24"/>
                <w:lang w:eastAsia="zh-CN"/>
              </w:rPr>
              <w:t>具有丰富的</w:t>
            </w:r>
            <w:r>
              <w:rPr>
                <w:rFonts w:hint="eastAsia" w:asciiTheme="minorEastAsia" w:hAnsiTheme="minorEastAsia" w:eastAsiaTheme="minorEastAsia"/>
                <w:sz w:val="24"/>
              </w:rPr>
              <w:t>产品</w:t>
            </w:r>
            <w:r>
              <w:rPr>
                <w:rFonts w:hint="eastAsia" w:asciiTheme="minorEastAsia" w:hAnsiTheme="minorEastAsia" w:eastAsiaTheme="minorEastAsia"/>
                <w:sz w:val="24"/>
                <w:lang w:eastAsia="zh-CN"/>
              </w:rPr>
              <w:t>线，才能为未来培育新的增长动能</w:t>
            </w:r>
            <w:r>
              <w:rPr>
                <w:rFonts w:asciiTheme="minorEastAsia" w:hAnsiTheme="minorEastAsia" w:eastAsiaTheme="minorEastAsia"/>
                <w:sz w:val="24"/>
              </w:rPr>
              <w:t>。</w:t>
            </w:r>
            <w:r>
              <w:rPr>
                <w:rFonts w:hint="eastAsia" w:asciiTheme="minorEastAsia" w:hAnsiTheme="minorEastAsia" w:eastAsiaTheme="minorEastAsia"/>
                <w:kern w:val="0"/>
                <w:sz w:val="24"/>
              </w:rPr>
              <w:t>结合整个医药行业环境，</w:t>
            </w:r>
            <w:r>
              <w:rPr>
                <w:rFonts w:hint="eastAsia" w:asciiTheme="minorEastAsia" w:hAnsiTheme="minorEastAsia" w:eastAsiaTheme="minorEastAsia"/>
                <w:kern w:val="0"/>
                <w:sz w:val="24"/>
                <w:lang w:eastAsia="zh-CN"/>
              </w:rPr>
              <w:t>一致性评价</w:t>
            </w:r>
            <w:r>
              <w:rPr>
                <w:rFonts w:hint="eastAsia" w:asciiTheme="minorEastAsia" w:hAnsiTheme="minorEastAsia" w:eastAsiaTheme="minorEastAsia"/>
                <w:kern w:val="0"/>
                <w:sz w:val="24"/>
              </w:rPr>
              <w:t>等政策拔高了技术的门槛。公司2019年度研发费用投入2.04亿元，同比增长</w:t>
            </w:r>
            <w:r>
              <w:rPr>
                <w:rFonts w:asciiTheme="minorEastAsia" w:hAnsiTheme="minorEastAsia" w:eastAsiaTheme="minorEastAsia"/>
                <w:kern w:val="0"/>
                <w:sz w:val="24"/>
              </w:rPr>
              <w:t>43.17%</w:t>
            </w:r>
            <w:r>
              <w:rPr>
                <w:rFonts w:hint="eastAsia" w:asciiTheme="minorEastAsia" w:hAnsiTheme="minorEastAsia" w:eastAsiaTheme="minorEastAsia"/>
                <w:kern w:val="0"/>
                <w:sz w:val="24"/>
              </w:rPr>
              <w:t>，研发投入占营业收入比例</w:t>
            </w:r>
            <w:r>
              <w:rPr>
                <w:rFonts w:asciiTheme="minorEastAsia" w:hAnsiTheme="minorEastAsia" w:eastAsiaTheme="minorEastAsia"/>
                <w:kern w:val="0"/>
                <w:sz w:val="24"/>
              </w:rPr>
              <w:t>5.51%</w:t>
            </w:r>
            <w:r>
              <w:rPr>
                <w:rFonts w:hint="eastAsia" w:asciiTheme="minorEastAsia" w:hAnsiTheme="minorEastAsia" w:eastAsiaTheme="minorEastAsia"/>
                <w:kern w:val="0"/>
                <w:sz w:val="24"/>
              </w:rPr>
              <w:t>。公司在研发投入方面</w:t>
            </w:r>
            <w:r>
              <w:rPr>
                <w:rFonts w:hint="eastAsia" w:asciiTheme="minorEastAsia" w:hAnsiTheme="minorEastAsia" w:eastAsiaTheme="minorEastAsia"/>
                <w:kern w:val="0"/>
                <w:sz w:val="24"/>
                <w:lang w:eastAsia="zh-CN"/>
              </w:rPr>
              <w:t>预计将</w:t>
            </w:r>
            <w:r>
              <w:rPr>
                <w:rFonts w:hint="eastAsia" w:asciiTheme="minorEastAsia" w:hAnsiTheme="minorEastAsia" w:eastAsiaTheme="minorEastAsia"/>
                <w:kern w:val="0"/>
                <w:sz w:val="24"/>
              </w:rPr>
              <w:t>持续增加</w:t>
            </w:r>
            <w:r>
              <w:rPr>
                <w:rFonts w:hint="eastAsia" w:asciiTheme="minorEastAsia" w:hAnsiTheme="minorEastAsia" w:eastAsiaTheme="minorEastAsia"/>
                <w:kern w:val="0"/>
                <w:sz w:val="24"/>
                <w:lang w:eastAsia="zh-CN"/>
              </w:rPr>
              <w:t>，培育</w:t>
            </w:r>
            <w:r>
              <w:rPr>
                <w:rFonts w:hint="eastAsia" w:asciiTheme="minorEastAsia" w:hAnsiTheme="minorEastAsia" w:eastAsiaTheme="minorEastAsia"/>
                <w:kern w:val="0"/>
                <w:sz w:val="24"/>
              </w:rPr>
              <w:t>公司未来</w:t>
            </w:r>
            <w:r>
              <w:rPr>
                <w:rFonts w:hint="eastAsia" w:asciiTheme="minorEastAsia" w:hAnsiTheme="minorEastAsia" w:eastAsiaTheme="minorEastAsia"/>
                <w:kern w:val="0"/>
                <w:sz w:val="24"/>
                <w:lang w:eastAsia="zh-CN"/>
              </w:rPr>
              <w:t>的</w:t>
            </w:r>
            <w:r>
              <w:rPr>
                <w:rFonts w:hint="eastAsia" w:asciiTheme="minorEastAsia" w:hAnsiTheme="minorEastAsia" w:eastAsiaTheme="minorEastAsia"/>
                <w:kern w:val="0"/>
                <w:sz w:val="24"/>
              </w:rPr>
              <w:t>核心竞争力</w:t>
            </w:r>
            <w:r>
              <w:rPr>
                <w:rFonts w:hint="eastAsia" w:asciiTheme="minorEastAsia" w:hAnsiTheme="minorEastAsia" w:eastAsiaTheme="minorEastAsia"/>
                <w:kern w:val="0"/>
                <w:sz w:val="24"/>
                <w:lang w:eastAsia="zh-CN"/>
              </w:rPr>
              <w:t>能力</w:t>
            </w:r>
            <w:r>
              <w:rPr>
                <w:rFonts w:hint="eastAsia"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未来2</w:t>
            </w:r>
            <w:r>
              <w:rPr>
                <w:rFonts w:hint="eastAsia" w:asciiTheme="minorEastAsia" w:hAnsiTheme="minorEastAsia" w:eastAsiaTheme="minorEastAsia"/>
                <w:sz w:val="24"/>
              </w:rPr>
              <w:t>-</w:t>
            </w:r>
            <w:r>
              <w:rPr>
                <w:rFonts w:asciiTheme="minorEastAsia" w:hAnsiTheme="minorEastAsia" w:eastAsiaTheme="minorEastAsia"/>
                <w:sz w:val="24"/>
              </w:rPr>
              <w:t>3年</w:t>
            </w:r>
            <w:r>
              <w:rPr>
                <w:rFonts w:hint="eastAsia" w:asciiTheme="minorEastAsia" w:hAnsiTheme="minorEastAsia" w:eastAsiaTheme="minorEastAsia"/>
                <w:sz w:val="24"/>
              </w:rPr>
              <w:t>公司</w:t>
            </w:r>
            <w:r>
              <w:rPr>
                <w:rFonts w:asciiTheme="minorEastAsia" w:hAnsiTheme="minorEastAsia" w:eastAsiaTheme="minorEastAsia"/>
                <w:sz w:val="24"/>
              </w:rPr>
              <w:t>还</w:t>
            </w:r>
            <w:r>
              <w:rPr>
                <w:rFonts w:hint="eastAsia" w:asciiTheme="minorEastAsia" w:hAnsiTheme="minorEastAsia" w:eastAsiaTheme="minorEastAsia"/>
                <w:sz w:val="24"/>
              </w:rPr>
              <w:t>将</w:t>
            </w:r>
            <w:r>
              <w:rPr>
                <w:rFonts w:asciiTheme="minorEastAsia" w:hAnsiTheme="minorEastAsia" w:eastAsiaTheme="minorEastAsia"/>
                <w:sz w:val="24"/>
              </w:rPr>
              <w:t>紧紧围绕</w:t>
            </w:r>
            <w:r>
              <w:rPr>
                <w:rFonts w:hint="eastAsia" w:asciiTheme="minorEastAsia" w:hAnsiTheme="minorEastAsia" w:eastAsiaTheme="minorEastAsia"/>
                <w:sz w:val="24"/>
                <w:lang w:eastAsia="zh-CN"/>
              </w:rPr>
              <w:t>四大治疗</w:t>
            </w:r>
            <w:r>
              <w:rPr>
                <w:rFonts w:asciiTheme="minorEastAsia" w:hAnsiTheme="minorEastAsia" w:eastAsiaTheme="minorEastAsia"/>
                <w:sz w:val="24"/>
              </w:rPr>
              <w:t>领域</w:t>
            </w:r>
            <w:r>
              <w:rPr>
                <w:rFonts w:hint="eastAsia" w:asciiTheme="minorEastAsia" w:hAnsiTheme="minorEastAsia" w:eastAsiaTheme="minorEastAsia"/>
                <w:sz w:val="24"/>
              </w:rPr>
              <w:t>开展后续研发</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妇科领域</w:t>
            </w:r>
            <w:r>
              <w:rPr>
                <w:rFonts w:hint="eastAsia" w:asciiTheme="minorEastAsia" w:hAnsiTheme="minorEastAsia" w:eastAsiaTheme="minorEastAsia"/>
                <w:sz w:val="24"/>
              </w:rPr>
              <w:t>，公司</w:t>
            </w:r>
            <w:r>
              <w:rPr>
                <w:rFonts w:asciiTheme="minorEastAsia" w:hAnsiTheme="minorEastAsia" w:eastAsiaTheme="minorEastAsia"/>
                <w:sz w:val="24"/>
              </w:rPr>
              <w:t>现</w:t>
            </w:r>
            <w:r>
              <w:rPr>
                <w:rFonts w:hint="eastAsia" w:asciiTheme="minorEastAsia" w:hAnsiTheme="minorEastAsia" w:eastAsiaTheme="minorEastAsia"/>
                <w:sz w:val="24"/>
              </w:rPr>
              <w:t>有主要产品是</w:t>
            </w:r>
            <w:r>
              <w:rPr>
                <w:rFonts w:asciiTheme="minorEastAsia" w:hAnsiTheme="minorEastAsia" w:eastAsiaTheme="minorEastAsia"/>
                <w:sz w:val="24"/>
              </w:rPr>
              <w:t>黄体酮胶囊</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在研产品</w:t>
            </w:r>
            <w:r>
              <w:rPr>
                <w:rFonts w:asciiTheme="minorEastAsia" w:hAnsiTheme="minorEastAsia" w:eastAsiaTheme="minorEastAsia"/>
                <w:sz w:val="24"/>
              </w:rPr>
              <w:t>黄体酮凝胶</w:t>
            </w:r>
            <w:r>
              <w:rPr>
                <w:rFonts w:hint="eastAsia" w:asciiTheme="minorEastAsia" w:hAnsiTheme="minorEastAsia" w:eastAsiaTheme="minorEastAsia"/>
                <w:sz w:val="24"/>
                <w:lang w:eastAsia="zh-CN"/>
              </w:rPr>
              <w:t>处于小试中试阶段</w:t>
            </w:r>
            <w:r>
              <w:rPr>
                <w:rFonts w:hint="eastAsia" w:asciiTheme="minorEastAsia" w:hAnsiTheme="minorEastAsia" w:eastAsiaTheme="minorEastAsia"/>
                <w:sz w:val="24"/>
              </w:rPr>
              <w:t>。（2）</w:t>
            </w:r>
            <w:r>
              <w:rPr>
                <w:rFonts w:asciiTheme="minorEastAsia" w:hAnsiTheme="minorEastAsia" w:eastAsiaTheme="minorEastAsia"/>
                <w:sz w:val="24"/>
              </w:rPr>
              <w:t>麻醉</w:t>
            </w:r>
            <w:r>
              <w:rPr>
                <w:rFonts w:hint="eastAsia" w:asciiTheme="minorEastAsia" w:hAnsiTheme="minorEastAsia" w:eastAsiaTheme="minorEastAsia"/>
                <w:sz w:val="24"/>
              </w:rPr>
              <w:t>肌松领域，公司的产品目前只应用在肌松领域，镇定镇痛还</w:t>
            </w:r>
            <w:r>
              <w:rPr>
                <w:rFonts w:asciiTheme="minorEastAsia" w:hAnsiTheme="minorEastAsia" w:eastAsiaTheme="minorEastAsia"/>
                <w:sz w:val="24"/>
              </w:rPr>
              <w:t>没有涉及。</w:t>
            </w:r>
            <w:r>
              <w:rPr>
                <w:rFonts w:hint="eastAsia" w:asciiTheme="minorEastAsia" w:hAnsiTheme="minorEastAsia" w:eastAsiaTheme="minorEastAsia"/>
                <w:sz w:val="24"/>
              </w:rPr>
              <w:t>公司会努力巩固现有的肌松市场，并在镇痛类市场布局。公司将加快现有品种的</w:t>
            </w:r>
            <w:r>
              <w:rPr>
                <w:rFonts w:asciiTheme="minorEastAsia" w:hAnsiTheme="minorEastAsia" w:eastAsiaTheme="minorEastAsia"/>
                <w:sz w:val="24"/>
              </w:rPr>
              <w:t>一致性评价进程</w:t>
            </w:r>
            <w:r>
              <w:rPr>
                <w:rFonts w:hint="eastAsia" w:asciiTheme="minorEastAsia" w:hAnsiTheme="minorEastAsia" w:eastAsiaTheme="minorEastAsia"/>
                <w:sz w:val="24"/>
              </w:rPr>
              <w:t>。（3）</w:t>
            </w:r>
            <w:r>
              <w:rPr>
                <w:rFonts w:asciiTheme="minorEastAsia" w:hAnsiTheme="minorEastAsia" w:eastAsiaTheme="minorEastAsia"/>
                <w:sz w:val="24"/>
              </w:rPr>
              <w:t>呼吸</w:t>
            </w:r>
            <w:r>
              <w:rPr>
                <w:rFonts w:hint="eastAsia" w:asciiTheme="minorEastAsia" w:hAnsiTheme="minorEastAsia" w:eastAsiaTheme="minorEastAsia"/>
                <w:sz w:val="24"/>
              </w:rPr>
              <w:t>科领域</w:t>
            </w:r>
            <w:r>
              <w:rPr>
                <w:rFonts w:asciiTheme="minorEastAsia" w:hAnsiTheme="minorEastAsia" w:eastAsiaTheme="minorEastAsia"/>
                <w:sz w:val="24"/>
              </w:rPr>
              <w:t>，</w:t>
            </w:r>
            <w:r>
              <w:rPr>
                <w:rFonts w:hint="eastAsia" w:asciiTheme="minorEastAsia" w:hAnsiTheme="minorEastAsia" w:eastAsiaTheme="minorEastAsia"/>
                <w:sz w:val="24"/>
                <w:lang w:eastAsia="zh-CN"/>
              </w:rPr>
              <w:t>继续拓展</w:t>
            </w:r>
            <w:r>
              <w:rPr>
                <w:rFonts w:asciiTheme="minorEastAsia" w:hAnsiTheme="minorEastAsia" w:eastAsiaTheme="minorEastAsia"/>
                <w:sz w:val="24"/>
              </w:rPr>
              <w:t>现有品种，</w:t>
            </w:r>
            <w:r>
              <w:rPr>
                <w:rFonts w:hint="eastAsia" w:asciiTheme="minorEastAsia" w:hAnsiTheme="minorEastAsia" w:eastAsiaTheme="minorEastAsia"/>
                <w:sz w:val="24"/>
                <w:lang w:eastAsia="zh-CN"/>
              </w:rPr>
              <w:t>逐步打造肺部给药技术平台，发展两联、三联的</w:t>
            </w:r>
            <w:r>
              <w:rPr>
                <w:rFonts w:hint="eastAsia" w:asciiTheme="minorEastAsia" w:hAnsiTheme="minorEastAsia" w:eastAsiaTheme="minorEastAsia"/>
                <w:sz w:val="24"/>
              </w:rPr>
              <w:t>复方</w:t>
            </w:r>
            <w:r>
              <w:rPr>
                <w:rFonts w:hint="eastAsia" w:asciiTheme="minorEastAsia" w:hAnsiTheme="minorEastAsia" w:eastAsiaTheme="minorEastAsia"/>
                <w:sz w:val="24"/>
                <w:lang w:eastAsia="zh-CN"/>
              </w:rPr>
              <w:t>呼吸制剂</w:t>
            </w:r>
            <w:r>
              <w:rPr>
                <w:rFonts w:hint="eastAsia" w:asciiTheme="minorEastAsia" w:hAnsiTheme="minorEastAsia" w:eastAsiaTheme="minorEastAsia"/>
                <w:sz w:val="24"/>
              </w:rPr>
              <w:t>产品会</w:t>
            </w:r>
            <w:r>
              <w:rPr>
                <w:rFonts w:asciiTheme="minorEastAsia" w:hAnsiTheme="minorEastAsia" w:eastAsiaTheme="minorEastAsia"/>
                <w:sz w:val="24"/>
              </w:rPr>
              <w:t>是发展方向。</w:t>
            </w:r>
            <w:r>
              <w:rPr>
                <w:rFonts w:hint="eastAsia" w:asciiTheme="minorEastAsia" w:hAnsiTheme="minorEastAsia" w:eastAsiaTheme="minorEastAsia"/>
                <w:sz w:val="24"/>
              </w:rPr>
              <w:t>（4）</w:t>
            </w:r>
            <w:r>
              <w:rPr>
                <w:rFonts w:asciiTheme="minorEastAsia" w:hAnsiTheme="minorEastAsia" w:eastAsiaTheme="minorEastAsia"/>
                <w:sz w:val="24"/>
              </w:rPr>
              <w:t>皮肤</w:t>
            </w:r>
            <w:r>
              <w:rPr>
                <w:rFonts w:hint="eastAsia" w:asciiTheme="minorEastAsia" w:hAnsiTheme="minorEastAsia" w:eastAsiaTheme="minorEastAsia"/>
                <w:sz w:val="24"/>
              </w:rPr>
              <w:t>科</w:t>
            </w:r>
            <w:r>
              <w:rPr>
                <w:rFonts w:asciiTheme="minorEastAsia" w:hAnsiTheme="minorEastAsia" w:eastAsiaTheme="minorEastAsia"/>
                <w:sz w:val="24"/>
              </w:rPr>
              <w:t>领域，</w:t>
            </w:r>
            <w:r>
              <w:rPr>
                <w:rFonts w:hint="eastAsia" w:asciiTheme="minorEastAsia" w:hAnsiTheme="minorEastAsia" w:eastAsiaTheme="minorEastAsia"/>
                <w:sz w:val="24"/>
              </w:rPr>
              <w:t>公司依靠甾体的</w:t>
            </w:r>
            <w:r>
              <w:rPr>
                <w:rFonts w:asciiTheme="minorEastAsia" w:hAnsiTheme="minorEastAsia" w:eastAsiaTheme="minorEastAsia"/>
                <w:sz w:val="24"/>
              </w:rPr>
              <w:t>平台</w:t>
            </w:r>
            <w:r>
              <w:rPr>
                <w:rFonts w:hint="eastAsia" w:asciiTheme="minorEastAsia" w:hAnsiTheme="minorEastAsia" w:eastAsiaTheme="minorEastAsia"/>
                <w:sz w:val="24"/>
              </w:rPr>
              <w:t>深入</w:t>
            </w:r>
            <w:r>
              <w:rPr>
                <w:rFonts w:asciiTheme="minorEastAsia" w:hAnsiTheme="minorEastAsia" w:eastAsiaTheme="minorEastAsia"/>
                <w:sz w:val="24"/>
              </w:rPr>
              <w:t>，</w:t>
            </w:r>
            <w:r>
              <w:rPr>
                <w:rFonts w:hint="eastAsia" w:asciiTheme="minorEastAsia" w:hAnsiTheme="minorEastAsia" w:eastAsiaTheme="minorEastAsia"/>
                <w:sz w:val="24"/>
              </w:rPr>
              <w:t>形成</w:t>
            </w:r>
            <w:r>
              <w:rPr>
                <w:rFonts w:hint="eastAsia" w:asciiTheme="minorEastAsia" w:hAnsiTheme="minorEastAsia" w:eastAsiaTheme="minorEastAsia"/>
                <w:sz w:val="24"/>
                <w:lang w:eastAsia="zh-CN"/>
              </w:rPr>
              <w:t>体系的皮肤科</w:t>
            </w:r>
            <w:r>
              <w:rPr>
                <w:rFonts w:hint="eastAsia" w:asciiTheme="minorEastAsia" w:hAnsiTheme="minorEastAsia" w:eastAsiaTheme="minorEastAsia"/>
                <w:sz w:val="24"/>
              </w:rPr>
              <w:t>产品</w:t>
            </w:r>
            <w:r>
              <w:rPr>
                <w:rFonts w:hint="eastAsia" w:asciiTheme="minorEastAsia" w:hAnsiTheme="minorEastAsia" w:eastAsiaTheme="minorEastAsia"/>
                <w:sz w:val="24"/>
                <w:lang w:eastAsia="zh-CN"/>
              </w:rPr>
              <w:t>集群</w:t>
            </w:r>
            <w:r>
              <w:rPr>
                <w:rFonts w:asciiTheme="minorEastAsia" w:hAnsiTheme="minorEastAsia" w:eastAsiaTheme="minorEastAsia"/>
                <w:sz w:val="24"/>
              </w:rPr>
              <w:t>。</w:t>
            </w:r>
          </w:p>
          <w:p>
            <w:pPr>
              <w:spacing w:line="360" w:lineRule="auto"/>
              <w:ind w:firstLine="482" w:firstLineChars="200"/>
              <w:jc w:val="left"/>
              <w:rPr>
                <w:rFonts w:asciiTheme="minorEastAsia" w:hAnsiTheme="minorEastAsia" w:eastAsiaTheme="minorEastAsia"/>
                <w:b/>
                <w:bCs/>
                <w:sz w:val="24"/>
              </w:rPr>
            </w:pPr>
          </w:p>
          <w:p>
            <w:pPr>
              <w:spacing w:line="360" w:lineRule="auto"/>
              <w:ind w:firstLine="482" w:firstLineChars="200"/>
              <w:jc w:val="left"/>
              <w:rPr>
                <w:rStyle w:val="6"/>
                <w:rFonts w:hint="eastAsia" w:ascii="宋体" w:hAnsi="宋体" w:eastAsia="宋体"/>
                <w:b/>
                <w:sz w:val="24"/>
                <w:szCs w:val="22"/>
                <w:lang w:eastAsia="zh-CN"/>
              </w:rPr>
            </w:pPr>
            <w:r>
              <w:rPr>
                <w:rFonts w:hint="eastAsia" w:asciiTheme="minorEastAsia" w:hAnsiTheme="minorEastAsia" w:eastAsiaTheme="minorEastAsia"/>
                <w:b/>
                <w:bCs/>
                <w:sz w:val="24"/>
              </w:rPr>
              <w:t>6、</w:t>
            </w:r>
            <w:r>
              <w:rPr>
                <w:rStyle w:val="6"/>
                <w:rFonts w:hint="eastAsia" w:ascii="宋体" w:hAnsi="宋体"/>
                <w:b/>
                <w:sz w:val="24"/>
                <w:szCs w:val="22"/>
              </w:rPr>
              <w:t>公司未来</w:t>
            </w:r>
            <w:r>
              <w:rPr>
                <w:rStyle w:val="6"/>
                <w:rFonts w:hint="eastAsia" w:ascii="宋体" w:hAnsi="宋体"/>
                <w:b/>
                <w:sz w:val="24"/>
                <w:szCs w:val="22"/>
                <w:lang w:eastAsia="zh-CN"/>
              </w:rPr>
              <w:t>的发展思路？</w:t>
            </w:r>
          </w:p>
          <w:p>
            <w:pPr>
              <w:spacing w:line="360" w:lineRule="auto"/>
              <w:ind w:firstLine="480"/>
              <w:jc w:val="left"/>
              <w:rPr>
                <w:rStyle w:val="6"/>
                <w:rFonts w:ascii="宋体" w:hAnsi="宋体"/>
                <w:bCs/>
                <w:sz w:val="24"/>
                <w:szCs w:val="22"/>
              </w:rPr>
            </w:pPr>
            <w:r>
              <w:rPr>
                <w:rStyle w:val="6"/>
                <w:rFonts w:hint="eastAsia" w:ascii="宋体" w:hAnsi="宋体"/>
                <w:bCs/>
                <w:iCs/>
                <w:color w:val="000000"/>
                <w:sz w:val="24"/>
                <w:szCs w:val="22"/>
              </w:rPr>
              <w:t>甾体</w:t>
            </w:r>
            <w:r>
              <w:rPr>
                <w:rStyle w:val="6"/>
                <w:rFonts w:hint="eastAsia" w:ascii="宋体" w:hAnsi="宋体"/>
                <w:bCs/>
                <w:sz w:val="24"/>
                <w:szCs w:val="22"/>
              </w:rPr>
              <w:t>原料药是公司的根基和优势之一，拥有独特的产业链，从甾体激素起始物料和中间体向下延伸至众多API、制剂产品，专注做好</w:t>
            </w:r>
            <w:r>
              <w:rPr>
                <w:rStyle w:val="6"/>
                <w:rFonts w:hint="eastAsia" w:ascii="宋体" w:hAnsi="宋体"/>
                <w:bCs/>
                <w:iCs/>
                <w:color w:val="000000"/>
                <w:sz w:val="24"/>
                <w:szCs w:val="22"/>
              </w:rPr>
              <w:t>甾体激素产品</w:t>
            </w:r>
            <w:r>
              <w:rPr>
                <w:rStyle w:val="6"/>
                <w:rFonts w:hint="eastAsia" w:ascii="宋体" w:hAnsi="宋体"/>
                <w:bCs/>
                <w:sz w:val="24"/>
                <w:szCs w:val="22"/>
              </w:rPr>
              <w:t>的研发、生产、销售，寻求产品的</w:t>
            </w:r>
            <w:r>
              <w:rPr>
                <w:rStyle w:val="6"/>
                <w:rFonts w:hint="eastAsia" w:ascii="宋体" w:hAnsi="宋体"/>
                <w:bCs/>
                <w:sz w:val="24"/>
                <w:szCs w:val="22"/>
                <w:lang w:eastAsia="zh-CN"/>
              </w:rPr>
              <w:t>迭代和微创新。</w:t>
            </w:r>
            <w:r>
              <w:rPr>
                <w:rStyle w:val="6"/>
                <w:rFonts w:hint="eastAsia" w:ascii="宋体" w:hAnsi="宋体"/>
                <w:bCs/>
                <w:sz w:val="24"/>
                <w:szCs w:val="22"/>
              </w:rPr>
              <w:t>公司</w:t>
            </w:r>
            <w:r>
              <w:rPr>
                <w:rStyle w:val="6"/>
                <w:rFonts w:hint="eastAsia" w:ascii="宋体" w:hAnsi="宋体"/>
                <w:bCs/>
                <w:iCs/>
                <w:color w:val="000000"/>
                <w:sz w:val="24"/>
                <w:szCs w:val="22"/>
              </w:rPr>
              <w:t>在未来5到10年</w:t>
            </w:r>
            <w:r>
              <w:rPr>
                <w:rStyle w:val="6"/>
                <w:rFonts w:hint="eastAsia" w:ascii="宋体" w:hAnsi="宋体"/>
                <w:bCs/>
                <w:iCs/>
                <w:color w:val="000000"/>
                <w:sz w:val="24"/>
                <w:szCs w:val="22"/>
                <w:lang w:eastAsia="zh-CN"/>
              </w:rPr>
              <w:t>将</w:t>
            </w:r>
            <w:r>
              <w:rPr>
                <w:rStyle w:val="6"/>
                <w:rFonts w:hint="eastAsia" w:ascii="宋体" w:hAnsi="宋体"/>
                <w:bCs/>
                <w:iCs/>
                <w:color w:val="000000"/>
                <w:sz w:val="24"/>
                <w:szCs w:val="22"/>
              </w:rPr>
              <w:t>继续聚焦、深耕</w:t>
            </w:r>
            <w:r>
              <w:rPr>
                <w:rStyle w:val="6"/>
                <w:rFonts w:hint="eastAsia" w:ascii="宋体" w:hAnsi="宋体"/>
                <w:bCs/>
                <w:iCs/>
                <w:color w:val="000000"/>
                <w:sz w:val="24"/>
                <w:szCs w:val="22"/>
                <w:lang w:eastAsia="zh-CN"/>
              </w:rPr>
              <w:t>甾体激素</w:t>
            </w:r>
            <w:r>
              <w:rPr>
                <w:rStyle w:val="6"/>
                <w:rFonts w:hint="eastAsia" w:ascii="宋体" w:hAnsi="宋体"/>
                <w:bCs/>
                <w:iCs/>
                <w:color w:val="000000"/>
                <w:sz w:val="24"/>
                <w:szCs w:val="22"/>
              </w:rPr>
              <w:t>主业。</w:t>
            </w:r>
          </w:p>
          <w:p>
            <w:pPr>
              <w:spacing w:line="360" w:lineRule="auto"/>
              <w:ind w:firstLine="480"/>
              <w:jc w:val="left"/>
              <w:rPr>
                <w:rStyle w:val="6"/>
                <w:rFonts w:ascii="宋体" w:hAnsi="宋体"/>
                <w:sz w:val="24"/>
              </w:rPr>
            </w:pPr>
            <w:r>
              <w:rPr>
                <w:rStyle w:val="6"/>
                <w:rFonts w:hint="eastAsia" w:ascii="宋体" w:hAnsi="宋体"/>
                <w:bCs/>
                <w:iCs/>
                <w:color w:val="000000"/>
                <w:sz w:val="24"/>
                <w:szCs w:val="22"/>
              </w:rPr>
              <w:t>目前公司首要工作是做好杨府原料药新厂区相关产品的稳定生产及国际认证工作，制剂研发方面主要做好现有产品一致性评价申报及部分高技术壁垒仿制药</w:t>
            </w:r>
            <w:r>
              <w:rPr>
                <w:rStyle w:val="6"/>
                <w:rFonts w:hint="eastAsia" w:ascii="宋体" w:hAnsi="宋体"/>
                <w:bCs/>
                <w:iCs/>
                <w:color w:val="000000"/>
                <w:sz w:val="24"/>
                <w:szCs w:val="22"/>
                <w:lang w:eastAsia="zh-CN"/>
              </w:rPr>
              <w:t>和复杂制剂的</w:t>
            </w:r>
            <w:r>
              <w:rPr>
                <w:rStyle w:val="6"/>
                <w:rFonts w:hint="eastAsia" w:ascii="宋体" w:hAnsi="宋体"/>
                <w:bCs/>
                <w:iCs/>
                <w:color w:val="000000"/>
                <w:sz w:val="24"/>
                <w:szCs w:val="22"/>
              </w:rPr>
              <w:t>研发推进工作。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sz w:val="24"/>
              </w:rPr>
            </w:pPr>
            <w:r>
              <w:rPr>
                <w:rStyle w:val="6"/>
                <w:rFonts w:ascii="宋体" w:hAnsi="宋体"/>
                <w:b/>
                <w:bCs/>
                <w:iCs/>
                <w:color w:val="000000"/>
                <w:sz w:val="24"/>
              </w:rPr>
              <w:t>附件清单</w:t>
            </w:r>
          </w:p>
          <w:p>
            <w:pPr>
              <w:spacing w:line="480" w:lineRule="atLeast"/>
              <w:rPr>
                <w:rStyle w:val="6"/>
                <w:rFonts w:ascii="宋体" w:hAnsi="宋体"/>
                <w:b/>
                <w:bCs/>
                <w:iCs/>
                <w:color w:val="000000"/>
                <w:sz w:val="24"/>
              </w:rPr>
            </w:pPr>
            <w:r>
              <w:rPr>
                <w:rStyle w:val="6"/>
                <w:rFonts w:ascii="宋体" w:hAnsi="宋体"/>
                <w:b/>
                <w:bCs/>
                <w:iCs/>
                <w:color w:val="000000"/>
                <w:sz w:val="24"/>
              </w:rPr>
              <w:t>（如有）</w:t>
            </w: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34"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sz w:val="24"/>
              </w:rPr>
            </w:pPr>
            <w:r>
              <w:rPr>
                <w:rStyle w:val="6"/>
                <w:rFonts w:ascii="宋体" w:hAnsi="宋体"/>
                <w:b/>
                <w:bCs/>
                <w:iCs/>
                <w:color w:val="000000"/>
                <w:sz w:val="24"/>
              </w:rPr>
              <w:t>日期</w:t>
            </w:r>
          </w:p>
        </w:tc>
        <w:tc>
          <w:tcPr>
            <w:tcW w:w="7118"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20</w:t>
            </w:r>
            <w:r>
              <w:rPr>
                <w:rStyle w:val="6"/>
                <w:rFonts w:hint="eastAsia" w:ascii="宋体" w:hAnsi="宋体"/>
                <w:bCs/>
                <w:iCs/>
                <w:color w:val="000000"/>
                <w:sz w:val="24"/>
              </w:rPr>
              <w:t>20</w:t>
            </w:r>
            <w:r>
              <w:rPr>
                <w:rStyle w:val="6"/>
                <w:rFonts w:ascii="宋体" w:hAnsi="宋体"/>
                <w:bCs/>
                <w:iCs/>
                <w:color w:val="000000"/>
                <w:sz w:val="24"/>
              </w:rPr>
              <w:t>年</w:t>
            </w:r>
            <w:r>
              <w:rPr>
                <w:rStyle w:val="6"/>
                <w:rFonts w:hint="eastAsia" w:ascii="宋体" w:hAnsi="宋体"/>
                <w:bCs/>
                <w:iCs/>
                <w:color w:val="000000"/>
                <w:sz w:val="24"/>
              </w:rPr>
              <w:t>5</w:t>
            </w:r>
            <w:r>
              <w:rPr>
                <w:rStyle w:val="6"/>
                <w:rFonts w:ascii="宋体" w:hAnsi="宋体"/>
                <w:bCs/>
                <w:iCs/>
                <w:color w:val="000000"/>
                <w:sz w:val="24"/>
              </w:rPr>
              <w:t>月</w:t>
            </w:r>
            <w:r>
              <w:rPr>
                <w:rStyle w:val="6"/>
                <w:rFonts w:hint="eastAsia" w:ascii="宋体" w:hAnsi="宋体"/>
                <w:bCs/>
                <w:iCs/>
                <w:color w:val="000000"/>
                <w:sz w:val="24"/>
              </w:rPr>
              <w:t>12</w:t>
            </w:r>
            <w:r>
              <w:rPr>
                <w:rStyle w:val="6"/>
                <w:rFonts w:ascii="宋体" w:hAnsi="宋体"/>
                <w:bCs/>
                <w:iCs/>
                <w:color w:val="000000"/>
                <w:sz w:val="24"/>
              </w:rPr>
              <w:t>日</w:t>
            </w:r>
          </w:p>
        </w:tc>
      </w:tr>
    </w:tbl>
    <w:p>
      <w:pPr>
        <w:spacing w:line="360" w:lineRule="auto"/>
        <w:ind w:firstLine="360"/>
        <w:jc w:val="left"/>
        <w:rPr>
          <w:rFonts w:asciiTheme="minorEastAsia" w:hAnsiTheme="minorEastAsia" w:eastAsiaTheme="minor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1E"/>
    <w:rsid w:val="000D6523"/>
    <w:rsid w:val="00103205"/>
    <w:rsid w:val="001306A4"/>
    <w:rsid w:val="00130846"/>
    <w:rsid w:val="00177DD8"/>
    <w:rsid w:val="001B0A9F"/>
    <w:rsid w:val="0022211E"/>
    <w:rsid w:val="00222F19"/>
    <w:rsid w:val="002503BF"/>
    <w:rsid w:val="00297DCB"/>
    <w:rsid w:val="00340570"/>
    <w:rsid w:val="00377966"/>
    <w:rsid w:val="00387786"/>
    <w:rsid w:val="003C2CB7"/>
    <w:rsid w:val="004678F9"/>
    <w:rsid w:val="0047743C"/>
    <w:rsid w:val="004C3654"/>
    <w:rsid w:val="00500DAB"/>
    <w:rsid w:val="00525F7E"/>
    <w:rsid w:val="006D7679"/>
    <w:rsid w:val="00763C2E"/>
    <w:rsid w:val="0076775C"/>
    <w:rsid w:val="007B0E42"/>
    <w:rsid w:val="007D35F5"/>
    <w:rsid w:val="00874952"/>
    <w:rsid w:val="00900768"/>
    <w:rsid w:val="009152F2"/>
    <w:rsid w:val="009444EE"/>
    <w:rsid w:val="00977D4C"/>
    <w:rsid w:val="009816F4"/>
    <w:rsid w:val="00A128E7"/>
    <w:rsid w:val="00A41C80"/>
    <w:rsid w:val="00A5095D"/>
    <w:rsid w:val="00A5097D"/>
    <w:rsid w:val="00A903F5"/>
    <w:rsid w:val="00A9296A"/>
    <w:rsid w:val="00AD38E6"/>
    <w:rsid w:val="00B077AE"/>
    <w:rsid w:val="00B408F7"/>
    <w:rsid w:val="00B70C7A"/>
    <w:rsid w:val="00B93618"/>
    <w:rsid w:val="00BC7DAA"/>
    <w:rsid w:val="00BF0534"/>
    <w:rsid w:val="00C80D76"/>
    <w:rsid w:val="00CA551C"/>
    <w:rsid w:val="00E04CBA"/>
    <w:rsid w:val="00E3536B"/>
    <w:rsid w:val="00E5244D"/>
    <w:rsid w:val="00E55D97"/>
    <w:rsid w:val="00EB0518"/>
    <w:rsid w:val="00EB5DDB"/>
    <w:rsid w:val="00EE25F4"/>
    <w:rsid w:val="00F45868"/>
    <w:rsid w:val="00F752A5"/>
    <w:rsid w:val="00F93DC3"/>
    <w:rsid w:val="00F940F1"/>
    <w:rsid w:val="00FA1297"/>
    <w:rsid w:val="00FA662F"/>
    <w:rsid w:val="01D12014"/>
    <w:rsid w:val="077D4822"/>
    <w:rsid w:val="07AD72A1"/>
    <w:rsid w:val="07DB5D29"/>
    <w:rsid w:val="0A6F58F6"/>
    <w:rsid w:val="0C532AAB"/>
    <w:rsid w:val="0C7940D4"/>
    <w:rsid w:val="10657407"/>
    <w:rsid w:val="1183681F"/>
    <w:rsid w:val="11E959F5"/>
    <w:rsid w:val="124B7A44"/>
    <w:rsid w:val="140C6DF4"/>
    <w:rsid w:val="147F5A64"/>
    <w:rsid w:val="15B34797"/>
    <w:rsid w:val="17B00803"/>
    <w:rsid w:val="18C32F71"/>
    <w:rsid w:val="1C5D4CAF"/>
    <w:rsid w:val="1EDE769F"/>
    <w:rsid w:val="20CD1E91"/>
    <w:rsid w:val="21564F9A"/>
    <w:rsid w:val="23C632A7"/>
    <w:rsid w:val="24581CCD"/>
    <w:rsid w:val="24781640"/>
    <w:rsid w:val="248A4BF7"/>
    <w:rsid w:val="24F31793"/>
    <w:rsid w:val="280638E4"/>
    <w:rsid w:val="2827041E"/>
    <w:rsid w:val="289F5D81"/>
    <w:rsid w:val="2A1D5190"/>
    <w:rsid w:val="2C87471B"/>
    <w:rsid w:val="2DA04F8C"/>
    <w:rsid w:val="2E5734CA"/>
    <w:rsid w:val="2F627A5E"/>
    <w:rsid w:val="30B7290D"/>
    <w:rsid w:val="30EA56D6"/>
    <w:rsid w:val="3209648F"/>
    <w:rsid w:val="326E164A"/>
    <w:rsid w:val="38EE1109"/>
    <w:rsid w:val="3ABD635B"/>
    <w:rsid w:val="3AF864F7"/>
    <w:rsid w:val="3CC354D7"/>
    <w:rsid w:val="3D5E64FC"/>
    <w:rsid w:val="3D6545D0"/>
    <w:rsid w:val="3F913CE2"/>
    <w:rsid w:val="422541A4"/>
    <w:rsid w:val="42AC415A"/>
    <w:rsid w:val="4540473C"/>
    <w:rsid w:val="46E771B2"/>
    <w:rsid w:val="485E1656"/>
    <w:rsid w:val="4ADB0EEB"/>
    <w:rsid w:val="4B824593"/>
    <w:rsid w:val="52A42F1D"/>
    <w:rsid w:val="553A50BF"/>
    <w:rsid w:val="55AB1453"/>
    <w:rsid w:val="562C7BD0"/>
    <w:rsid w:val="58DC4EC4"/>
    <w:rsid w:val="59AD2754"/>
    <w:rsid w:val="5AA705F6"/>
    <w:rsid w:val="5D0815E4"/>
    <w:rsid w:val="5F62039E"/>
    <w:rsid w:val="65765787"/>
    <w:rsid w:val="658658D8"/>
    <w:rsid w:val="65B75967"/>
    <w:rsid w:val="66B82C7C"/>
    <w:rsid w:val="691B1209"/>
    <w:rsid w:val="69293B3A"/>
    <w:rsid w:val="6B9C475C"/>
    <w:rsid w:val="6C305B2F"/>
    <w:rsid w:val="6C6C6AE5"/>
    <w:rsid w:val="6CE33CC0"/>
    <w:rsid w:val="6D9D2B3B"/>
    <w:rsid w:val="6DD877BE"/>
    <w:rsid w:val="6EFE0595"/>
    <w:rsid w:val="6F9672BB"/>
    <w:rsid w:val="705D3D32"/>
    <w:rsid w:val="7136186B"/>
    <w:rsid w:val="740657A3"/>
    <w:rsid w:val="74267CE5"/>
    <w:rsid w:val="770C3160"/>
    <w:rsid w:val="778973E0"/>
    <w:rsid w:val="77BE5F17"/>
    <w:rsid w:val="7BF006F4"/>
    <w:rsid w:val="7C1C60B7"/>
    <w:rsid w:val="7E9F1953"/>
    <w:rsid w:val="7F0123F2"/>
    <w:rsid w:val="7F646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character" w:customStyle="1" w:styleId="8">
    <w:name w:val="UserStyle_0"/>
    <w:link w:val="9"/>
    <w:qFormat/>
    <w:uiPriority w:val="0"/>
    <w:rPr>
      <w:kern w:val="2"/>
      <w:sz w:val="18"/>
      <w:szCs w:val="18"/>
    </w:rPr>
  </w:style>
  <w:style w:type="paragraph" w:customStyle="1" w:styleId="9">
    <w:name w:val="Header"/>
    <w:basedOn w:val="1"/>
    <w:link w:val="8"/>
    <w:qFormat/>
    <w:uiPriority w:val="0"/>
    <w:pPr>
      <w:pBdr>
        <w:bottom w:val="single" w:color="000000" w:sz="6" w:space="1"/>
      </w:pBdr>
      <w:tabs>
        <w:tab w:val="center" w:pos="4153"/>
        <w:tab w:val="right" w:pos="8306"/>
      </w:tabs>
      <w:snapToGrid w:val="0"/>
      <w:jc w:val="center"/>
    </w:pPr>
    <w:rPr>
      <w:sz w:val="18"/>
      <w:szCs w:val="18"/>
    </w:rPr>
  </w:style>
  <w:style w:type="character" w:customStyle="1" w:styleId="10">
    <w:name w:val="UserStyle_1"/>
    <w:link w:val="11"/>
    <w:qFormat/>
    <w:uiPriority w:val="0"/>
    <w:rPr>
      <w:kern w:val="2"/>
      <w:sz w:val="18"/>
      <w:szCs w:val="18"/>
    </w:rPr>
  </w:style>
  <w:style w:type="paragraph" w:customStyle="1" w:styleId="11">
    <w:name w:val="Footer"/>
    <w:basedOn w:val="1"/>
    <w:link w:val="10"/>
    <w:qFormat/>
    <w:uiPriority w:val="0"/>
    <w:pPr>
      <w:tabs>
        <w:tab w:val="center" w:pos="4153"/>
        <w:tab w:val="right" w:pos="8306"/>
      </w:tabs>
      <w:snapToGrid w:val="0"/>
      <w:jc w:val="left"/>
    </w:pPr>
    <w:rPr>
      <w:sz w:val="18"/>
      <w:szCs w:val="18"/>
    </w:rPr>
  </w:style>
  <w:style w:type="paragraph" w:customStyle="1" w:styleId="12">
    <w:name w:val="Acetate"/>
    <w:basedOn w:val="1"/>
    <w:qFormat/>
    <w:uiPriority w:val="0"/>
    <w:rPr>
      <w:sz w:val="18"/>
      <w:szCs w:val="18"/>
    </w:rPr>
  </w:style>
  <w:style w:type="character" w:customStyle="1" w:styleId="13">
    <w:name w:val="页眉 Char"/>
    <w:basedOn w:val="5"/>
    <w:link w:val="3"/>
    <w:semiHidden/>
    <w:qFormat/>
    <w:uiPriority w:val="99"/>
    <w:rPr>
      <w:kern w:val="2"/>
      <w:sz w:val="18"/>
      <w:szCs w:val="18"/>
    </w:rPr>
  </w:style>
  <w:style w:type="character" w:customStyle="1" w:styleId="14">
    <w:name w:val="页脚 Char"/>
    <w:basedOn w:val="5"/>
    <w:link w:val="2"/>
    <w:semiHidden/>
    <w:qFormat/>
    <w:uiPriority w:val="99"/>
    <w:rPr>
      <w:kern w:val="2"/>
      <w:sz w:val="18"/>
      <w:szCs w:val="18"/>
    </w:rPr>
  </w:style>
  <w:style w:type="character" w:customStyle="1" w:styleId="15">
    <w:name w:val="font01"/>
    <w:basedOn w:val="5"/>
    <w:qFormat/>
    <w:uiPriority w:val="0"/>
    <w:rPr>
      <w:rFonts w:ascii="Arial" w:hAnsi="Arial" w:cs="Arial"/>
      <w:color w:val="000000"/>
      <w:sz w:val="20"/>
      <w:szCs w:val="20"/>
      <w:u w:val="none"/>
    </w:rPr>
  </w:style>
  <w:style w:type="character" w:customStyle="1" w:styleId="1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97D07-BBE7-4CBB-A932-9F6985BED9C7}">
  <ds:schemaRefs/>
</ds:datastoreItem>
</file>

<file path=docProps/app.xml><?xml version="1.0" encoding="utf-8"?>
<Properties xmlns="http://schemas.openxmlformats.org/officeDocument/2006/extended-properties" xmlns:vt="http://schemas.openxmlformats.org/officeDocument/2006/docPropsVTypes">
  <Template>Normal</Template>
  <Pages>4</Pages>
  <Words>432</Words>
  <Characters>2468</Characters>
  <Lines>20</Lines>
  <Paragraphs>5</Paragraphs>
  <TotalTime>3</TotalTime>
  <ScaleCrop>false</ScaleCrop>
  <LinksUpToDate>false</LinksUpToDate>
  <CharactersWithSpaces>2895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2020-05-14T09:13:00Z</dcterms:created>
  <dc:creator>XJ-CJ3-21</dc:creator>
  <cp:lastModifiedBy>九日</cp:lastModifiedBy>
  <cp:lastPrinted>2020-03-05T00:57:00Z</cp:lastPrinted>
  <dcterms:modified xsi:type="dcterms:W3CDTF">2020-05-14T13:01:46Z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