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42" w:rsidRDefault="009F1C5A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</w:t>
      </w:r>
      <w:r>
        <w:rPr>
          <w:bCs/>
          <w:iCs/>
          <w:color w:val="000000"/>
          <w:sz w:val="24"/>
        </w:rPr>
        <w:t>券代码：</w:t>
      </w:r>
      <w:r>
        <w:rPr>
          <w:bCs/>
          <w:iCs/>
          <w:color w:val="000000"/>
          <w:sz w:val="24"/>
        </w:rPr>
        <w:t xml:space="preserve">002423                                   </w:t>
      </w:r>
      <w:r>
        <w:rPr>
          <w:bCs/>
          <w:iCs/>
          <w:color w:val="000000"/>
          <w:sz w:val="24"/>
        </w:rPr>
        <w:t>证券简称：中粮资</w:t>
      </w:r>
      <w:r>
        <w:rPr>
          <w:rFonts w:ascii="宋体" w:hAnsi="宋体" w:hint="eastAsia"/>
          <w:bCs/>
          <w:iCs/>
          <w:color w:val="000000"/>
          <w:sz w:val="24"/>
        </w:rPr>
        <w:t>本</w:t>
      </w:r>
    </w:p>
    <w:p w:rsidR="007E0C42" w:rsidRDefault="007E0C42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</w:p>
    <w:p w:rsidR="007E0C42" w:rsidRDefault="009F1C5A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中粮资本控股股份有限公司投资者关系活动记录表</w:t>
      </w:r>
    </w:p>
    <w:p w:rsidR="007E0C42" w:rsidRDefault="009F1C5A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编号：</w:t>
      </w:r>
      <w:r>
        <w:rPr>
          <w:bCs/>
          <w:iCs/>
          <w:color w:val="000000"/>
          <w:sz w:val="24"/>
        </w:rPr>
        <w:t>2020052</w:t>
      </w:r>
      <w:r>
        <w:rPr>
          <w:rFonts w:hint="eastAsia"/>
          <w:bCs/>
          <w:iCs/>
          <w:color w:val="000000"/>
          <w:sz w:val="24"/>
        </w:rPr>
        <w:t>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58"/>
        <w:gridCol w:w="6764"/>
      </w:tblGrid>
      <w:tr w:rsidR="007E0C42">
        <w:trPr>
          <w:trHeight w:val="2300"/>
        </w:trPr>
        <w:tc>
          <w:tcPr>
            <w:tcW w:w="1758" w:type="dxa"/>
            <w:vAlign w:val="center"/>
          </w:tcPr>
          <w:p w:rsidR="007E0C42" w:rsidRDefault="009F1C5A" w:rsidP="00747D94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</w:t>
            </w:r>
          </w:p>
          <w:p w:rsidR="007E0C42" w:rsidRDefault="009F1C5A" w:rsidP="00747D94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活动类别</w:t>
            </w:r>
          </w:p>
        </w:tc>
        <w:tc>
          <w:tcPr>
            <w:tcW w:w="6764" w:type="dxa"/>
          </w:tcPr>
          <w:p w:rsidR="007E0C42" w:rsidRDefault="009F1C5A" w:rsidP="00B86AD5">
            <w:pPr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sz w:val="24"/>
              </w:rPr>
              <w:t xml:space="preserve">特定对象调研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分析师会议</w:t>
            </w:r>
          </w:p>
          <w:p w:rsidR="007E0C42" w:rsidRDefault="009F1C5A" w:rsidP="00B86AD5">
            <w:pPr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媒体采访   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业绩说明会</w:t>
            </w:r>
          </w:p>
          <w:p w:rsidR="007E0C42" w:rsidRDefault="009F1C5A" w:rsidP="00B86AD5">
            <w:pPr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新闻发布会 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路演活动</w:t>
            </w:r>
          </w:p>
          <w:p w:rsidR="007E0C42" w:rsidRDefault="009F1C5A" w:rsidP="00B86AD5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现场参观</w:t>
            </w:r>
          </w:p>
          <w:p w:rsidR="007E0C42" w:rsidRDefault="009F1C5A" w:rsidP="00B86AD5">
            <w:pPr>
              <w:tabs>
                <w:tab w:val="center" w:pos="3199"/>
              </w:tabs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</w:tr>
      <w:tr w:rsidR="007E0C42">
        <w:tc>
          <w:tcPr>
            <w:tcW w:w="1758" w:type="dxa"/>
            <w:vAlign w:val="center"/>
          </w:tcPr>
          <w:p w:rsidR="007E0C42" w:rsidRDefault="009F1C5A" w:rsidP="00747D94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764" w:type="dxa"/>
            <w:vAlign w:val="center"/>
          </w:tcPr>
          <w:p w:rsidR="007E0C42" w:rsidRDefault="009F1C5A" w:rsidP="00522D41">
            <w:pPr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国泰君安：刘欣琦</w:t>
            </w:r>
          </w:p>
        </w:tc>
      </w:tr>
      <w:tr w:rsidR="007E0C42">
        <w:tc>
          <w:tcPr>
            <w:tcW w:w="1758" w:type="dxa"/>
            <w:vAlign w:val="center"/>
          </w:tcPr>
          <w:p w:rsidR="007E0C42" w:rsidRDefault="009F1C5A" w:rsidP="00B86AD5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764" w:type="dxa"/>
          </w:tcPr>
          <w:p w:rsidR="007E0C42" w:rsidRDefault="009F1C5A" w:rsidP="00B86AD5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2020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bCs/>
                <w:iCs/>
                <w:color w:val="000000"/>
                <w:sz w:val="24"/>
              </w:rPr>
              <w:t>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2</w:t>
            </w:r>
            <w:r>
              <w:rPr>
                <w:bCs/>
                <w:iCs/>
                <w:color w:val="000000"/>
                <w:sz w:val="24"/>
              </w:rPr>
              <w:t>日</w:t>
            </w:r>
          </w:p>
        </w:tc>
      </w:tr>
      <w:tr w:rsidR="007E0C42">
        <w:tc>
          <w:tcPr>
            <w:tcW w:w="1758" w:type="dxa"/>
            <w:vAlign w:val="center"/>
          </w:tcPr>
          <w:p w:rsidR="007E0C42" w:rsidRDefault="009F1C5A" w:rsidP="00B86AD5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764" w:type="dxa"/>
          </w:tcPr>
          <w:p w:rsidR="007E0C42" w:rsidRDefault="00522D41" w:rsidP="00B86AD5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北京市朝阳区</w:t>
            </w:r>
            <w:r w:rsidR="009F1C5A">
              <w:rPr>
                <w:rFonts w:ascii="宋体" w:hAnsi="宋体" w:hint="eastAsia"/>
                <w:bCs/>
                <w:iCs/>
                <w:color w:val="000000"/>
                <w:sz w:val="24"/>
              </w:rPr>
              <w:t>中粮福临门大厦11层</w:t>
            </w:r>
          </w:p>
        </w:tc>
      </w:tr>
      <w:tr w:rsidR="007E0C42">
        <w:tc>
          <w:tcPr>
            <w:tcW w:w="1758" w:type="dxa"/>
            <w:vAlign w:val="center"/>
          </w:tcPr>
          <w:p w:rsidR="007E0C42" w:rsidRDefault="009F1C5A" w:rsidP="00747D94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</w:t>
            </w:r>
          </w:p>
          <w:p w:rsidR="007E0C42" w:rsidRDefault="009F1C5A" w:rsidP="00747D94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接待人员姓名</w:t>
            </w:r>
          </w:p>
        </w:tc>
        <w:tc>
          <w:tcPr>
            <w:tcW w:w="6764" w:type="dxa"/>
            <w:vAlign w:val="center"/>
          </w:tcPr>
          <w:p w:rsidR="007E0C42" w:rsidRPr="00C45BFE" w:rsidRDefault="009F1C5A" w:rsidP="00C45BFE">
            <w:pPr>
              <w:spacing w:line="360" w:lineRule="auto"/>
              <w:jc w:val="left"/>
              <w:rPr>
                <w:rFonts w:ascii="宋体" w:hAnsi="宋体"/>
                <w:bCs/>
                <w:iCs/>
                <w:color w:val="000000"/>
                <w:sz w:val="24"/>
              </w:rPr>
            </w:pPr>
            <w:r w:rsidRPr="00C45BFE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公司董事会秘书兼财务负责人姜正华，证券事务代表魏峰</w:t>
            </w:r>
          </w:p>
        </w:tc>
      </w:tr>
      <w:tr w:rsidR="007E0C42">
        <w:trPr>
          <w:trHeight w:val="629"/>
        </w:trPr>
        <w:tc>
          <w:tcPr>
            <w:tcW w:w="1758" w:type="dxa"/>
            <w:vAlign w:val="center"/>
          </w:tcPr>
          <w:p w:rsidR="007E0C42" w:rsidRDefault="009F1C5A" w:rsidP="00312438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</w:t>
            </w:r>
          </w:p>
          <w:p w:rsidR="007E0C42" w:rsidRDefault="009F1C5A" w:rsidP="00312438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活动主要内容介绍</w:t>
            </w:r>
          </w:p>
        </w:tc>
        <w:tc>
          <w:tcPr>
            <w:tcW w:w="6764" w:type="dxa"/>
          </w:tcPr>
          <w:p w:rsidR="007E0C42" w:rsidRDefault="009F1C5A" w:rsidP="00522D41">
            <w:pPr>
              <w:numPr>
                <w:ilvl w:val="255"/>
                <w:numId w:val="0"/>
              </w:numPr>
              <w:spacing w:line="360" w:lineRule="auto"/>
              <w:rPr>
                <w:b/>
                <w:bCs/>
                <w:iCs/>
                <w:color w:val="000000"/>
                <w:sz w:val="24"/>
              </w:rPr>
            </w:pPr>
            <w:r>
              <w:rPr>
                <w:rFonts w:hint="eastAsia"/>
                <w:b/>
                <w:bCs/>
                <w:iCs/>
                <w:color w:val="000000"/>
                <w:sz w:val="24"/>
              </w:rPr>
              <w:t>一、介绍中粮资本基本情况及</w:t>
            </w:r>
            <w:r>
              <w:rPr>
                <w:rFonts w:hint="eastAsia"/>
                <w:b/>
                <w:bCs/>
                <w:iCs/>
                <w:color w:val="000000"/>
                <w:sz w:val="24"/>
              </w:rPr>
              <w:t>2019</w:t>
            </w:r>
            <w:r>
              <w:rPr>
                <w:rFonts w:hint="eastAsia"/>
                <w:b/>
                <w:bCs/>
                <w:iCs/>
                <w:color w:val="000000"/>
                <w:sz w:val="24"/>
              </w:rPr>
              <w:t>年重点工作和经营情况</w:t>
            </w:r>
          </w:p>
          <w:p w:rsidR="007E0C42" w:rsidRDefault="009F1C5A" w:rsidP="00312438">
            <w:pPr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公司董事会秘书兼财务负责人</w:t>
            </w:r>
            <w:r>
              <w:rPr>
                <w:bCs/>
                <w:iCs/>
                <w:color w:val="000000"/>
                <w:sz w:val="24"/>
              </w:rPr>
              <w:t>姜正华女士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详细介绍了</w:t>
            </w:r>
            <w:r w:rsidR="006D3AB1">
              <w:rPr>
                <w:rFonts w:hint="eastAsia"/>
                <w:bCs/>
                <w:iCs/>
                <w:color w:val="000000"/>
                <w:sz w:val="24"/>
              </w:rPr>
              <w:t>中粮资本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以下情况：</w:t>
            </w:r>
          </w:p>
          <w:p w:rsidR="007E0C42" w:rsidRDefault="009F1C5A" w:rsidP="00312438">
            <w:pPr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、公司历史沿革及上市过程</w:t>
            </w:r>
          </w:p>
          <w:p w:rsidR="007E0C42" w:rsidRDefault="006D3AB1" w:rsidP="00312438">
            <w:pPr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着重</w:t>
            </w:r>
            <w:r w:rsidR="009F1C5A">
              <w:rPr>
                <w:rFonts w:hint="eastAsia"/>
                <w:bCs/>
                <w:iCs/>
                <w:color w:val="000000"/>
                <w:sz w:val="24"/>
              </w:rPr>
              <w:t>介绍了中粮资本金融业务的发展历程，并回顾了中粮资本</w:t>
            </w:r>
            <w:r w:rsidR="009F1C5A">
              <w:rPr>
                <w:rFonts w:hint="eastAsia"/>
                <w:bCs/>
                <w:iCs/>
                <w:color w:val="000000"/>
                <w:sz w:val="24"/>
              </w:rPr>
              <w:t>2017</w:t>
            </w:r>
            <w:r w:rsidR="009F1C5A">
              <w:rPr>
                <w:rFonts w:hint="eastAsia"/>
                <w:bCs/>
                <w:iCs/>
                <w:color w:val="000000"/>
                <w:sz w:val="24"/>
              </w:rPr>
              <w:t>年混合所有制改革以及</w:t>
            </w:r>
            <w:r w:rsidR="009F1C5A">
              <w:rPr>
                <w:rFonts w:hint="eastAsia"/>
                <w:bCs/>
                <w:iCs/>
                <w:color w:val="000000"/>
                <w:sz w:val="24"/>
              </w:rPr>
              <w:t>2019</w:t>
            </w:r>
            <w:r w:rsidR="009F1C5A">
              <w:rPr>
                <w:rFonts w:hint="eastAsia"/>
                <w:bCs/>
                <w:iCs/>
                <w:color w:val="000000"/>
                <w:sz w:val="24"/>
              </w:rPr>
              <w:t>年重大资产重组上市的过程。</w:t>
            </w:r>
          </w:p>
          <w:p w:rsidR="007E0C42" w:rsidRDefault="009F1C5A" w:rsidP="00312438">
            <w:pPr>
              <w:spacing w:line="360" w:lineRule="auto"/>
              <w:ind w:firstLineChars="200" w:firstLine="480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、公司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2019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年整体经营业绩</w:t>
            </w:r>
          </w:p>
          <w:p w:rsidR="007E0C42" w:rsidRDefault="009F1C5A" w:rsidP="00312438">
            <w:pPr>
              <w:numPr>
                <w:ilvl w:val="255"/>
                <w:numId w:val="0"/>
              </w:numPr>
              <w:spacing w:line="360" w:lineRule="auto"/>
              <w:ind w:firstLineChars="200" w:firstLine="480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2019</w:t>
            </w:r>
            <w:r>
              <w:rPr>
                <w:bCs/>
                <w:iCs/>
                <w:color w:val="000000"/>
                <w:sz w:val="24"/>
              </w:rPr>
              <w:t>年既是中粮资本成功完成重大资产重组的一年，也是公司战略转型的开局之年，公司立足金融业务板块深耕细作，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并</w:t>
            </w:r>
            <w:r>
              <w:rPr>
                <w:rFonts w:hint="eastAsia"/>
                <w:bCs/>
                <w:iCs/>
                <w:color w:val="000000"/>
                <w:sz w:val="24"/>
                <w:lang w:val="zh-CN"/>
              </w:rPr>
              <w:t>以高质量发展战略规划和市场化经营机制持续提升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自身</w:t>
            </w:r>
            <w:r>
              <w:rPr>
                <w:rFonts w:hint="eastAsia"/>
                <w:bCs/>
                <w:iCs/>
                <w:color w:val="000000"/>
                <w:sz w:val="24"/>
                <w:lang w:val="zh-CN"/>
              </w:rPr>
              <w:t>核心竞争力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。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2019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年，公司实现营业总收入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112.58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亿元，同比上升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16.31%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，实现归母净利润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6.52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亿元，同比上升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27.88%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。</w:t>
            </w:r>
          </w:p>
          <w:p w:rsidR="007E0C42" w:rsidRDefault="009F1C5A" w:rsidP="00312438">
            <w:pPr>
              <w:spacing w:line="360" w:lineRule="auto"/>
              <w:ind w:firstLineChars="200" w:firstLine="480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lastRenderedPageBreak/>
              <w:t>3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、公司主要控参股公司经营情况</w:t>
            </w:r>
          </w:p>
          <w:p w:rsidR="00AE76F1" w:rsidRDefault="009F1C5A" w:rsidP="00AE7232">
            <w:pPr>
              <w:spacing w:line="360" w:lineRule="auto"/>
              <w:ind w:firstLineChars="200" w:firstLine="480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介绍了中粮资本下属主要控参股公司的业务情况</w:t>
            </w:r>
            <w:r>
              <w:rPr>
                <w:bCs/>
                <w:iCs/>
                <w:color w:val="000000"/>
                <w:sz w:val="24"/>
              </w:rPr>
              <w:t>，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并重点介绍了中英人寿、中粮信托、中粮期货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2019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年度的重点工作、经营情况以及核心竞争力建设工作。</w:t>
            </w:r>
          </w:p>
          <w:p w:rsidR="007E0C42" w:rsidRDefault="00FE04F4" w:rsidP="00522D41">
            <w:pPr>
              <w:spacing w:line="360" w:lineRule="auto"/>
              <w:rPr>
                <w:rFonts w:ascii="宋体" w:hAnsi="宋体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二、</w:t>
            </w:r>
            <w:r w:rsidR="009F1C5A">
              <w:rPr>
                <w:rFonts w:ascii="宋体" w:hAnsi="宋体" w:hint="eastAsia"/>
                <w:b/>
                <w:iCs/>
                <w:color w:val="000000"/>
                <w:sz w:val="24"/>
              </w:rPr>
              <w:t>公司为什么选择保险业作为重点</w:t>
            </w:r>
            <w:r w:rsidR="009E6F2B">
              <w:rPr>
                <w:rFonts w:ascii="宋体" w:hAnsi="宋体" w:hint="eastAsia"/>
                <w:b/>
                <w:iCs/>
                <w:color w:val="000000"/>
                <w:sz w:val="24"/>
              </w:rPr>
              <w:t>业务</w:t>
            </w:r>
            <w:r w:rsidR="009F1C5A">
              <w:rPr>
                <w:rFonts w:ascii="宋体" w:hAnsi="宋体" w:hint="eastAsia"/>
                <w:b/>
                <w:iCs/>
                <w:color w:val="000000"/>
                <w:sz w:val="24"/>
              </w:rPr>
              <w:t>发展方向</w:t>
            </w:r>
            <w:r w:rsidR="00A30E2A">
              <w:rPr>
                <w:rFonts w:ascii="宋体" w:hAnsi="宋体" w:hint="eastAsia"/>
                <w:b/>
                <w:iCs/>
                <w:color w:val="000000"/>
                <w:sz w:val="24"/>
              </w:rPr>
              <w:t>之一</w:t>
            </w:r>
            <w:r w:rsidR="00522D41">
              <w:rPr>
                <w:rFonts w:ascii="宋体" w:hAnsi="宋体" w:hint="eastAsia"/>
                <w:b/>
                <w:iCs/>
                <w:color w:val="000000"/>
                <w:sz w:val="24"/>
              </w:rPr>
              <w:t>以及如何发展</w:t>
            </w:r>
          </w:p>
          <w:p w:rsidR="007E0C42" w:rsidRDefault="009F1C5A" w:rsidP="00312438">
            <w:pPr>
              <w:spacing w:line="360" w:lineRule="auto"/>
              <w:ind w:firstLineChars="200" w:firstLine="480"/>
              <w:rPr>
                <w:rFonts w:ascii="宋体" w:hAnsi="宋体"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iCs/>
                <w:color w:val="000000"/>
                <w:sz w:val="24"/>
              </w:rPr>
              <w:t>公司董事会秘书兼财务负责人姜正华女士回复如下：</w:t>
            </w:r>
          </w:p>
          <w:p w:rsidR="007E0C42" w:rsidRDefault="00710B4F" w:rsidP="00522D41">
            <w:pPr>
              <w:spacing w:line="360" w:lineRule="auto"/>
              <w:ind w:firstLineChars="200" w:firstLine="480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作为对公司营业总收入和归母净利润贡献最大的业务板块，</w:t>
            </w:r>
            <w:r w:rsidR="009F1C5A">
              <w:rPr>
                <w:rFonts w:hint="eastAsia"/>
                <w:bCs/>
                <w:iCs/>
                <w:color w:val="000000"/>
                <w:sz w:val="24"/>
              </w:rPr>
              <w:t>公司控股子公司</w:t>
            </w:r>
            <w:r w:rsidR="009F1C5A">
              <w:rPr>
                <w:bCs/>
                <w:iCs/>
                <w:color w:val="000000"/>
                <w:sz w:val="24"/>
              </w:rPr>
              <w:t>中英人寿经过</w:t>
            </w:r>
            <w:r w:rsidR="009F1C5A">
              <w:rPr>
                <w:bCs/>
                <w:iCs/>
                <w:color w:val="000000"/>
                <w:sz w:val="24"/>
              </w:rPr>
              <w:t>17</w:t>
            </w:r>
            <w:r w:rsidR="009F1C5A">
              <w:rPr>
                <w:bCs/>
                <w:iCs/>
                <w:color w:val="000000"/>
                <w:sz w:val="24"/>
              </w:rPr>
              <w:t>年的稳健发展，</w:t>
            </w:r>
            <w:r w:rsidR="009F1C5A">
              <w:rPr>
                <w:bCs/>
                <w:iCs/>
                <w:color w:val="000000"/>
                <w:sz w:val="24"/>
              </w:rPr>
              <w:t>2019</w:t>
            </w:r>
            <w:r w:rsidR="009F1C5A">
              <w:rPr>
                <w:bCs/>
                <w:iCs/>
                <w:color w:val="000000"/>
                <w:sz w:val="24"/>
              </w:rPr>
              <w:t>年保费收入接近</w:t>
            </w:r>
            <w:r w:rsidR="009F1C5A">
              <w:rPr>
                <w:bCs/>
                <w:iCs/>
                <w:color w:val="000000"/>
                <w:sz w:val="24"/>
              </w:rPr>
              <w:t>100</w:t>
            </w:r>
            <w:r w:rsidR="009F1C5A">
              <w:rPr>
                <w:bCs/>
                <w:iCs/>
                <w:color w:val="000000"/>
                <w:sz w:val="24"/>
              </w:rPr>
              <w:t>亿，</w:t>
            </w:r>
            <w:r w:rsidR="003F3D5C">
              <w:rPr>
                <w:rFonts w:hint="eastAsia"/>
                <w:bCs/>
                <w:iCs/>
                <w:color w:val="000000"/>
                <w:sz w:val="24"/>
              </w:rPr>
              <w:t>稳居</w:t>
            </w:r>
            <w:r w:rsidR="009F1C5A">
              <w:rPr>
                <w:bCs/>
                <w:iCs/>
                <w:color w:val="000000"/>
                <w:sz w:val="24"/>
              </w:rPr>
              <w:t>中型寿险公司行列。</w:t>
            </w:r>
            <w:r w:rsidR="00137F2C">
              <w:rPr>
                <w:rFonts w:hint="eastAsia"/>
                <w:bCs/>
                <w:iCs/>
                <w:color w:val="000000"/>
                <w:sz w:val="24"/>
              </w:rPr>
              <w:t>在激烈的行业竞争环境下，</w:t>
            </w:r>
            <w:r w:rsidR="009F1C5A">
              <w:rPr>
                <w:bCs/>
                <w:iCs/>
                <w:color w:val="000000"/>
                <w:sz w:val="24"/>
                <w:lang w:val="zh-CN"/>
              </w:rPr>
              <w:t>中英人寿</w:t>
            </w:r>
            <w:r w:rsidR="00137F2C">
              <w:rPr>
                <w:rFonts w:hint="eastAsia"/>
                <w:bCs/>
                <w:iCs/>
                <w:color w:val="000000"/>
                <w:sz w:val="24"/>
                <w:lang w:val="zh-CN"/>
              </w:rPr>
              <w:t>在相近体量的寿险公司中逐步</w:t>
            </w:r>
            <w:r w:rsidR="009F1C5A">
              <w:rPr>
                <w:rFonts w:hint="eastAsia"/>
                <w:bCs/>
                <w:iCs/>
                <w:color w:val="000000"/>
                <w:sz w:val="24"/>
              </w:rPr>
              <w:t>脱颖而出，</w:t>
            </w:r>
            <w:r w:rsidR="009F1C5A">
              <w:rPr>
                <w:bCs/>
                <w:iCs/>
                <w:color w:val="000000"/>
                <w:sz w:val="24"/>
                <w:lang w:val="zh-CN"/>
              </w:rPr>
              <w:t>2019</w:t>
            </w:r>
            <w:r w:rsidR="009F1C5A">
              <w:rPr>
                <w:bCs/>
                <w:iCs/>
                <w:color w:val="000000"/>
                <w:sz w:val="24"/>
                <w:lang w:val="zh-CN"/>
              </w:rPr>
              <w:t>年主要经营指标均实现同比增长，原保险保费收入、新单年缴化保费等指标均创开业以来新高，偿付能力继续保持</w:t>
            </w:r>
            <w:r w:rsidR="009F1C5A">
              <w:rPr>
                <w:rFonts w:hint="eastAsia"/>
                <w:bCs/>
                <w:iCs/>
                <w:color w:val="000000"/>
                <w:sz w:val="24"/>
              </w:rPr>
              <w:t>在</w:t>
            </w:r>
            <w:r w:rsidR="009F1C5A">
              <w:rPr>
                <w:bCs/>
                <w:iCs/>
                <w:color w:val="000000"/>
                <w:sz w:val="24"/>
                <w:lang w:val="zh-CN"/>
              </w:rPr>
              <w:t>充足水平。</w:t>
            </w:r>
          </w:p>
          <w:p w:rsidR="007E0C42" w:rsidRDefault="009F1C5A" w:rsidP="00522D41">
            <w:pPr>
              <w:spacing w:line="360" w:lineRule="auto"/>
              <w:ind w:firstLineChars="200" w:firstLine="480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1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、找准自身定位</w:t>
            </w:r>
            <w:r w:rsidR="00C45BFE">
              <w:rPr>
                <w:rFonts w:hint="eastAsia"/>
                <w:bCs/>
                <w:iCs/>
                <w:color w:val="000000"/>
                <w:sz w:val="24"/>
              </w:rPr>
              <w:t>，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明确发展方向</w:t>
            </w:r>
          </w:p>
          <w:p w:rsidR="007E0C42" w:rsidRDefault="009F1C5A" w:rsidP="00522D41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中英人寿定位于以个险渠道为基础，横向拓展多核业务，纵向提升产品设计及特色化服务能力。</w:t>
            </w:r>
            <w:r>
              <w:rPr>
                <w:bCs/>
                <w:iCs/>
                <w:color w:val="000000"/>
                <w:sz w:val="24"/>
              </w:rPr>
              <w:t>在利率下行的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宏观</w:t>
            </w:r>
            <w:r>
              <w:rPr>
                <w:bCs/>
                <w:iCs/>
                <w:color w:val="000000"/>
                <w:sz w:val="24"/>
              </w:rPr>
              <w:t>环境下，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中英人寿明确</w:t>
            </w:r>
            <w:r>
              <w:rPr>
                <w:bCs/>
                <w:iCs/>
                <w:color w:val="000000"/>
                <w:sz w:val="24"/>
              </w:rPr>
              <w:t>资产与负债双轮驱动的模式来应对低利率风险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，并</w:t>
            </w:r>
            <w:r>
              <w:rPr>
                <w:bCs/>
                <w:iCs/>
                <w:color w:val="000000"/>
                <w:sz w:val="24"/>
              </w:rPr>
              <w:t>积极配置长期限利率债品种并有效管控资产久期，</w:t>
            </w:r>
            <w:r w:rsidR="00CF4DC0">
              <w:rPr>
                <w:rFonts w:hint="eastAsia"/>
                <w:bCs/>
                <w:iCs/>
                <w:color w:val="000000"/>
                <w:sz w:val="24"/>
              </w:rPr>
              <w:t>努力</w:t>
            </w:r>
            <w:r>
              <w:rPr>
                <w:bCs/>
                <w:iCs/>
                <w:color w:val="000000"/>
                <w:sz w:val="24"/>
              </w:rPr>
              <w:t>在实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现当期较高收益的同时为未来长期稳定的收益率打下坚实基础。</w:t>
            </w:r>
          </w:p>
          <w:p w:rsidR="002F2AE7" w:rsidRDefault="00820B1C" w:rsidP="00522D41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bookmarkStart w:id="0" w:name="_GoBack"/>
            <w:r w:rsidRPr="00820B1C">
              <w:rPr>
                <w:bCs/>
                <w:iCs/>
                <w:color w:val="000000"/>
                <w:sz w:val="24"/>
              </w:rPr>
              <w:t>2</w:t>
            </w:r>
            <w:r w:rsidRPr="00820B1C">
              <w:rPr>
                <w:bCs/>
                <w:iCs/>
                <w:color w:val="000000"/>
                <w:sz w:val="24"/>
              </w:rPr>
              <w:t>、</w:t>
            </w:r>
            <w:bookmarkEnd w:id="0"/>
            <w:r w:rsidR="002F2AE7">
              <w:rPr>
                <w:rFonts w:ascii="宋体" w:hAnsi="宋体" w:hint="eastAsia"/>
                <w:bCs/>
                <w:iCs/>
                <w:color w:val="000000"/>
                <w:sz w:val="24"/>
              </w:rPr>
              <w:t>积极围绕集团产业提供综合保障服务</w:t>
            </w:r>
          </w:p>
          <w:p w:rsidR="002F2AE7" w:rsidRDefault="002F2AE7" w:rsidP="00522D41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在</w:t>
            </w:r>
            <w:r w:rsidR="00F93CED">
              <w:rPr>
                <w:rFonts w:ascii="宋体" w:hAnsi="宋体" w:hint="eastAsia"/>
                <w:bCs/>
                <w:iCs/>
                <w:color w:val="000000"/>
                <w:sz w:val="24"/>
              </w:rPr>
              <w:t>努力开拓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市场</w:t>
            </w:r>
            <w:r w:rsidR="00F93CED">
              <w:rPr>
                <w:rFonts w:ascii="宋体" w:hAnsi="宋体" w:hint="eastAsia"/>
                <w:bCs/>
                <w:iCs/>
                <w:color w:val="000000"/>
                <w:sz w:val="24"/>
              </w:rPr>
              <w:t>业务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的</w:t>
            </w:r>
            <w:r w:rsidR="00772C17">
              <w:rPr>
                <w:rFonts w:ascii="宋体" w:hAnsi="宋体" w:hint="eastAsia"/>
                <w:bCs/>
                <w:iCs/>
                <w:color w:val="000000"/>
                <w:sz w:val="24"/>
              </w:rPr>
              <w:t>同时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8A4226">
              <w:rPr>
                <w:rFonts w:ascii="宋体" w:hAnsi="宋体" w:hint="eastAsia"/>
                <w:bCs/>
                <w:iCs/>
                <w:color w:val="000000"/>
                <w:sz w:val="24"/>
              </w:rPr>
              <w:t>中英人寿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积极向中粮集团及其产业链上下游企业提供</w:t>
            </w:r>
            <w:r w:rsidR="00945C89">
              <w:rPr>
                <w:rFonts w:ascii="宋体" w:hAnsi="宋体" w:hint="eastAsia"/>
                <w:bCs/>
                <w:iCs/>
                <w:color w:val="000000"/>
                <w:sz w:val="24"/>
              </w:rPr>
              <w:t>包括医疗险、意外险、健康险的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团体保险服务，解决客户企业员工的后顾之忧，促进员工</w:t>
            </w:r>
            <w:r w:rsidR="00E2401A">
              <w:rPr>
                <w:rFonts w:ascii="宋体" w:hAnsi="宋体" w:hint="eastAsia"/>
                <w:bCs/>
                <w:iCs/>
                <w:color w:val="000000"/>
                <w:sz w:val="24"/>
              </w:rPr>
              <w:t>的工作幸福感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提升，进而间接</w:t>
            </w:r>
            <w:r w:rsidR="00E36566">
              <w:rPr>
                <w:rFonts w:ascii="宋体" w:hAnsi="宋体" w:hint="eastAsia"/>
                <w:bCs/>
                <w:iCs/>
                <w:color w:val="000000"/>
                <w:sz w:val="24"/>
              </w:rPr>
              <w:t>增强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了客户企业与中粮集团的</w:t>
            </w:r>
            <w:r w:rsidR="00B25526">
              <w:rPr>
                <w:rFonts w:ascii="宋体" w:hAnsi="宋体" w:hint="eastAsia"/>
                <w:bCs/>
                <w:iCs/>
                <w:color w:val="000000"/>
                <w:sz w:val="24"/>
              </w:rPr>
              <w:t>业务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合作粘性。此外，中英人寿还积极围绕中粮集团主业，</w:t>
            </w:r>
            <w:r w:rsidR="00073239">
              <w:rPr>
                <w:rFonts w:ascii="宋体" w:hAnsi="宋体" w:hint="eastAsia"/>
                <w:bCs/>
                <w:iCs/>
                <w:color w:val="000000"/>
                <w:sz w:val="24"/>
              </w:rPr>
              <w:t>通过</w:t>
            </w:r>
            <w:r w:rsidR="009E6F2B">
              <w:rPr>
                <w:rFonts w:ascii="宋体" w:hAnsi="宋体" w:hint="eastAsia"/>
                <w:bCs/>
                <w:iCs/>
                <w:color w:val="000000"/>
                <w:sz w:val="24"/>
              </w:rPr>
              <w:t>深入调研</w:t>
            </w:r>
            <w:r w:rsidR="00073239">
              <w:rPr>
                <w:rFonts w:ascii="宋体" w:hAnsi="宋体" w:hint="eastAsia"/>
                <w:bCs/>
                <w:iCs/>
                <w:color w:val="000000"/>
                <w:sz w:val="24"/>
              </w:rPr>
              <w:t>并尝试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拓展新的业务领域，</w:t>
            </w:r>
            <w:r w:rsidR="00073239">
              <w:rPr>
                <w:rFonts w:ascii="宋体" w:hAnsi="宋体" w:hint="eastAsia"/>
                <w:bCs/>
                <w:iCs/>
                <w:color w:val="000000"/>
                <w:sz w:val="24"/>
              </w:rPr>
              <w:t>力争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充分发挥</w:t>
            </w:r>
            <w:r w:rsidR="00073239">
              <w:rPr>
                <w:rFonts w:ascii="宋体" w:hAnsi="宋体" w:hint="eastAsia"/>
                <w:bCs/>
                <w:iCs/>
                <w:color w:val="000000"/>
                <w:sz w:val="24"/>
              </w:rPr>
              <w:t>自身</w:t>
            </w:r>
            <w:r w:rsidR="009E6F2B">
              <w:rPr>
                <w:rFonts w:ascii="宋体" w:hAnsi="宋体" w:hint="eastAsia"/>
                <w:bCs/>
                <w:iCs/>
                <w:color w:val="000000"/>
                <w:sz w:val="24"/>
              </w:rPr>
              <w:t>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保险</w:t>
            </w:r>
            <w:r w:rsidR="00073239">
              <w:rPr>
                <w:rFonts w:ascii="宋体" w:hAnsi="宋体" w:hint="eastAsia"/>
                <w:bCs/>
                <w:iCs/>
                <w:color w:val="000000"/>
                <w:sz w:val="24"/>
              </w:rPr>
              <w:t>专业能力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，</w:t>
            </w:r>
            <w:r w:rsidR="00073239">
              <w:rPr>
                <w:rFonts w:ascii="宋体" w:hAnsi="宋体" w:hint="eastAsia"/>
                <w:bCs/>
                <w:iCs/>
                <w:color w:val="000000"/>
                <w:sz w:val="24"/>
              </w:rPr>
              <w:t>努力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为中粮集团产业提供更好</w:t>
            </w:r>
            <w:r w:rsidR="00073239">
              <w:rPr>
                <w:rFonts w:ascii="宋体" w:hAnsi="宋体" w:hint="eastAsia"/>
                <w:bCs/>
                <w:iCs/>
                <w:color w:val="000000"/>
                <w:sz w:val="24"/>
              </w:rPr>
              <w:t>的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综合保障服务。</w:t>
            </w:r>
          </w:p>
          <w:p w:rsidR="007E0C42" w:rsidRDefault="002F2AE7" w:rsidP="00312438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lastRenderedPageBreak/>
              <w:t>3</w:t>
            </w:r>
            <w:r w:rsidR="009F1C5A">
              <w:rPr>
                <w:rFonts w:hint="eastAsia"/>
                <w:bCs/>
                <w:iCs/>
                <w:color w:val="000000"/>
                <w:sz w:val="24"/>
              </w:rPr>
              <w:t>、专注打造自身核心竞争力</w:t>
            </w:r>
          </w:p>
          <w:p w:rsidR="007E0C42" w:rsidRDefault="009F1C5A" w:rsidP="00312438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中英人寿积极利用中外股东的资源禀赋和背景优势，</w:t>
            </w:r>
            <w:r w:rsidR="00E740BB" w:rsidRPr="00E740BB">
              <w:rPr>
                <w:rFonts w:ascii="宋体" w:hAnsi="宋体" w:hint="eastAsia"/>
                <w:bCs/>
                <w:iCs/>
                <w:color w:val="000000"/>
                <w:sz w:val="24"/>
              </w:rPr>
              <w:t>坚持价值增长的经营理念，着力打造代理人渠道、投资、人才和服务等四项核心竞争力</w:t>
            </w:r>
            <w:r w:rsidR="00E740BB"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坚持通过建设专业的个险代理人核心渠道增强业务竞争力，通过打造高效投资团队增强投资竞争力，通过建设高素质内勤团队增强人才竞争力，通过为广大保户提供贴心的全面人身保障增强服务竞争力。</w:t>
            </w:r>
          </w:p>
          <w:p w:rsidR="007E0C42" w:rsidRDefault="002F2AE7" w:rsidP="00312438">
            <w:pPr>
              <w:spacing w:line="360" w:lineRule="auto"/>
              <w:ind w:firstLineChars="200" w:firstLine="480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4</w:t>
            </w:r>
            <w:r w:rsidR="009F1C5A">
              <w:rPr>
                <w:rFonts w:hint="eastAsia"/>
                <w:bCs/>
                <w:iCs/>
                <w:color w:val="000000"/>
                <w:sz w:val="24"/>
              </w:rPr>
              <w:t>、积极拓展多元销售渠道</w:t>
            </w:r>
          </w:p>
          <w:p w:rsidR="007E0C42" w:rsidRDefault="009F1C5A" w:rsidP="00312438">
            <w:pPr>
              <w:spacing w:line="360" w:lineRule="auto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针对疫情造成的影响，中英人寿积极应对，推动多元化线上经营活动，包括线上直播、早会和培训等方式，以提升代理人活跃度和粘度。</w:t>
            </w:r>
            <w:r>
              <w:rPr>
                <w:bCs/>
                <w:iCs/>
                <w:color w:val="000000"/>
                <w:sz w:val="24"/>
              </w:rPr>
              <w:t>2020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第一季度，中英人寿代理人渠道新单年缴化保费及期末人力均实现正增长。</w:t>
            </w:r>
          </w:p>
        </w:tc>
      </w:tr>
      <w:tr w:rsidR="007E0C42">
        <w:tc>
          <w:tcPr>
            <w:tcW w:w="1758" w:type="dxa"/>
            <w:vAlign w:val="center"/>
          </w:tcPr>
          <w:p w:rsidR="007E0C42" w:rsidRDefault="009F1C5A" w:rsidP="00312438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</w:t>
            </w:r>
          </w:p>
        </w:tc>
        <w:tc>
          <w:tcPr>
            <w:tcW w:w="6764" w:type="dxa"/>
          </w:tcPr>
          <w:p w:rsidR="007E0C42" w:rsidRDefault="009F1C5A" w:rsidP="00312438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不适用</w:t>
            </w:r>
          </w:p>
        </w:tc>
      </w:tr>
      <w:tr w:rsidR="007E0C42">
        <w:tc>
          <w:tcPr>
            <w:tcW w:w="1758" w:type="dxa"/>
            <w:vAlign w:val="center"/>
          </w:tcPr>
          <w:p w:rsidR="007E0C42" w:rsidRDefault="009F1C5A" w:rsidP="00312438">
            <w:pPr>
              <w:spacing w:line="360" w:lineRule="auto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764" w:type="dxa"/>
          </w:tcPr>
          <w:p w:rsidR="007E0C42" w:rsidRDefault="009F1C5A" w:rsidP="00312438">
            <w:pPr>
              <w:spacing w:line="360" w:lineRule="auto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2020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>
              <w:rPr>
                <w:bCs/>
                <w:iCs/>
                <w:color w:val="000000"/>
                <w:sz w:val="24"/>
              </w:rPr>
              <w:t>5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>
              <w:rPr>
                <w:bCs/>
                <w:iCs/>
                <w:color w:val="000000"/>
                <w:sz w:val="24"/>
              </w:rPr>
              <w:t>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2</w:t>
            </w:r>
            <w:r>
              <w:rPr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7E0C42" w:rsidRDefault="007E0C42"/>
    <w:sectPr w:rsidR="007E0C4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AF" w:rsidRDefault="00A04CAF">
      <w:r>
        <w:separator/>
      </w:r>
    </w:p>
  </w:endnote>
  <w:endnote w:type="continuationSeparator" w:id="0">
    <w:p w:rsidR="00A04CAF" w:rsidRDefault="00A0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C42" w:rsidRDefault="009F1C5A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7E0C42" w:rsidRDefault="007E0C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C42" w:rsidRDefault="009F1C5A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820B1C">
      <w:rPr>
        <w:rStyle w:val="ab"/>
        <w:noProof/>
      </w:rPr>
      <w:t>3</w:t>
    </w:r>
    <w:r>
      <w:fldChar w:fldCharType="end"/>
    </w:r>
  </w:p>
  <w:p w:rsidR="007E0C42" w:rsidRDefault="007E0C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AF" w:rsidRDefault="00A04CAF">
      <w:r>
        <w:separator/>
      </w:r>
    </w:p>
  </w:footnote>
  <w:footnote w:type="continuationSeparator" w:id="0">
    <w:p w:rsidR="00A04CAF" w:rsidRDefault="00A04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C636F"/>
    <w:rsid w:val="00000E57"/>
    <w:rsid w:val="000231AC"/>
    <w:rsid w:val="00073239"/>
    <w:rsid w:val="000A288D"/>
    <w:rsid w:val="00100ABF"/>
    <w:rsid w:val="00137F2C"/>
    <w:rsid w:val="001574A7"/>
    <w:rsid w:val="001B5806"/>
    <w:rsid w:val="00234CC4"/>
    <w:rsid w:val="002726E1"/>
    <w:rsid w:val="00294BD8"/>
    <w:rsid w:val="002C262F"/>
    <w:rsid w:val="002F2AE7"/>
    <w:rsid w:val="00311EF5"/>
    <w:rsid w:val="00312438"/>
    <w:rsid w:val="00367168"/>
    <w:rsid w:val="00397018"/>
    <w:rsid w:val="003C3E3A"/>
    <w:rsid w:val="003D5FEB"/>
    <w:rsid w:val="003F2B8D"/>
    <w:rsid w:val="003F3D5C"/>
    <w:rsid w:val="0041705C"/>
    <w:rsid w:val="004B0A15"/>
    <w:rsid w:val="00522D41"/>
    <w:rsid w:val="005278B9"/>
    <w:rsid w:val="00564427"/>
    <w:rsid w:val="00586DB5"/>
    <w:rsid w:val="006059CD"/>
    <w:rsid w:val="00647BEF"/>
    <w:rsid w:val="00667233"/>
    <w:rsid w:val="006803CC"/>
    <w:rsid w:val="006D3AB1"/>
    <w:rsid w:val="00710B4F"/>
    <w:rsid w:val="00715C5C"/>
    <w:rsid w:val="007210B6"/>
    <w:rsid w:val="00747D94"/>
    <w:rsid w:val="00763F45"/>
    <w:rsid w:val="00770EBD"/>
    <w:rsid w:val="00772C17"/>
    <w:rsid w:val="007A4508"/>
    <w:rsid w:val="007A6800"/>
    <w:rsid w:val="007A759B"/>
    <w:rsid w:val="007E0C42"/>
    <w:rsid w:val="00812274"/>
    <w:rsid w:val="00820B1C"/>
    <w:rsid w:val="00841A6B"/>
    <w:rsid w:val="008A4226"/>
    <w:rsid w:val="008B7172"/>
    <w:rsid w:val="008D1C70"/>
    <w:rsid w:val="008E5550"/>
    <w:rsid w:val="008E7807"/>
    <w:rsid w:val="008F337A"/>
    <w:rsid w:val="00925568"/>
    <w:rsid w:val="00945C89"/>
    <w:rsid w:val="00966A1F"/>
    <w:rsid w:val="009C1130"/>
    <w:rsid w:val="009E6F2B"/>
    <w:rsid w:val="009F1C5A"/>
    <w:rsid w:val="00A04CAF"/>
    <w:rsid w:val="00A04DF4"/>
    <w:rsid w:val="00A17EBE"/>
    <w:rsid w:val="00A25E0F"/>
    <w:rsid w:val="00A30E2A"/>
    <w:rsid w:val="00A33D47"/>
    <w:rsid w:val="00A8218E"/>
    <w:rsid w:val="00AA3215"/>
    <w:rsid w:val="00AA49C7"/>
    <w:rsid w:val="00AE7232"/>
    <w:rsid w:val="00AE76F1"/>
    <w:rsid w:val="00B25526"/>
    <w:rsid w:val="00B86AD5"/>
    <w:rsid w:val="00C45BFE"/>
    <w:rsid w:val="00C46B2E"/>
    <w:rsid w:val="00C955B4"/>
    <w:rsid w:val="00CB6786"/>
    <w:rsid w:val="00CD4550"/>
    <w:rsid w:val="00CF4DC0"/>
    <w:rsid w:val="00D266F1"/>
    <w:rsid w:val="00D91490"/>
    <w:rsid w:val="00DB338C"/>
    <w:rsid w:val="00DF4FCA"/>
    <w:rsid w:val="00E2401A"/>
    <w:rsid w:val="00E36566"/>
    <w:rsid w:val="00E52397"/>
    <w:rsid w:val="00E65CD1"/>
    <w:rsid w:val="00E740BB"/>
    <w:rsid w:val="00E77BCC"/>
    <w:rsid w:val="00EC1412"/>
    <w:rsid w:val="00F00743"/>
    <w:rsid w:val="00F45F52"/>
    <w:rsid w:val="00F474FE"/>
    <w:rsid w:val="00F92E34"/>
    <w:rsid w:val="00F93CED"/>
    <w:rsid w:val="00FE04F4"/>
    <w:rsid w:val="00FE160C"/>
    <w:rsid w:val="018B4FC4"/>
    <w:rsid w:val="033C1079"/>
    <w:rsid w:val="06563972"/>
    <w:rsid w:val="0A7C79FD"/>
    <w:rsid w:val="17CC636F"/>
    <w:rsid w:val="2E434A7D"/>
    <w:rsid w:val="3FF5340A"/>
    <w:rsid w:val="4536382E"/>
    <w:rsid w:val="4801302C"/>
    <w:rsid w:val="562D44D5"/>
    <w:rsid w:val="607D7159"/>
    <w:rsid w:val="6D631C62"/>
    <w:rsid w:val="70442ED3"/>
    <w:rsid w:val="79F928DF"/>
    <w:rsid w:val="7AA20B74"/>
    <w:rsid w:val="7E82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7086B"/>
  <w15:docId w15:val="{92B6BCEE-90B9-4BBF-934B-AEF9AE64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a9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9">
    <w:name w:val="批注主题 字符"/>
    <w:basedOn w:val="a4"/>
    <w:link w:val="a8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赵鑫</dc:creator>
  <cp:lastModifiedBy>赵鑫 Xin ZHAO</cp:lastModifiedBy>
  <cp:revision>38</cp:revision>
  <dcterms:created xsi:type="dcterms:W3CDTF">2020-05-21T06:45:00Z</dcterms:created>
  <dcterms:modified xsi:type="dcterms:W3CDTF">2020-05-25T08:43:00Z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