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ind w:firstLine="720" w:firstLineChars="300"/>
        <w:rPr>
          <w:rFonts w:ascii="宋体" w:hAnsi="宋体"/>
          <w:bCs/>
          <w:iCs/>
          <w:color w:val="000000"/>
          <w:sz w:val="24"/>
        </w:rPr>
      </w:pPr>
      <w:r>
        <w:rPr>
          <w:rFonts w:hint="eastAsia" w:ascii="宋体" w:hAnsi="宋体"/>
          <w:bCs/>
          <w:iCs/>
          <w:color w:val="000000"/>
          <w:sz w:val="24"/>
        </w:rPr>
        <w:t>证券代码：002488                              证券简称：金固股份</w:t>
      </w:r>
    </w:p>
    <w:p>
      <w:pPr>
        <w:spacing w:before="156" w:beforeLines="50" w:after="156" w:afterLines="50" w:line="400" w:lineRule="exact"/>
        <w:jc w:val="center"/>
        <w:rPr>
          <w:rFonts w:ascii="宋体" w:hAnsi="宋体"/>
          <w:b/>
          <w:bCs/>
          <w:iCs/>
          <w:color w:val="000000"/>
          <w:sz w:val="32"/>
          <w:szCs w:val="32"/>
        </w:rPr>
      </w:pPr>
      <w:r>
        <w:rPr>
          <w:rFonts w:hint="eastAsia" w:ascii="宋体" w:hAnsi="宋体"/>
          <w:b/>
          <w:bCs/>
          <w:iCs/>
          <w:color w:val="000000"/>
          <w:sz w:val="32"/>
          <w:szCs w:val="32"/>
        </w:rPr>
        <w:t>20</w:t>
      </w:r>
      <w:r>
        <w:rPr>
          <w:rFonts w:hint="eastAsia" w:ascii="宋体" w:hAnsi="宋体"/>
          <w:b/>
          <w:bCs/>
          <w:iCs/>
          <w:color w:val="000000"/>
          <w:sz w:val="32"/>
          <w:szCs w:val="32"/>
          <w:lang w:val="en-US" w:eastAsia="zh-CN"/>
        </w:rPr>
        <w:t>20</w:t>
      </w:r>
      <w:r>
        <w:rPr>
          <w:rFonts w:hint="eastAsia" w:ascii="宋体" w:hAnsi="宋体"/>
          <w:b/>
          <w:bCs/>
          <w:iCs/>
          <w:color w:val="000000"/>
          <w:sz w:val="32"/>
          <w:szCs w:val="32"/>
        </w:rPr>
        <w:t>年5月</w:t>
      </w:r>
      <w:r>
        <w:rPr>
          <w:rFonts w:hint="eastAsia" w:ascii="宋体" w:hAnsi="宋体"/>
          <w:b/>
          <w:bCs/>
          <w:iCs/>
          <w:color w:val="000000"/>
          <w:sz w:val="32"/>
          <w:szCs w:val="32"/>
          <w:lang w:val="en-US" w:eastAsia="zh-CN"/>
        </w:rPr>
        <w:t>22</w:t>
      </w:r>
      <w:r>
        <w:rPr>
          <w:rFonts w:hint="eastAsia" w:ascii="宋体" w:hAnsi="宋体"/>
          <w:b/>
          <w:bCs/>
          <w:iCs/>
          <w:color w:val="000000"/>
          <w:sz w:val="32"/>
          <w:szCs w:val="32"/>
        </w:rPr>
        <w:t>日投资者</w:t>
      </w:r>
      <w:r>
        <w:rPr>
          <w:rFonts w:hint="eastAsia" w:ascii="宋体" w:hAnsi="宋体"/>
          <w:b/>
          <w:bCs/>
          <w:iCs/>
          <w:color w:val="000000"/>
          <w:sz w:val="32"/>
          <w:szCs w:val="32"/>
          <w:lang w:val="en-US" w:eastAsia="zh-CN"/>
        </w:rPr>
        <w:t>见面会活动</w:t>
      </w:r>
      <w:r>
        <w:rPr>
          <w:rFonts w:hint="eastAsia" w:ascii="宋体" w:hAnsi="宋体"/>
          <w:b/>
          <w:bCs/>
          <w:iCs/>
          <w:color w:val="000000"/>
          <w:sz w:val="32"/>
          <w:szCs w:val="32"/>
        </w:rPr>
        <w:t>记录表</w:t>
      </w:r>
    </w:p>
    <w:p>
      <w:pPr>
        <w:spacing w:line="400" w:lineRule="exact"/>
        <w:rPr>
          <w:rFonts w:hint="default" w:ascii="宋体" w:hAnsi="宋体" w:eastAsia="宋体"/>
          <w:bCs/>
          <w:iCs/>
          <w:color w:val="000000"/>
          <w:sz w:val="24"/>
          <w:lang w:val="en-US" w:eastAsia="zh-CN"/>
        </w:rPr>
      </w:pPr>
      <w:r>
        <w:rPr>
          <w:rFonts w:hint="eastAsia" w:ascii="宋体" w:hAnsi="宋体"/>
          <w:bCs/>
          <w:iCs/>
          <w:color w:val="000000"/>
          <w:sz w:val="24"/>
        </w:rPr>
        <w:t xml:space="preserve">                                                      编号：20</w:t>
      </w:r>
      <w:r>
        <w:rPr>
          <w:rFonts w:hint="eastAsia" w:ascii="宋体" w:hAnsi="宋体"/>
          <w:bCs/>
          <w:iCs/>
          <w:color w:val="000000"/>
          <w:sz w:val="24"/>
          <w:lang w:val="en-US" w:eastAsia="zh-CN"/>
        </w:rPr>
        <w:t>200522</w:t>
      </w:r>
    </w:p>
    <w:tbl>
      <w:tblPr>
        <w:tblStyle w:val="4"/>
        <w:tblW w:w="8640" w:type="dxa"/>
        <w:tblInd w:w="-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0"/>
        <w:gridCol w:w="6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tcPr>
          <w:p>
            <w:pPr>
              <w:spacing w:line="480" w:lineRule="atLeast"/>
              <w:rPr>
                <w:rFonts w:ascii="宋体" w:hAnsi="宋体"/>
                <w:b/>
                <w:bCs/>
                <w:iCs/>
                <w:color w:val="000000"/>
                <w:kern w:val="0"/>
                <w:sz w:val="24"/>
              </w:rPr>
            </w:pPr>
            <w:r>
              <w:rPr>
                <w:rFonts w:hint="eastAsia" w:ascii="宋体" w:hAnsi="宋体"/>
                <w:b/>
                <w:bCs/>
                <w:iCs/>
                <w:color w:val="000000"/>
                <w:kern w:val="0"/>
                <w:sz w:val="24"/>
              </w:rPr>
              <w:t>投资者关系活动类别</w:t>
            </w:r>
          </w:p>
          <w:p>
            <w:pPr>
              <w:spacing w:line="480" w:lineRule="atLeast"/>
              <w:rPr>
                <w:rFonts w:ascii="宋体" w:hAnsi="宋体"/>
                <w:b/>
                <w:bCs/>
                <w:iCs/>
                <w:color w:val="000000"/>
                <w:kern w:val="0"/>
                <w:sz w:val="24"/>
              </w:rPr>
            </w:pPr>
          </w:p>
        </w:tc>
        <w:tc>
          <w:tcPr>
            <w:tcW w:w="6690" w:type="dxa"/>
          </w:tcPr>
          <w:p>
            <w:pPr>
              <w:spacing w:line="360" w:lineRule="auto"/>
              <w:rPr>
                <w:rFonts w:ascii="宋体" w:hAnsi="宋体"/>
                <w:sz w:val="24"/>
                <w:szCs w:val="24"/>
              </w:rPr>
            </w:pPr>
            <w:r>
              <w:rPr>
                <w:rFonts w:hint="eastAsia" w:ascii="宋体" w:hAnsi="宋体"/>
                <w:sz w:val="24"/>
                <w:szCs w:val="24"/>
              </w:rPr>
              <w:t xml:space="preserve">□特定对象调研       </w:t>
            </w:r>
            <w:r>
              <w:rPr>
                <w:rFonts w:hint="eastAsia" w:ascii="宋体" w:hAnsi="宋体"/>
                <w:sz w:val="24"/>
                <w:szCs w:val="24"/>
                <w:lang w:val="en-US" w:eastAsia="zh-CN"/>
              </w:rPr>
              <w:t xml:space="preserve">  </w:t>
            </w:r>
            <w:r>
              <w:rPr>
                <w:rFonts w:hint="eastAsia" w:ascii="宋体" w:hAnsi="宋体"/>
                <w:sz w:val="24"/>
                <w:szCs w:val="24"/>
              </w:rPr>
              <w:t xml:space="preserve"> □分析师会议</w:t>
            </w:r>
          </w:p>
          <w:p>
            <w:pPr>
              <w:spacing w:line="360" w:lineRule="auto"/>
              <w:rPr>
                <w:rFonts w:ascii="宋体" w:hAnsi="宋体"/>
                <w:sz w:val="24"/>
                <w:szCs w:val="24"/>
              </w:rPr>
            </w:pPr>
            <w:r>
              <w:rPr>
                <w:rFonts w:hint="eastAsia" w:ascii="宋体" w:hAnsi="宋体"/>
                <w:sz w:val="24"/>
                <w:szCs w:val="24"/>
              </w:rPr>
              <w:t>□媒体采访              □业绩说明会</w:t>
            </w:r>
          </w:p>
          <w:p>
            <w:pPr>
              <w:spacing w:line="360" w:lineRule="auto"/>
              <w:rPr>
                <w:rFonts w:ascii="宋体" w:hAnsi="宋体"/>
                <w:sz w:val="24"/>
                <w:szCs w:val="24"/>
              </w:rPr>
            </w:pPr>
            <w:r>
              <w:rPr>
                <w:rFonts w:hint="eastAsia" w:ascii="宋体" w:hAnsi="宋体"/>
                <w:sz w:val="24"/>
                <w:szCs w:val="24"/>
              </w:rPr>
              <w:t>□新闻发布会            □路演活动</w:t>
            </w:r>
          </w:p>
          <w:p>
            <w:pPr>
              <w:spacing w:line="360" w:lineRule="auto"/>
              <w:rPr>
                <w:rFonts w:ascii="宋体" w:hAnsi="宋体"/>
                <w:sz w:val="24"/>
                <w:szCs w:val="24"/>
              </w:rPr>
            </w:pPr>
            <w:r>
              <w:rPr>
                <w:rFonts w:hint="eastAsia" w:ascii="宋体" w:hAnsi="宋体"/>
                <w:sz w:val="24"/>
                <w:szCs w:val="24"/>
              </w:rPr>
              <w:t>□现场参观</w:t>
            </w:r>
            <w:r>
              <w:rPr>
                <w:rFonts w:hint="eastAsia" w:ascii="宋体" w:hAnsi="宋体"/>
                <w:sz w:val="24"/>
                <w:szCs w:val="24"/>
              </w:rPr>
              <w:tab/>
            </w:r>
          </w:p>
          <w:p>
            <w:pPr>
              <w:spacing w:line="360" w:lineRule="auto"/>
              <w:rPr>
                <w:rFonts w:ascii="宋体" w:hAnsi="宋体"/>
                <w:bCs/>
                <w:iCs/>
                <w:color w:val="000000"/>
                <w:kern w:val="0"/>
                <w:sz w:val="24"/>
              </w:rPr>
            </w:pPr>
            <w:r>
              <w:rPr>
                <w:rFonts w:hint="eastAsia" w:ascii="宋体" w:hAnsi="宋体"/>
                <w:sz w:val="24"/>
                <w:szCs w:val="24"/>
                <w:lang w:eastAsia="zh-CN"/>
              </w:rPr>
              <w:t>☑</w:t>
            </w:r>
            <w:r>
              <w:rPr>
                <w:rFonts w:hint="eastAsia" w:ascii="宋体" w:hAnsi="宋体"/>
                <w:sz w:val="24"/>
                <w:szCs w:val="24"/>
              </w:rPr>
              <w:t>其他  （</w:t>
            </w:r>
            <w:r>
              <w:rPr>
                <w:rFonts w:hint="eastAsia" w:ascii="宋体" w:hAnsi="宋体"/>
                <w:sz w:val="24"/>
                <w:szCs w:val="24"/>
                <w:lang w:val="en-US" w:eastAsia="zh-CN"/>
              </w:rPr>
              <w:t>投资者见面会活动</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1950" w:type="dxa"/>
          </w:tcPr>
          <w:p>
            <w:pPr>
              <w:spacing w:line="480" w:lineRule="atLeast"/>
              <w:rPr>
                <w:rFonts w:ascii="宋体" w:hAnsi="宋体"/>
                <w:b/>
                <w:bCs/>
                <w:iCs/>
                <w:color w:val="000000"/>
                <w:kern w:val="0"/>
                <w:sz w:val="24"/>
              </w:rPr>
            </w:pPr>
            <w:r>
              <w:rPr>
                <w:rFonts w:hint="eastAsia" w:ascii="宋体" w:hAnsi="宋体"/>
                <w:b/>
                <w:bCs/>
                <w:iCs/>
                <w:color w:val="000000"/>
                <w:kern w:val="0"/>
                <w:sz w:val="24"/>
              </w:rPr>
              <w:t>参与单位名称及人员姓名</w:t>
            </w:r>
          </w:p>
        </w:tc>
        <w:tc>
          <w:tcPr>
            <w:tcW w:w="6690" w:type="dxa"/>
          </w:tcPr>
          <w:p>
            <w:pPr>
              <w:spacing w:line="360" w:lineRule="auto"/>
              <w:rPr>
                <w:rFonts w:hint="eastAsia" w:ascii="宋体" w:hAnsi="宋体"/>
                <w:sz w:val="24"/>
                <w:szCs w:val="24"/>
                <w:lang w:val="en-US" w:eastAsia="zh-CN"/>
              </w:rPr>
            </w:pPr>
            <w:r>
              <w:rPr>
                <w:rFonts w:hint="eastAsia" w:ascii="宋体" w:hAnsi="宋体"/>
                <w:sz w:val="24"/>
                <w:szCs w:val="24"/>
                <w:lang w:val="en-US" w:eastAsia="zh-CN"/>
              </w:rPr>
              <w:t>凯梵资产：顾远；</w:t>
            </w:r>
          </w:p>
          <w:p>
            <w:pPr>
              <w:spacing w:line="360" w:lineRule="auto"/>
              <w:rPr>
                <w:rFonts w:hint="eastAsia" w:ascii="宋体" w:hAnsi="宋体"/>
                <w:sz w:val="24"/>
                <w:szCs w:val="24"/>
                <w:lang w:val="en-US" w:eastAsia="zh-CN"/>
              </w:rPr>
            </w:pPr>
            <w:r>
              <w:rPr>
                <w:rFonts w:hint="eastAsia" w:ascii="宋体" w:hAnsi="宋体"/>
                <w:sz w:val="24"/>
                <w:szCs w:val="24"/>
                <w:lang w:val="en-US" w:eastAsia="zh-CN"/>
              </w:rPr>
              <w:t>明悦资管：王菊明；</w:t>
            </w:r>
          </w:p>
          <w:p>
            <w:pPr>
              <w:spacing w:line="360" w:lineRule="auto"/>
              <w:rPr>
                <w:rFonts w:hint="eastAsia" w:ascii="宋体" w:hAnsi="宋体" w:eastAsia="宋体"/>
                <w:sz w:val="24"/>
                <w:szCs w:val="24"/>
                <w:lang w:eastAsia="zh-CN"/>
              </w:rPr>
            </w:pPr>
            <w:r>
              <w:rPr>
                <w:rFonts w:hint="eastAsia" w:ascii="宋体" w:hAnsi="宋体"/>
                <w:sz w:val="24"/>
                <w:szCs w:val="24"/>
                <w:lang w:val="en-US" w:eastAsia="zh-CN"/>
              </w:rPr>
              <w:t>财通证券：杨冰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tcPr>
          <w:p>
            <w:pPr>
              <w:spacing w:line="480" w:lineRule="atLeast"/>
              <w:rPr>
                <w:rFonts w:ascii="宋体" w:hAnsi="宋体"/>
                <w:b/>
                <w:bCs/>
                <w:iCs/>
                <w:color w:val="000000"/>
                <w:kern w:val="0"/>
                <w:sz w:val="24"/>
              </w:rPr>
            </w:pPr>
            <w:r>
              <w:rPr>
                <w:rFonts w:hint="eastAsia" w:ascii="宋体" w:hAnsi="宋体"/>
                <w:b/>
                <w:bCs/>
                <w:iCs/>
                <w:color w:val="000000"/>
                <w:kern w:val="0"/>
                <w:sz w:val="24"/>
              </w:rPr>
              <w:t>时间</w:t>
            </w:r>
          </w:p>
        </w:tc>
        <w:tc>
          <w:tcPr>
            <w:tcW w:w="6690" w:type="dxa"/>
          </w:tcPr>
          <w:p>
            <w:pPr>
              <w:spacing w:line="360" w:lineRule="auto"/>
              <w:rPr>
                <w:rFonts w:ascii="宋体" w:hAnsi="宋体"/>
                <w:sz w:val="24"/>
                <w:szCs w:val="24"/>
              </w:rPr>
            </w:pPr>
            <w:r>
              <w:rPr>
                <w:rFonts w:hint="eastAsia" w:ascii="宋体" w:hAnsi="宋体"/>
                <w:sz w:val="24"/>
                <w:szCs w:val="24"/>
              </w:rPr>
              <w:t>20</w:t>
            </w:r>
            <w:r>
              <w:rPr>
                <w:rFonts w:hint="eastAsia" w:ascii="宋体" w:hAnsi="宋体"/>
                <w:sz w:val="24"/>
                <w:szCs w:val="24"/>
                <w:lang w:val="en-US" w:eastAsia="zh-CN"/>
              </w:rPr>
              <w:t>20</w:t>
            </w:r>
            <w:r>
              <w:rPr>
                <w:rFonts w:hint="eastAsia" w:ascii="宋体" w:hAnsi="宋体"/>
                <w:sz w:val="24"/>
                <w:szCs w:val="24"/>
              </w:rPr>
              <w:t>年5月2</w:t>
            </w:r>
            <w:r>
              <w:rPr>
                <w:rFonts w:hint="eastAsia" w:ascii="宋体" w:hAnsi="宋体"/>
                <w:sz w:val="24"/>
                <w:szCs w:val="24"/>
                <w:lang w:val="en-US" w:eastAsia="zh-CN"/>
              </w:rPr>
              <w:t>2</w:t>
            </w:r>
            <w:r>
              <w:rPr>
                <w:rFonts w:hint="eastAsia" w:ascii="宋体" w:hAnsi="宋体"/>
                <w:sz w:val="24"/>
                <w:szCs w:val="24"/>
              </w:rPr>
              <w:t>日（</w:t>
            </w:r>
            <w:r>
              <w:rPr>
                <w:rFonts w:hint="eastAsia" w:ascii="宋体" w:hAnsi="宋体"/>
                <w:sz w:val="24"/>
                <w:szCs w:val="24"/>
                <w:lang w:val="en-US" w:eastAsia="zh-CN"/>
              </w:rPr>
              <w:t>09:30</w:t>
            </w:r>
            <w:r>
              <w:rPr>
                <w:rFonts w:hint="eastAsia" w:ascii="宋体" w:hAnsi="宋体"/>
                <w:sz w:val="24"/>
                <w:szCs w:val="24"/>
              </w:rPr>
              <w:t>-1</w:t>
            </w:r>
            <w:r>
              <w:rPr>
                <w:rFonts w:hint="eastAsia" w:ascii="宋体" w:hAnsi="宋体"/>
                <w:sz w:val="24"/>
                <w:szCs w:val="24"/>
                <w:lang w:val="en-US" w:eastAsia="zh-CN"/>
              </w:rPr>
              <w:t>2</w:t>
            </w:r>
            <w:r>
              <w:rPr>
                <w:rFonts w:hint="eastAsia" w:ascii="宋体" w:hAnsi="宋体"/>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tcPr>
          <w:p>
            <w:pPr>
              <w:spacing w:line="480" w:lineRule="atLeast"/>
              <w:rPr>
                <w:rFonts w:ascii="宋体" w:hAnsi="宋体"/>
                <w:b/>
                <w:bCs/>
                <w:iCs/>
                <w:color w:val="000000"/>
                <w:kern w:val="0"/>
                <w:sz w:val="24"/>
              </w:rPr>
            </w:pPr>
            <w:r>
              <w:rPr>
                <w:rFonts w:hint="eastAsia" w:ascii="宋体" w:hAnsi="宋体"/>
                <w:b/>
                <w:bCs/>
                <w:iCs/>
                <w:color w:val="000000"/>
                <w:kern w:val="0"/>
                <w:sz w:val="24"/>
              </w:rPr>
              <w:t>地点</w:t>
            </w:r>
          </w:p>
        </w:tc>
        <w:tc>
          <w:tcPr>
            <w:tcW w:w="6690" w:type="dxa"/>
          </w:tcPr>
          <w:p>
            <w:pPr>
              <w:spacing w:line="360" w:lineRule="auto"/>
              <w:rPr>
                <w:rFonts w:hint="default" w:ascii="宋体" w:hAnsi="宋体" w:eastAsia="宋体"/>
                <w:sz w:val="24"/>
                <w:szCs w:val="24"/>
                <w:lang w:val="en-US" w:eastAsia="zh-CN"/>
              </w:rPr>
            </w:pPr>
            <w:r>
              <w:rPr>
                <w:rFonts w:hint="eastAsia" w:ascii="宋体" w:hAnsi="宋体"/>
                <w:sz w:val="24"/>
                <w:szCs w:val="24"/>
                <w:lang w:val="en-US" w:eastAsia="zh-CN"/>
              </w:rPr>
              <w:t>金固股份本部会议室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tcPr>
          <w:p>
            <w:pPr>
              <w:spacing w:line="480" w:lineRule="atLeast"/>
              <w:rPr>
                <w:rFonts w:ascii="宋体" w:hAnsi="宋体"/>
                <w:b/>
                <w:bCs/>
                <w:iCs/>
                <w:color w:val="000000"/>
                <w:kern w:val="0"/>
                <w:sz w:val="24"/>
              </w:rPr>
            </w:pPr>
            <w:r>
              <w:rPr>
                <w:rFonts w:hint="eastAsia" w:ascii="宋体" w:hAnsi="宋体"/>
                <w:b/>
                <w:bCs/>
                <w:iCs/>
                <w:color w:val="000000"/>
                <w:kern w:val="0"/>
                <w:sz w:val="24"/>
              </w:rPr>
              <w:t>上市公司接待人员姓名</w:t>
            </w:r>
          </w:p>
        </w:tc>
        <w:tc>
          <w:tcPr>
            <w:tcW w:w="6690" w:type="dxa"/>
          </w:tcPr>
          <w:p>
            <w:pPr>
              <w:spacing w:line="360" w:lineRule="auto"/>
              <w:rPr>
                <w:rFonts w:ascii="宋体" w:hAnsi="宋体"/>
                <w:sz w:val="24"/>
                <w:szCs w:val="24"/>
              </w:rPr>
            </w:pPr>
            <w:r>
              <w:rPr>
                <w:rFonts w:hint="eastAsia" w:ascii="宋体" w:hAnsi="宋体"/>
                <w:sz w:val="24"/>
                <w:szCs w:val="24"/>
                <w:lang w:val="en-US" w:eastAsia="zh-CN"/>
              </w:rPr>
              <w:t>董事、董事会秘书、财务总监：倪永华；</w:t>
            </w:r>
            <w:r>
              <w:rPr>
                <w:rFonts w:hint="eastAsia" w:ascii="宋体" w:hAnsi="宋体"/>
                <w:sz w:val="24"/>
                <w:szCs w:val="24"/>
              </w:rPr>
              <w:t>副总经理：孙群慧</w:t>
            </w:r>
          </w:p>
          <w:p>
            <w:pPr>
              <w:spacing w:line="360" w:lineRule="auto"/>
              <w:rPr>
                <w:rFonts w:ascii="宋体" w:hAnsi="宋体"/>
                <w:sz w:val="24"/>
                <w:szCs w:val="24"/>
              </w:rPr>
            </w:pPr>
            <w:r>
              <w:rPr>
                <w:rFonts w:hint="eastAsia" w:ascii="宋体" w:hAnsi="宋体"/>
                <w:sz w:val="24"/>
                <w:szCs w:val="24"/>
              </w:rPr>
              <w:t xml:space="preserve">证券部工作人员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1950" w:type="dxa"/>
            <w:vAlign w:val="center"/>
          </w:tcPr>
          <w:p>
            <w:pPr>
              <w:spacing w:line="480" w:lineRule="atLeast"/>
              <w:rPr>
                <w:rFonts w:ascii="宋体" w:hAnsi="宋体"/>
                <w:b/>
                <w:bCs/>
                <w:iCs/>
                <w:color w:val="000000"/>
                <w:kern w:val="0"/>
                <w:sz w:val="24"/>
              </w:rPr>
            </w:pPr>
            <w:r>
              <w:rPr>
                <w:rFonts w:hint="eastAsia" w:ascii="宋体" w:hAnsi="宋体"/>
                <w:b/>
                <w:bCs/>
                <w:iCs/>
                <w:color w:val="000000"/>
                <w:kern w:val="0"/>
                <w:sz w:val="24"/>
              </w:rPr>
              <w:t>投资者关系活动主要内容介绍</w:t>
            </w:r>
          </w:p>
          <w:p>
            <w:pPr>
              <w:spacing w:line="480" w:lineRule="atLeast"/>
              <w:rPr>
                <w:rFonts w:ascii="宋体" w:hAnsi="宋体"/>
                <w:b/>
                <w:bCs/>
                <w:iCs/>
                <w:color w:val="000000"/>
                <w:kern w:val="0"/>
                <w:sz w:val="24"/>
              </w:rPr>
            </w:pPr>
          </w:p>
        </w:tc>
        <w:tc>
          <w:tcPr>
            <w:tcW w:w="6690" w:type="dxa"/>
            <w:vAlign w:val="center"/>
          </w:tcPr>
          <w:p>
            <w:pPr>
              <w:spacing w:line="360" w:lineRule="auto"/>
              <w:ind w:firstLine="482" w:firstLineChars="200"/>
              <w:rPr>
                <w:rFonts w:ascii="宋体" w:hAnsi="宋体"/>
                <w:b/>
                <w:sz w:val="24"/>
                <w:szCs w:val="24"/>
              </w:rPr>
            </w:pPr>
            <w:r>
              <w:rPr>
                <w:rFonts w:hint="eastAsia" w:ascii="宋体" w:hAnsi="宋体"/>
                <w:b/>
                <w:sz w:val="24"/>
                <w:szCs w:val="24"/>
              </w:rPr>
              <w:t>一、金固股份基本情况</w:t>
            </w:r>
          </w:p>
          <w:p>
            <w:pPr>
              <w:spacing w:line="360" w:lineRule="auto"/>
              <w:ind w:firstLine="480"/>
              <w:rPr>
                <w:rFonts w:hint="eastAsia" w:ascii="宋体" w:hAnsi="宋体" w:eastAsia="宋体"/>
                <w:sz w:val="24"/>
                <w:szCs w:val="24"/>
                <w:lang w:val="zh-CN" w:eastAsia="zh-CN"/>
              </w:rPr>
            </w:pPr>
            <w:r>
              <w:rPr>
                <w:rFonts w:hint="eastAsia" w:ascii="宋体" w:hAnsi="宋体"/>
                <w:sz w:val="24"/>
                <w:szCs w:val="24"/>
              </w:rPr>
              <w:t>公司主营业务为高端制造业务和</w:t>
            </w:r>
            <w:r>
              <w:rPr>
                <w:rFonts w:hint="eastAsia"/>
                <w:kern w:val="0"/>
                <w:sz w:val="24"/>
                <w:szCs w:val="24"/>
                <w:lang w:val="zh-CN"/>
              </w:rPr>
              <w:t>汽车后市场新零售</w:t>
            </w:r>
            <w:r>
              <w:rPr>
                <w:rFonts w:hint="eastAsia" w:ascii="宋体" w:hAnsi="宋体"/>
                <w:sz w:val="24"/>
                <w:szCs w:val="24"/>
              </w:rPr>
              <w:t>业务</w:t>
            </w:r>
            <w:r>
              <w:rPr>
                <w:rFonts w:hint="eastAsia" w:ascii="宋体" w:hAnsi="宋体"/>
                <w:sz w:val="24"/>
                <w:szCs w:val="24"/>
                <w:lang w:eastAsia="zh-CN"/>
              </w:rPr>
              <w:t>。</w:t>
            </w:r>
          </w:p>
          <w:p>
            <w:pPr>
              <w:spacing w:line="360" w:lineRule="auto"/>
              <w:ind w:firstLine="480"/>
              <w:rPr>
                <w:rFonts w:ascii="宋体" w:hAnsi="宋体"/>
                <w:sz w:val="24"/>
                <w:szCs w:val="24"/>
              </w:rPr>
            </w:pPr>
            <w:r>
              <w:rPr>
                <w:rFonts w:hint="eastAsia"/>
                <w:sz w:val="24"/>
                <w:szCs w:val="24"/>
              </w:rPr>
              <w:t>高端制造板块</w:t>
            </w:r>
            <w:r>
              <w:rPr>
                <w:rFonts w:hint="eastAsia" w:ascii="宋体" w:hAnsi="宋体"/>
                <w:sz w:val="24"/>
                <w:szCs w:val="24"/>
              </w:rPr>
              <w:t>经营情况：</w:t>
            </w:r>
          </w:p>
          <w:p>
            <w:pPr>
              <w:pStyle w:val="8"/>
              <w:spacing w:line="360" w:lineRule="auto"/>
              <w:ind w:firstLine="480" w:firstLineChars="200"/>
              <w:rPr>
                <w:rFonts w:hAnsi="宋体"/>
              </w:rPr>
            </w:pPr>
            <w:r>
              <w:rPr>
                <w:rFonts w:hint="eastAsia"/>
              </w:rPr>
              <w:t>公司钢制车轮业务相当成熟，公司将继续</w:t>
            </w:r>
            <w:r>
              <w:rPr>
                <w:rFonts w:hint="eastAsia"/>
                <w:lang w:val="en-US" w:eastAsia="zh-CN"/>
              </w:rPr>
              <w:t>研发新产品，</w:t>
            </w:r>
            <w:r>
              <w:rPr>
                <w:rFonts w:hint="eastAsia"/>
              </w:rPr>
              <w:t>优化产品结构，提高中高端产品质量，保持并扩大在中高端市场的占有率。</w:t>
            </w:r>
          </w:p>
          <w:p>
            <w:pPr>
              <w:spacing w:line="360" w:lineRule="auto"/>
              <w:ind w:firstLine="480"/>
              <w:rPr>
                <w:rFonts w:hint="eastAsia"/>
                <w:kern w:val="0"/>
                <w:sz w:val="24"/>
                <w:szCs w:val="24"/>
                <w:lang w:val="zh-CN"/>
              </w:rPr>
            </w:pPr>
            <w:r>
              <w:rPr>
                <w:rFonts w:hint="eastAsia"/>
                <w:sz w:val="24"/>
                <w:szCs w:val="24"/>
              </w:rPr>
              <w:t>公司</w:t>
            </w:r>
            <w:r>
              <w:rPr>
                <w:sz w:val="24"/>
                <w:szCs w:val="24"/>
              </w:rPr>
              <w:t>EPS</w:t>
            </w:r>
            <w:r>
              <w:rPr>
                <w:rFonts w:hint="eastAsia"/>
                <w:sz w:val="24"/>
                <w:szCs w:val="24"/>
              </w:rPr>
              <w:t>设备更加环保更加清洁，还有投入产出比高、成本低、空间少等优势，积极响应国家绿色环保政策的号召。</w:t>
            </w:r>
            <w:r>
              <w:rPr>
                <w:rFonts w:hint="eastAsia" w:ascii="宋体" w:hAnsi="宋体"/>
                <w:sz w:val="24"/>
                <w:szCs w:val="24"/>
              </w:rPr>
              <w:t>EPS环保设备是新的利润增长点，增速较快。</w:t>
            </w:r>
          </w:p>
          <w:p>
            <w:pPr>
              <w:spacing w:line="360" w:lineRule="auto"/>
              <w:ind w:firstLine="480"/>
              <w:rPr>
                <w:rFonts w:ascii="宋体" w:hAnsi="宋体"/>
                <w:sz w:val="24"/>
                <w:szCs w:val="24"/>
              </w:rPr>
            </w:pPr>
            <w:r>
              <w:rPr>
                <w:rFonts w:hint="eastAsia"/>
                <w:kern w:val="0"/>
                <w:sz w:val="24"/>
                <w:szCs w:val="24"/>
                <w:lang w:val="zh-CN"/>
              </w:rPr>
              <w:t>汽车后市场新零售板块</w:t>
            </w:r>
            <w:r>
              <w:rPr>
                <w:rFonts w:hint="eastAsia" w:ascii="宋体" w:hAnsi="宋体"/>
                <w:sz w:val="24"/>
                <w:szCs w:val="24"/>
              </w:rPr>
              <w:t>经营情况：</w:t>
            </w:r>
          </w:p>
          <w:p>
            <w:pPr>
              <w:spacing w:line="360" w:lineRule="auto"/>
              <w:ind w:firstLine="480" w:firstLineChars="200"/>
              <w:rPr>
                <w:rFonts w:ascii="宋体" w:hAnsi="宋体"/>
                <w:sz w:val="24"/>
                <w:szCs w:val="24"/>
                <w:highlight w:val="none"/>
                <w:lang w:val="zh-CN"/>
              </w:rPr>
            </w:pPr>
            <w:r>
              <w:rPr>
                <w:rFonts w:hint="eastAsia" w:ascii="宋体" w:hAnsi="宋体"/>
                <w:sz w:val="24"/>
                <w:szCs w:val="24"/>
                <w:highlight w:val="none"/>
                <w:lang w:val="zh-CN"/>
              </w:rPr>
              <w:t>公司把该业务分拆为平台供应链业务及汽服门店新零售业务两大板块。</w:t>
            </w:r>
          </w:p>
          <w:p>
            <w:pPr>
              <w:spacing w:line="360" w:lineRule="auto"/>
              <w:ind w:firstLine="480" w:firstLineChars="200"/>
              <w:rPr>
                <w:rFonts w:ascii="宋体" w:hAnsi="宋体"/>
                <w:sz w:val="24"/>
                <w:szCs w:val="24"/>
                <w:highlight w:val="none"/>
                <w:lang w:val="zh-CN"/>
              </w:rPr>
            </w:pPr>
            <w:r>
              <w:rPr>
                <w:rFonts w:hint="eastAsia" w:ascii="宋体" w:hAnsi="宋体"/>
                <w:sz w:val="24"/>
                <w:szCs w:val="24"/>
                <w:highlight w:val="none"/>
                <w:lang w:val="zh-CN"/>
              </w:rPr>
              <w:t>（</w:t>
            </w:r>
            <w:r>
              <w:rPr>
                <w:rFonts w:hint="eastAsia" w:ascii="宋体" w:hAnsi="宋体"/>
                <w:sz w:val="24"/>
                <w:szCs w:val="24"/>
                <w:highlight w:val="none"/>
              </w:rPr>
              <w:t>1</w:t>
            </w:r>
            <w:r>
              <w:rPr>
                <w:rFonts w:hint="eastAsia" w:ascii="宋体" w:hAnsi="宋体"/>
                <w:sz w:val="24"/>
                <w:szCs w:val="24"/>
                <w:highlight w:val="none"/>
                <w:lang w:val="zh-CN"/>
              </w:rPr>
              <w:t>）公司平台供应链业务和阿里的汽车后市场相关业务,以及汽配B2B公司康众的业务,一起组成新的天猫车站平台。天猫车站致力于平台运营，供应链仓配建设等车后市场基础设施建设。</w:t>
            </w:r>
          </w:p>
          <w:p>
            <w:pPr>
              <w:spacing w:line="360" w:lineRule="auto"/>
              <w:ind w:firstLine="480" w:firstLineChars="200"/>
              <w:rPr>
                <w:rFonts w:ascii="宋体" w:hAnsi="宋体"/>
                <w:sz w:val="24"/>
                <w:szCs w:val="24"/>
                <w:lang w:val="zh-CN"/>
              </w:rPr>
            </w:pPr>
            <w:r>
              <w:rPr>
                <w:rFonts w:hint="eastAsia" w:ascii="宋体" w:hAnsi="宋体"/>
                <w:sz w:val="24"/>
                <w:szCs w:val="24"/>
                <w:highlight w:val="none"/>
                <w:lang w:val="zh-CN"/>
              </w:rPr>
              <w:t>（</w:t>
            </w:r>
            <w:r>
              <w:rPr>
                <w:rFonts w:hint="eastAsia" w:ascii="宋体" w:hAnsi="宋体"/>
                <w:sz w:val="24"/>
                <w:szCs w:val="24"/>
                <w:highlight w:val="none"/>
              </w:rPr>
              <w:t>2</w:t>
            </w:r>
            <w:r>
              <w:rPr>
                <w:rFonts w:hint="eastAsia" w:ascii="宋体" w:hAnsi="宋体"/>
                <w:sz w:val="24"/>
                <w:szCs w:val="24"/>
                <w:highlight w:val="none"/>
                <w:lang w:val="zh-CN"/>
              </w:rPr>
              <w:t>）汽服门店新零售业务继续由公司控股，天猫车站参股。重点通过SaaS，线上精准营</w:t>
            </w:r>
            <w:r>
              <w:rPr>
                <w:rFonts w:hint="eastAsia" w:ascii="宋体" w:hAnsi="宋体"/>
                <w:sz w:val="24"/>
                <w:szCs w:val="24"/>
                <w:lang w:val="zh-CN"/>
              </w:rPr>
              <w:t>销，流量导入，品牌建设，数据服务，新零售业务导入等手段来赋能改造线下汽修门店，致力于打造全国领先的优质汽服连锁品牌。</w:t>
            </w:r>
          </w:p>
          <w:p>
            <w:pPr>
              <w:spacing w:line="360" w:lineRule="auto"/>
              <w:ind w:firstLine="482" w:firstLineChars="200"/>
              <w:rPr>
                <w:rFonts w:ascii="宋体" w:hAnsi="宋体"/>
                <w:b/>
                <w:sz w:val="24"/>
                <w:szCs w:val="24"/>
              </w:rPr>
            </w:pPr>
            <w:r>
              <w:rPr>
                <w:rFonts w:hint="eastAsia" w:ascii="宋体" w:hAnsi="宋体"/>
                <w:b/>
                <w:sz w:val="24"/>
                <w:szCs w:val="24"/>
              </w:rPr>
              <w:t>二、问答环节</w:t>
            </w:r>
          </w:p>
          <w:p>
            <w:pPr>
              <w:spacing w:line="360" w:lineRule="auto"/>
              <w:ind w:firstLine="480"/>
              <w:rPr>
                <w:rFonts w:hint="eastAsia" w:ascii="宋体" w:hAnsi="宋体" w:cs="宋体"/>
                <w:sz w:val="24"/>
                <w:szCs w:val="24"/>
                <w:lang w:val="en-US" w:eastAsia="zh-CN"/>
              </w:rPr>
            </w:pPr>
            <w:r>
              <w:rPr>
                <w:rFonts w:hint="eastAsia" w:ascii="宋体" w:hAnsi="宋体" w:cs="宋体"/>
                <w:sz w:val="24"/>
                <w:szCs w:val="24"/>
                <w:lang w:val="en-US" w:eastAsia="zh-CN"/>
              </w:rPr>
              <w:t>Q：公司控股股东股份转让的原因和目的？</w:t>
            </w:r>
          </w:p>
          <w:p>
            <w:pPr>
              <w:spacing w:line="360" w:lineRule="auto"/>
              <w:ind w:firstLine="480"/>
              <w:rPr>
                <w:rFonts w:hint="default" w:ascii="宋体" w:hAnsi="宋体" w:cs="宋体"/>
                <w:sz w:val="24"/>
                <w:szCs w:val="24"/>
                <w:lang w:val="en-US" w:eastAsia="zh-CN"/>
              </w:rPr>
            </w:pPr>
            <w:r>
              <w:rPr>
                <w:rFonts w:hint="eastAsia" w:ascii="宋体" w:hAnsi="宋体" w:cs="宋体"/>
                <w:sz w:val="24"/>
                <w:szCs w:val="24"/>
                <w:lang w:val="en-US" w:eastAsia="zh-CN"/>
              </w:rPr>
              <w:t>A：控股股东</w:t>
            </w:r>
            <w:r>
              <w:rPr>
                <w:rFonts w:ascii="宋体" w:hAnsi="宋体" w:eastAsia="宋体" w:cs="宋体"/>
                <w:sz w:val="24"/>
                <w:szCs w:val="24"/>
              </w:rPr>
              <w:t>本次股权转让的原因是拟引进战略投资者，优化公司股权结构，目的是通过国资的战略入股，降低大股东质押比例。国资的入股能增强公司的融资能力，对公司未来的业务发展产生积极影响，促进公司健康发展。</w:t>
            </w:r>
          </w:p>
          <w:p>
            <w:pPr>
              <w:spacing w:line="360" w:lineRule="auto"/>
              <w:ind w:firstLine="480"/>
              <w:rPr>
                <w:rFonts w:hint="eastAsia" w:ascii="宋体" w:hAnsi="宋体"/>
                <w:sz w:val="24"/>
                <w:szCs w:val="24"/>
                <w:lang w:val="en-US" w:eastAsia="zh-CN"/>
              </w:rPr>
            </w:pPr>
            <w:r>
              <w:rPr>
                <w:rFonts w:hint="eastAsia" w:ascii="宋体" w:hAnsi="宋体"/>
                <w:sz w:val="24"/>
                <w:szCs w:val="24"/>
                <w:lang w:val="en-US" w:eastAsia="zh-CN"/>
              </w:rPr>
              <w:t>Q：目前汽车超人门店的发展情况？</w:t>
            </w:r>
          </w:p>
          <w:p>
            <w:pPr>
              <w:spacing w:line="360" w:lineRule="auto"/>
              <w:ind w:firstLine="480"/>
              <w:rPr>
                <w:rFonts w:hint="eastAsia" w:ascii="宋体" w:hAnsi="宋体" w:cs="宋体"/>
                <w:sz w:val="24"/>
                <w:szCs w:val="24"/>
                <w:lang w:eastAsia="zh-CN"/>
              </w:rPr>
            </w:pPr>
            <w:r>
              <w:rPr>
                <w:rFonts w:hint="eastAsia" w:ascii="宋体" w:hAnsi="宋体"/>
                <w:sz w:val="24"/>
                <w:szCs w:val="24"/>
                <w:lang w:val="en-US" w:eastAsia="zh-CN"/>
              </w:rPr>
              <w:t>A：</w:t>
            </w:r>
            <w:r>
              <w:rPr>
                <w:rFonts w:ascii="宋体" w:hAnsi="宋体" w:eastAsia="宋体" w:cs="宋体"/>
                <w:sz w:val="24"/>
                <w:szCs w:val="24"/>
              </w:rPr>
              <w:t>截至2020年3月19日，汽车超人品牌门店22家，参股（含参股公司加盟）门店413家</w:t>
            </w:r>
            <w:r>
              <w:rPr>
                <w:rFonts w:hint="eastAsia" w:ascii="宋体" w:hAnsi="宋体" w:cs="宋体"/>
                <w:sz w:val="24"/>
                <w:szCs w:val="24"/>
                <w:lang w:eastAsia="zh-CN"/>
              </w:rPr>
              <w:t>。</w:t>
            </w:r>
          </w:p>
          <w:p>
            <w:pPr>
              <w:spacing w:line="360" w:lineRule="auto"/>
              <w:ind w:firstLine="480"/>
              <w:rPr>
                <w:rFonts w:hint="eastAsia" w:ascii="宋体" w:hAnsi="宋体"/>
                <w:sz w:val="24"/>
                <w:szCs w:val="24"/>
                <w:lang w:val="en-US" w:eastAsia="zh-CN"/>
              </w:rPr>
            </w:pPr>
            <w:r>
              <w:rPr>
                <w:rFonts w:hint="eastAsia" w:ascii="宋体" w:hAnsi="宋体"/>
                <w:sz w:val="24"/>
                <w:szCs w:val="24"/>
                <w:lang w:val="en-US" w:eastAsia="zh-CN"/>
              </w:rPr>
              <w:t>Q：公司钢轮主要产地？</w:t>
            </w:r>
          </w:p>
          <w:p>
            <w:pPr>
              <w:spacing w:line="360" w:lineRule="auto"/>
              <w:ind w:firstLine="480"/>
              <w:rPr>
                <w:rFonts w:hint="default"/>
                <w:sz w:val="24"/>
                <w:szCs w:val="24"/>
                <w:lang w:val="en-US" w:eastAsia="zh-CN"/>
              </w:rPr>
            </w:pPr>
            <w:r>
              <w:rPr>
                <w:rFonts w:hint="eastAsia" w:ascii="宋体" w:hAnsi="宋体"/>
                <w:sz w:val="24"/>
                <w:szCs w:val="24"/>
                <w:lang w:val="en-US" w:eastAsia="zh-CN"/>
              </w:rPr>
              <w:t>A：公司国内主要生产制造产地在浙江杭州、四川、山东；国际产地为泰国、美国。</w:t>
            </w:r>
          </w:p>
          <w:p>
            <w:pPr>
              <w:spacing w:line="360" w:lineRule="auto"/>
              <w:ind w:firstLine="480" w:firstLineChars="200"/>
              <w:rPr>
                <w:rFonts w:hint="eastAsia" w:ascii="宋体" w:hAnsi="宋体"/>
                <w:sz w:val="24"/>
                <w:szCs w:val="24"/>
                <w:lang w:val="en-US" w:eastAsia="zh-CN"/>
              </w:rPr>
            </w:pPr>
            <w:r>
              <w:rPr>
                <w:rFonts w:hint="eastAsia" w:ascii="宋体" w:hAnsi="宋体"/>
                <w:sz w:val="24"/>
                <w:szCs w:val="24"/>
                <w:lang w:val="en-US" w:eastAsia="zh-CN"/>
              </w:rPr>
              <w:t>Q：公司钢制车轮的主要客户群体？</w:t>
            </w:r>
          </w:p>
          <w:p>
            <w:pPr>
              <w:spacing w:line="360" w:lineRule="auto"/>
              <w:ind w:firstLine="480" w:firstLineChars="200"/>
              <w:rPr>
                <w:rFonts w:ascii="宋体" w:hAnsi="宋体"/>
                <w:sz w:val="24"/>
                <w:szCs w:val="24"/>
              </w:rPr>
            </w:pPr>
            <w:r>
              <w:rPr>
                <w:rFonts w:hint="eastAsia" w:ascii="宋体" w:hAnsi="宋体"/>
                <w:sz w:val="24"/>
                <w:szCs w:val="24"/>
                <w:lang w:val="en-US" w:eastAsia="zh-CN"/>
              </w:rPr>
              <w:t>A：国内自主品牌车系和部分合资品牌车型，公司产品逐步进入合资品牌市场：大众、福特、通用等。</w:t>
            </w:r>
          </w:p>
          <w:p>
            <w:pPr>
              <w:spacing w:line="360" w:lineRule="auto"/>
              <w:ind w:firstLine="480" w:firstLineChars="200"/>
              <w:rPr>
                <w:rFonts w:ascii="宋体" w:hAnsi="宋体"/>
                <w:sz w:val="24"/>
                <w:szCs w:val="24"/>
                <w:lang w:val="zh-CN"/>
              </w:rPr>
            </w:pPr>
            <w:r>
              <w:rPr>
                <w:rFonts w:hint="eastAsia" w:ascii="宋体" w:hAnsi="宋体"/>
                <w:sz w:val="24"/>
                <w:szCs w:val="24"/>
              </w:rPr>
              <w:t>Q：汽车超人重组后平台供应链业务由天猫车站承接，</w:t>
            </w:r>
            <w:r>
              <w:rPr>
                <w:rFonts w:hint="eastAsia" w:ascii="宋体" w:hAnsi="宋体"/>
                <w:sz w:val="24"/>
                <w:szCs w:val="24"/>
                <w:lang w:val="zh-CN"/>
              </w:rPr>
              <w:t>同时整体并购汽配B2b公司康众的优势与发展？</w:t>
            </w:r>
          </w:p>
          <w:p>
            <w:pPr>
              <w:spacing w:line="360" w:lineRule="auto"/>
              <w:ind w:firstLine="480"/>
              <w:rPr>
                <w:rFonts w:hint="eastAsia" w:ascii="宋体" w:hAnsi="宋体"/>
                <w:sz w:val="24"/>
                <w:szCs w:val="24"/>
                <w:lang w:val="en-US" w:eastAsia="zh-CN"/>
              </w:rPr>
            </w:pPr>
            <w:r>
              <w:rPr>
                <w:rFonts w:hint="eastAsia" w:ascii="宋体" w:hAnsi="宋体"/>
                <w:sz w:val="24"/>
                <w:szCs w:val="24"/>
                <w:lang w:val="en-US" w:eastAsia="zh-CN"/>
              </w:rPr>
              <w:t>A：天猫车站拥有天猫、淘宝后市场业务的独家运营权，共享天猫汽车后市场零售平台海量车主数据。天猫车站通过提供线上流量和供应链仓配能力成为行业基础设施建设者，打</w:t>
            </w:r>
            <w:bookmarkStart w:id="0" w:name="_GoBack"/>
            <w:bookmarkEnd w:id="0"/>
            <w:r>
              <w:rPr>
                <w:rFonts w:hint="eastAsia" w:ascii="宋体" w:hAnsi="宋体"/>
                <w:sz w:val="24"/>
                <w:szCs w:val="24"/>
                <w:lang w:val="en-US" w:eastAsia="zh-CN"/>
              </w:rPr>
              <w:t>造业内最具权威的汽车后市场服务认证平台。</w:t>
            </w:r>
          </w:p>
          <w:p>
            <w:pPr>
              <w:spacing w:line="360" w:lineRule="auto"/>
              <w:ind w:firstLine="480"/>
              <w:rPr>
                <w:rFonts w:hint="eastAsia" w:ascii="宋体" w:hAnsi="宋体"/>
                <w:sz w:val="24"/>
                <w:szCs w:val="24"/>
                <w:lang w:val="en-US" w:eastAsia="zh-CN"/>
              </w:rPr>
            </w:pPr>
            <w:r>
              <w:rPr>
                <w:rFonts w:hint="eastAsia" w:ascii="宋体" w:hAnsi="宋体"/>
                <w:sz w:val="24"/>
                <w:szCs w:val="24"/>
                <w:lang w:val="en-US" w:eastAsia="zh-CN"/>
              </w:rPr>
              <w:t>Q：智车慧达的优势是什么？</w:t>
            </w:r>
          </w:p>
          <w:p>
            <w:pPr>
              <w:spacing w:line="360" w:lineRule="auto"/>
              <w:ind w:firstLine="480"/>
              <w:rPr>
                <w:rFonts w:eastAsiaTheme="minorEastAsia"/>
                <w:kern w:val="0"/>
                <w:sz w:val="24"/>
                <w:szCs w:val="24"/>
                <w:lang w:val="zh-CN"/>
              </w:rPr>
            </w:pPr>
            <w:r>
              <w:rPr>
                <w:rFonts w:hint="eastAsia" w:ascii="宋体" w:hAnsi="宋体"/>
                <w:sz w:val="24"/>
                <w:szCs w:val="24"/>
                <w:lang w:val="en-US" w:eastAsia="zh-CN"/>
              </w:rPr>
              <w:t>A：1）相比于传统4S店模式，公司在价格、服务类别及服务品牌数量上具有较高优势；2）相比于“路边摊”小店，公司在服务质量及产品质量上给消费者更大信心；3）相比于其他售后新势力，公司在线上数据与阿里巴巴实现部分共享，导流规模、营销精准度方面优势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950" w:type="dxa"/>
            <w:vAlign w:val="center"/>
          </w:tcPr>
          <w:p>
            <w:pPr>
              <w:spacing w:line="480" w:lineRule="atLeast"/>
              <w:rPr>
                <w:rFonts w:ascii="宋体" w:hAnsi="宋体"/>
                <w:b/>
                <w:bCs/>
                <w:iCs/>
                <w:color w:val="000000"/>
                <w:kern w:val="0"/>
                <w:sz w:val="24"/>
              </w:rPr>
            </w:pPr>
            <w:r>
              <w:rPr>
                <w:rFonts w:hint="eastAsia" w:ascii="宋体" w:hAnsi="宋体"/>
                <w:b/>
                <w:bCs/>
                <w:iCs/>
                <w:color w:val="000000"/>
                <w:kern w:val="0"/>
                <w:sz w:val="24"/>
              </w:rPr>
              <w:t>附件清单（如有）</w:t>
            </w:r>
          </w:p>
        </w:tc>
        <w:tc>
          <w:tcPr>
            <w:tcW w:w="6690" w:type="dxa"/>
          </w:tcPr>
          <w:p>
            <w:pPr>
              <w:spacing w:line="360" w:lineRule="auto"/>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vAlign w:val="center"/>
          </w:tcPr>
          <w:p>
            <w:pPr>
              <w:spacing w:line="480" w:lineRule="atLeast"/>
              <w:rPr>
                <w:rFonts w:ascii="宋体" w:hAnsi="宋体"/>
                <w:b/>
                <w:bCs/>
                <w:iCs/>
                <w:color w:val="000000"/>
                <w:kern w:val="0"/>
                <w:sz w:val="24"/>
              </w:rPr>
            </w:pPr>
            <w:r>
              <w:rPr>
                <w:rFonts w:hint="eastAsia" w:ascii="宋体" w:hAnsi="宋体"/>
                <w:b/>
                <w:bCs/>
                <w:iCs/>
                <w:color w:val="000000"/>
                <w:kern w:val="0"/>
                <w:sz w:val="24"/>
              </w:rPr>
              <w:t>日期</w:t>
            </w:r>
          </w:p>
        </w:tc>
        <w:tc>
          <w:tcPr>
            <w:tcW w:w="6690" w:type="dxa"/>
          </w:tcPr>
          <w:p>
            <w:pPr>
              <w:spacing w:line="360" w:lineRule="auto"/>
              <w:rPr>
                <w:rFonts w:ascii="宋体" w:hAnsi="宋体"/>
                <w:sz w:val="24"/>
                <w:szCs w:val="24"/>
              </w:rPr>
            </w:pPr>
            <w:r>
              <w:rPr>
                <w:rFonts w:hint="eastAsia" w:ascii="宋体" w:hAnsi="宋体"/>
                <w:sz w:val="24"/>
                <w:szCs w:val="24"/>
              </w:rPr>
              <w:t>20</w:t>
            </w:r>
            <w:r>
              <w:rPr>
                <w:rFonts w:hint="eastAsia" w:ascii="宋体" w:hAnsi="宋体"/>
                <w:sz w:val="24"/>
                <w:szCs w:val="24"/>
                <w:lang w:val="en-US" w:eastAsia="zh-CN"/>
              </w:rPr>
              <w:t>20</w:t>
            </w:r>
            <w:r>
              <w:rPr>
                <w:rFonts w:hint="eastAsia" w:ascii="宋体" w:hAnsi="宋体"/>
                <w:sz w:val="24"/>
                <w:szCs w:val="24"/>
              </w:rPr>
              <w:t>年5月2</w:t>
            </w:r>
            <w:r>
              <w:rPr>
                <w:rFonts w:hint="eastAsia" w:ascii="宋体" w:hAnsi="宋体"/>
                <w:sz w:val="24"/>
                <w:szCs w:val="24"/>
                <w:lang w:val="en-US" w:eastAsia="zh-CN"/>
              </w:rPr>
              <w:t>2</w:t>
            </w:r>
            <w:r>
              <w:rPr>
                <w:rFonts w:hint="eastAsia" w:ascii="宋体" w:hAnsi="宋体"/>
                <w:sz w:val="24"/>
                <w:szCs w:val="24"/>
              </w:rPr>
              <w:t>日</w:t>
            </w:r>
          </w:p>
        </w:tc>
      </w:tr>
    </w:tbl>
    <w:p/>
    <w:sectPr>
      <w:footerReference r:id="rId3" w:type="default"/>
      <w:footerReference r:id="rId4" w:type="even"/>
      <w:pgSz w:w="11906" w:h="16838"/>
      <w:pgMar w:top="879" w:right="1689" w:bottom="918" w:left="168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E8B"/>
    <w:rsid w:val="000419A9"/>
    <w:rsid w:val="000B56A2"/>
    <w:rsid w:val="000C3BCB"/>
    <w:rsid w:val="000E02C4"/>
    <w:rsid w:val="001A135E"/>
    <w:rsid w:val="001B04FA"/>
    <w:rsid w:val="00200637"/>
    <w:rsid w:val="002D5A6B"/>
    <w:rsid w:val="0030723C"/>
    <w:rsid w:val="00321CD0"/>
    <w:rsid w:val="004C1169"/>
    <w:rsid w:val="005E0DFE"/>
    <w:rsid w:val="0063295A"/>
    <w:rsid w:val="006573CE"/>
    <w:rsid w:val="00710765"/>
    <w:rsid w:val="0072259F"/>
    <w:rsid w:val="008F08EE"/>
    <w:rsid w:val="00A44E8B"/>
    <w:rsid w:val="00A47567"/>
    <w:rsid w:val="00A56C8C"/>
    <w:rsid w:val="00B60024"/>
    <w:rsid w:val="00C75A30"/>
    <w:rsid w:val="00D01189"/>
    <w:rsid w:val="00D938D4"/>
    <w:rsid w:val="00DF4D42"/>
    <w:rsid w:val="00E45563"/>
    <w:rsid w:val="00E8397D"/>
    <w:rsid w:val="00ED74E9"/>
    <w:rsid w:val="02407B37"/>
    <w:rsid w:val="0F401F13"/>
    <w:rsid w:val="134C562D"/>
    <w:rsid w:val="16BA0D0B"/>
    <w:rsid w:val="19622CAF"/>
    <w:rsid w:val="1A3605C9"/>
    <w:rsid w:val="1BE7249C"/>
    <w:rsid w:val="22A37B19"/>
    <w:rsid w:val="26AF77B9"/>
    <w:rsid w:val="274A3F3F"/>
    <w:rsid w:val="297C7AFE"/>
    <w:rsid w:val="29FA68AB"/>
    <w:rsid w:val="35DE32B7"/>
    <w:rsid w:val="366B6B04"/>
    <w:rsid w:val="3BB648B3"/>
    <w:rsid w:val="461C517D"/>
    <w:rsid w:val="4CB92D28"/>
    <w:rsid w:val="4DF16716"/>
    <w:rsid w:val="4E0E57D2"/>
    <w:rsid w:val="509C47CE"/>
    <w:rsid w:val="54EA60D2"/>
    <w:rsid w:val="578D0E4D"/>
    <w:rsid w:val="589D1D37"/>
    <w:rsid w:val="63794140"/>
    <w:rsid w:val="64642335"/>
    <w:rsid w:val="64771B22"/>
    <w:rsid w:val="66DE67F3"/>
    <w:rsid w:val="703B68E4"/>
    <w:rsid w:val="756F75C1"/>
    <w:rsid w:val="757063B2"/>
    <w:rsid w:val="78127FF2"/>
    <w:rsid w:val="78CC0C26"/>
    <w:rsid w:val="791825E9"/>
    <w:rsid w:val="7FAF0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nhideWhenUsed/>
    <w:qFormat/>
    <w:uiPriority w:val="99"/>
  </w:style>
  <w:style w:type="character" w:customStyle="1" w:styleId="7">
    <w:name w:val="页眉 Char"/>
    <w:basedOn w:val="5"/>
    <w:link w:val="3"/>
    <w:qFormat/>
    <w:uiPriority w:val="0"/>
    <w:rPr>
      <w:kern w:val="2"/>
      <w:sz w:val="18"/>
      <w:szCs w:val="18"/>
    </w:rPr>
  </w:style>
  <w:style w:type="paragraph" w:customStyle="1" w:styleId="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204</Words>
  <Characters>1164</Characters>
  <Lines>9</Lines>
  <Paragraphs>2</Paragraphs>
  <TotalTime>18</TotalTime>
  <ScaleCrop>false</ScaleCrop>
  <LinksUpToDate>false</LinksUpToDate>
  <CharactersWithSpaces>1366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apple</dc:creator>
  <cp:lastModifiedBy>Administrator</cp:lastModifiedBy>
  <dcterms:modified xsi:type="dcterms:W3CDTF">2020-05-25T08:08:52Z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