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证券代码：300679                                 证券简称：电连技术</w:t>
      </w:r>
    </w:p>
    <w:p>
      <w:pPr>
        <w:spacing w:before="156" w:beforeLines="50" w:after="156" w:afterLines="50" w:line="400" w:lineRule="exact"/>
        <w:jc w:val="center"/>
        <w:rPr>
          <w:rFonts w:ascii="宋体" w:hAnsi="宋体"/>
          <w:b/>
          <w:bCs/>
          <w:iCs/>
          <w:color w:val="000000"/>
          <w:sz w:val="32"/>
          <w:szCs w:val="32"/>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电连技术股份有限公司投资者关系活动记录表</w:t>
      </w:r>
    </w:p>
    <w:p>
      <w:pPr>
        <w:spacing w:before="156" w:beforeLines="50" w:after="156" w:afterLines="50" w:line="400" w:lineRule="exact"/>
        <w:jc w:val="center"/>
        <w:rPr>
          <w:rFonts w:ascii="宋体" w:hAnsi="宋体"/>
          <w:b/>
          <w:bCs/>
          <w:iCs/>
          <w:color w:val="000000"/>
          <w:sz w:val="32"/>
          <w:szCs w:val="32"/>
        </w:rPr>
      </w:pPr>
    </w:p>
    <w:p>
      <w:pPr>
        <w:spacing w:line="400" w:lineRule="exact"/>
        <w:ind w:firstLine="480"/>
        <w:rPr>
          <w:rFonts w:ascii="宋体" w:hAnsi="宋体"/>
          <w:bCs/>
          <w:iCs/>
          <w:color w:val="000000"/>
          <w:sz w:val="24"/>
        </w:rPr>
      </w:pPr>
      <w:r>
        <w:rPr>
          <w:rFonts w:hint="eastAsia" w:ascii="宋体" w:hAnsi="宋体"/>
          <w:bCs/>
          <w:iCs/>
          <w:color w:val="000000"/>
          <w:sz w:val="24"/>
        </w:rPr>
        <w:t xml:space="preserve">                                             </w:t>
      </w:r>
      <w:r>
        <w:rPr>
          <w:rFonts w:hint="eastAsia" w:ascii="宋体" w:hAnsi="宋体"/>
          <w:kern w:val="0"/>
          <w:sz w:val="24"/>
          <w:szCs w:val="28"/>
        </w:rPr>
        <w:t xml:space="preserve"> </w:t>
      </w:r>
      <w:r>
        <w:rPr>
          <w:rFonts w:ascii="宋体" w:hAnsi="宋体"/>
          <w:kern w:val="0"/>
          <w:sz w:val="24"/>
          <w:szCs w:val="28"/>
        </w:rPr>
        <w:t xml:space="preserve"> </w:t>
      </w:r>
      <w:r>
        <w:rPr>
          <w:rFonts w:hint="eastAsia" w:ascii="宋体" w:hAnsi="宋体"/>
          <w:kern w:val="0"/>
          <w:sz w:val="24"/>
          <w:szCs w:val="28"/>
        </w:rPr>
        <w:t>编号：2020-003</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投资者关系活动类别</w:t>
            </w:r>
          </w:p>
          <w:p>
            <w:pPr>
              <w:spacing w:line="480" w:lineRule="atLeast"/>
              <w:jc w:val="center"/>
              <w:rPr>
                <w:rFonts w:ascii="宋体" w:hAnsi="宋体"/>
                <w:b/>
                <w:bCs/>
                <w:iCs/>
                <w:color w:val="000000"/>
                <w:kern w:val="0"/>
                <w:sz w:val="24"/>
              </w:rPr>
            </w:pPr>
          </w:p>
        </w:tc>
        <w:tc>
          <w:tcPr>
            <w:tcW w:w="6614" w:type="dxa"/>
          </w:tcPr>
          <w:p>
            <w:pPr>
              <w:spacing w:line="480" w:lineRule="atLeast"/>
              <w:rPr>
                <w:rFonts w:ascii="宋体" w:hAnsi="宋体"/>
                <w:bCs/>
                <w:iCs/>
                <w:color w:val="000000"/>
                <w:kern w:val="0"/>
                <w:sz w:val="22"/>
              </w:rPr>
            </w:pPr>
            <w:r>
              <w:rPr>
                <w:rFonts w:hint="eastAsia" w:ascii="MS Mincho" w:hAnsi="MS Mincho" w:eastAsia="MS Mincho" w:cs="MS Mincho"/>
                <w:bCs/>
                <w:iCs/>
                <w:color w:val="000000"/>
                <w:kern w:val="0"/>
                <w:sz w:val="22"/>
              </w:rPr>
              <w:t>☑</w:t>
            </w:r>
            <w:r>
              <w:rPr>
                <w:rFonts w:hint="eastAsia" w:ascii="宋体" w:hAnsi="宋体"/>
                <w:kern w:val="0"/>
                <w:sz w:val="24"/>
                <w:szCs w:val="28"/>
              </w:rPr>
              <w:t xml:space="preserve">特定对象调研        </w:t>
            </w:r>
            <w:r>
              <w:rPr>
                <w:rFonts w:hint="eastAsia" w:ascii="宋体" w:hAnsi="宋体"/>
                <w:bCs/>
                <w:iCs/>
                <w:color w:val="000000"/>
                <w:kern w:val="0"/>
                <w:sz w:val="22"/>
              </w:rPr>
              <w:t>□</w:t>
            </w:r>
            <w:r>
              <w:rPr>
                <w:rFonts w:hint="eastAsia" w:ascii="宋体" w:hAnsi="宋体"/>
                <w:kern w:val="0"/>
                <w:sz w:val="24"/>
                <w:szCs w:val="28"/>
              </w:rPr>
              <w:t>分析师会议</w:t>
            </w:r>
          </w:p>
          <w:p>
            <w:pPr>
              <w:spacing w:line="480" w:lineRule="atLeast"/>
              <w:rPr>
                <w:rFonts w:ascii="宋体" w:hAnsi="宋体"/>
                <w:bCs/>
                <w:iCs/>
                <w:color w:val="000000"/>
                <w:kern w:val="0"/>
                <w:sz w:val="22"/>
              </w:rPr>
            </w:pPr>
            <w:r>
              <w:rPr>
                <w:rFonts w:hint="eastAsia" w:ascii="宋体" w:hAnsi="宋体"/>
                <w:bCs/>
                <w:iCs/>
                <w:color w:val="000000"/>
                <w:kern w:val="0"/>
                <w:sz w:val="22"/>
              </w:rPr>
              <w:t>□</w:t>
            </w:r>
            <w:r>
              <w:rPr>
                <w:rFonts w:hint="eastAsia" w:ascii="宋体" w:hAnsi="宋体"/>
                <w:kern w:val="0"/>
                <w:sz w:val="24"/>
                <w:szCs w:val="28"/>
              </w:rPr>
              <w:t xml:space="preserve">媒体采访            </w:t>
            </w:r>
            <w:r>
              <w:rPr>
                <w:rFonts w:hint="eastAsia" w:ascii="宋体" w:hAnsi="宋体"/>
                <w:bCs/>
                <w:iCs/>
                <w:color w:val="000000"/>
                <w:kern w:val="0"/>
                <w:sz w:val="22"/>
              </w:rPr>
              <w:t>□</w:t>
            </w:r>
            <w:r>
              <w:rPr>
                <w:rFonts w:hint="eastAsia" w:ascii="宋体" w:hAnsi="宋体"/>
                <w:kern w:val="0"/>
                <w:sz w:val="24"/>
                <w:szCs w:val="28"/>
              </w:rPr>
              <w:t>业绩说明会</w:t>
            </w:r>
          </w:p>
          <w:p>
            <w:pPr>
              <w:spacing w:line="480" w:lineRule="atLeast"/>
              <w:rPr>
                <w:rFonts w:ascii="宋体" w:hAnsi="宋体"/>
                <w:bCs/>
                <w:iCs/>
                <w:color w:val="000000"/>
                <w:kern w:val="0"/>
                <w:sz w:val="22"/>
              </w:rPr>
            </w:pPr>
            <w:r>
              <w:rPr>
                <w:rFonts w:hint="eastAsia" w:ascii="宋体" w:hAnsi="宋体"/>
                <w:bCs/>
                <w:iCs/>
                <w:color w:val="000000"/>
                <w:kern w:val="0"/>
                <w:sz w:val="22"/>
              </w:rPr>
              <w:t>□</w:t>
            </w:r>
            <w:r>
              <w:rPr>
                <w:rFonts w:hint="eastAsia" w:ascii="宋体" w:hAnsi="宋体"/>
                <w:kern w:val="0"/>
                <w:sz w:val="24"/>
                <w:szCs w:val="28"/>
              </w:rPr>
              <w:t xml:space="preserve">新闻发布会          </w:t>
            </w:r>
            <w:r>
              <w:rPr>
                <w:rFonts w:hint="eastAsia" w:ascii="宋体" w:hAnsi="宋体"/>
                <w:bCs/>
                <w:iCs/>
                <w:color w:val="000000"/>
                <w:kern w:val="0"/>
                <w:sz w:val="22"/>
              </w:rPr>
              <w:t>□</w:t>
            </w:r>
            <w:r>
              <w:rPr>
                <w:rFonts w:hint="eastAsia" w:ascii="宋体" w:hAnsi="宋体"/>
                <w:kern w:val="0"/>
                <w:sz w:val="24"/>
                <w:szCs w:val="28"/>
              </w:rPr>
              <w:t>路演活动</w:t>
            </w:r>
          </w:p>
          <w:p>
            <w:pPr>
              <w:tabs>
                <w:tab w:val="left" w:pos="3045"/>
                <w:tab w:val="center" w:pos="3199"/>
              </w:tabs>
              <w:spacing w:line="480" w:lineRule="atLeast"/>
              <w:rPr>
                <w:rFonts w:ascii="宋体" w:hAnsi="宋体"/>
                <w:bCs/>
                <w:iCs/>
                <w:color w:val="000000"/>
                <w:kern w:val="0"/>
                <w:sz w:val="22"/>
              </w:rPr>
            </w:pPr>
            <w:r>
              <w:rPr>
                <w:rFonts w:hint="eastAsia" w:ascii="宋体" w:hAnsi="宋体"/>
                <w:bCs/>
                <w:iCs/>
                <w:color w:val="000000"/>
                <w:kern w:val="0"/>
                <w:sz w:val="22"/>
              </w:rPr>
              <w:sym w:font="Wingdings 2" w:char="00A3"/>
            </w:r>
            <w:r>
              <w:rPr>
                <w:rFonts w:hint="eastAsia" w:ascii="宋体" w:hAnsi="宋体"/>
                <w:kern w:val="0"/>
                <w:sz w:val="24"/>
                <w:szCs w:val="28"/>
              </w:rPr>
              <w:t>现场参观</w:t>
            </w:r>
            <w:r>
              <w:rPr>
                <w:rFonts w:hint="eastAsia" w:ascii="宋体" w:hAnsi="宋体"/>
                <w:bCs/>
                <w:iCs/>
                <w:color w:val="000000"/>
                <w:kern w:val="0"/>
                <w:sz w:val="22"/>
              </w:rPr>
              <w:tab/>
            </w:r>
          </w:p>
          <w:p>
            <w:pPr>
              <w:tabs>
                <w:tab w:val="center" w:pos="3199"/>
              </w:tabs>
              <w:spacing w:line="480" w:lineRule="atLeast"/>
              <w:rPr>
                <w:rFonts w:ascii="宋体" w:hAnsi="宋体"/>
                <w:bCs/>
                <w:iCs/>
                <w:color w:val="000000"/>
                <w:kern w:val="0"/>
                <w:sz w:val="24"/>
              </w:rPr>
            </w:pPr>
            <w:r>
              <w:rPr>
                <w:rFonts w:hint="eastAsia" w:ascii="宋体" w:hAnsi="宋体"/>
                <w:bCs/>
                <w:iCs/>
                <w:color w:val="000000"/>
                <w:kern w:val="0"/>
                <w:sz w:val="22"/>
              </w:rPr>
              <w:t>□</w:t>
            </w:r>
            <w:r>
              <w:rPr>
                <w:rFonts w:hint="eastAsia" w:ascii="宋体" w:hAnsi="宋体"/>
                <w:kern w:val="0"/>
                <w:sz w:val="24"/>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参与单位名称及人员姓名</w:t>
            </w:r>
          </w:p>
        </w:tc>
        <w:tc>
          <w:tcPr>
            <w:tcW w:w="6614" w:type="dxa"/>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清水源投资：程宇楠        河床资本：张建宾</w:t>
            </w:r>
          </w:p>
          <w:p>
            <w:pPr>
              <w:spacing w:line="480" w:lineRule="atLeast"/>
              <w:rPr>
                <w:rFonts w:ascii="宋体" w:hAnsi="宋体"/>
                <w:bCs/>
                <w:iCs/>
                <w:color w:val="000000"/>
                <w:kern w:val="0"/>
                <w:sz w:val="24"/>
              </w:rPr>
            </w:pPr>
            <w:r>
              <w:rPr>
                <w:rFonts w:hint="eastAsia" w:ascii="宋体" w:hAnsi="宋体"/>
                <w:bCs/>
                <w:iCs/>
                <w:color w:val="000000"/>
                <w:kern w:val="0"/>
                <w:sz w:val="24"/>
              </w:rPr>
              <w:t>睿泽资本：黎明            永赢基金：张海啸</w:t>
            </w:r>
          </w:p>
          <w:p>
            <w:pPr>
              <w:spacing w:line="480" w:lineRule="atLeast"/>
              <w:rPr>
                <w:rFonts w:ascii="宋体" w:hAnsi="宋体"/>
                <w:bCs/>
                <w:iCs/>
                <w:color w:val="000000"/>
                <w:kern w:val="0"/>
                <w:sz w:val="24"/>
              </w:rPr>
            </w:pPr>
            <w:r>
              <w:rPr>
                <w:rFonts w:hint="eastAsia" w:ascii="宋体" w:hAnsi="宋体"/>
                <w:bCs/>
                <w:iCs/>
                <w:color w:val="000000"/>
                <w:kern w:val="0"/>
                <w:sz w:val="24"/>
              </w:rPr>
              <w:t>兴银基金：高鹏            前海开源基金：魏淳、郑建鑫</w:t>
            </w:r>
          </w:p>
          <w:p>
            <w:pPr>
              <w:spacing w:line="480" w:lineRule="atLeast"/>
              <w:rPr>
                <w:rFonts w:ascii="宋体" w:hAnsi="宋体"/>
                <w:bCs/>
                <w:iCs/>
                <w:color w:val="000000"/>
                <w:kern w:val="0"/>
                <w:sz w:val="24"/>
              </w:rPr>
            </w:pPr>
            <w:r>
              <w:rPr>
                <w:rFonts w:hint="eastAsia" w:ascii="宋体" w:hAnsi="宋体"/>
                <w:bCs/>
                <w:iCs/>
                <w:color w:val="000000"/>
                <w:kern w:val="0"/>
                <w:sz w:val="24"/>
              </w:rPr>
              <w:t>国信证券：欧阳仕华        健顺投资：卢雅霖</w:t>
            </w:r>
          </w:p>
          <w:p>
            <w:pPr>
              <w:spacing w:line="480" w:lineRule="atLeast"/>
              <w:rPr>
                <w:rFonts w:ascii="宋体" w:hAnsi="宋体"/>
                <w:bCs/>
                <w:iCs/>
                <w:color w:val="000000"/>
                <w:kern w:val="0"/>
                <w:sz w:val="24"/>
              </w:rPr>
            </w:pPr>
            <w:r>
              <w:rPr>
                <w:rFonts w:hint="eastAsia" w:ascii="宋体" w:hAnsi="宋体"/>
                <w:bCs/>
                <w:iCs/>
                <w:color w:val="000000"/>
                <w:kern w:val="0"/>
                <w:sz w:val="24"/>
              </w:rPr>
              <w:t>中新融创资本：涂万春      中天国富证券：熊奇</w:t>
            </w:r>
          </w:p>
          <w:p>
            <w:pPr>
              <w:spacing w:line="480" w:lineRule="atLeast"/>
              <w:rPr>
                <w:rFonts w:ascii="宋体" w:hAnsi="宋体"/>
                <w:bCs/>
                <w:iCs/>
                <w:color w:val="000000"/>
                <w:kern w:val="0"/>
                <w:sz w:val="24"/>
              </w:rPr>
            </w:pPr>
            <w:r>
              <w:rPr>
                <w:rFonts w:hint="eastAsia" w:ascii="宋体" w:hAnsi="宋体"/>
                <w:bCs/>
                <w:iCs/>
                <w:color w:val="000000"/>
                <w:kern w:val="0"/>
                <w:sz w:val="24"/>
              </w:rPr>
              <w:t>上海理成资产：王优草      兴证资管：杨亦</w:t>
            </w:r>
          </w:p>
          <w:p>
            <w:pPr>
              <w:spacing w:line="480" w:lineRule="atLeast"/>
              <w:rPr>
                <w:rFonts w:ascii="宋体" w:hAnsi="宋体"/>
                <w:bCs/>
                <w:iCs/>
                <w:color w:val="000000"/>
                <w:kern w:val="0"/>
                <w:sz w:val="24"/>
              </w:rPr>
            </w:pPr>
            <w:r>
              <w:rPr>
                <w:rFonts w:hint="eastAsia" w:ascii="宋体" w:hAnsi="宋体"/>
                <w:bCs/>
                <w:iCs/>
                <w:color w:val="000000"/>
                <w:kern w:val="0"/>
                <w:sz w:val="24"/>
              </w:rPr>
              <w:t>泰康资产：程振宇          财通基金：金梓才</w:t>
            </w:r>
          </w:p>
          <w:p>
            <w:pPr>
              <w:spacing w:line="480" w:lineRule="atLeast"/>
              <w:rPr>
                <w:rFonts w:ascii="宋体" w:hAnsi="宋体"/>
                <w:bCs/>
                <w:iCs/>
                <w:color w:val="000000"/>
                <w:kern w:val="0"/>
                <w:sz w:val="24"/>
              </w:rPr>
            </w:pPr>
            <w:r>
              <w:rPr>
                <w:rFonts w:hint="eastAsia" w:ascii="宋体" w:hAnsi="宋体"/>
                <w:bCs/>
                <w:iCs/>
                <w:color w:val="000000"/>
                <w:kern w:val="0"/>
                <w:sz w:val="24"/>
              </w:rPr>
              <w:t xml:space="preserve">中泰证券：陈霄宇 </w:t>
            </w:r>
            <w:r>
              <w:rPr>
                <w:rFonts w:ascii="宋体" w:hAnsi="宋体"/>
                <w:bCs/>
                <w:iCs/>
                <w:color w:val="000000"/>
                <w:kern w:val="0"/>
                <w:sz w:val="24"/>
              </w:rPr>
              <w:t xml:space="preserve">         </w:t>
            </w:r>
            <w:r>
              <w:rPr>
                <w:rFonts w:hint="eastAsia" w:ascii="宋体" w:hAnsi="宋体"/>
                <w:bCs/>
                <w:iCs/>
                <w:color w:val="000000"/>
                <w:kern w:val="0"/>
                <w:sz w:val="24"/>
              </w:rPr>
              <w:t>中融鼎投资：吴函亮</w:t>
            </w:r>
          </w:p>
          <w:p>
            <w:pPr>
              <w:spacing w:line="480" w:lineRule="atLeast"/>
              <w:rPr>
                <w:rFonts w:ascii="宋体" w:hAnsi="宋体"/>
                <w:bCs/>
                <w:iCs/>
                <w:color w:val="000000"/>
                <w:kern w:val="0"/>
                <w:sz w:val="24"/>
              </w:rPr>
            </w:pPr>
            <w:r>
              <w:rPr>
                <w:rFonts w:hint="eastAsia" w:ascii="宋体" w:hAnsi="宋体"/>
                <w:bCs/>
                <w:iCs/>
                <w:color w:val="000000"/>
                <w:kern w:val="0"/>
                <w:sz w:val="24"/>
              </w:rPr>
              <w:t xml:space="preserve">个人投资者：王路  </w:t>
            </w:r>
          </w:p>
          <w:p>
            <w:pPr>
              <w:spacing w:line="480" w:lineRule="atLeast"/>
              <w:rPr>
                <w:rFonts w:ascii="宋体" w:hAnsi="宋体"/>
                <w:bCs/>
                <w:iCs/>
                <w:color w:val="000000"/>
                <w:kern w:val="0"/>
                <w:sz w:val="24"/>
              </w:rPr>
            </w:pPr>
            <w:r>
              <w:rPr>
                <w:rFonts w:hint="eastAsia" w:ascii="宋体" w:hAnsi="宋体"/>
                <w:bCs/>
                <w:iCs/>
                <w:color w:val="000000"/>
                <w:kern w:val="0"/>
                <w:sz w:val="24"/>
              </w:rPr>
              <w:t>（以上排名不分先后）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时间</w:t>
            </w:r>
          </w:p>
        </w:tc>
        <w:tc>
          <w:tcPr>
            <w:tcW w:w="6614" w:type="dxa"/>
          </w:tcPr>
          <w:p>
            <w:pPr>
              <w:spacing w:line="480" w:lineRule="atLeast"/>
              <w:rPr>
                <w:rFonts w:ascii="宋体" w:hAnsi="宋体"/>
                <w:bCs/>
                <w:iCs/>
                <w:color w:val="000000"/>
                <w:kern w:val="0"/>
                <w:sz w:val="24"/>
              </w:rPr>
            </w:pPr>
            <w:r>
              <w:rPr>
                <w:rFonts w:hint="eastAsia" w:ascii="宋体" w:hAnsi="宋体"/>
                <w:bCs/>
                <w:iCs/>
                <w:color w:val="000000"/>
                <w:kern w:val="0"/>
                <w:sz w:val="24"/>
              </w:rPr>
              <w:t>2020年5月28日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地点</w:t>
            </w:r>
          </w:p>
        </w:tc>
        <w:tc>
          <w:tcPr>
            <w:tcW w:w="6614" w:type="dxa"/>
          </w:tcPr>
          <w:p>
            <w:pPr>
              <w:spacing w:line="480" w:lineRule="atLeast"/>
              <w:rPr>
                <w:rFonts w:ascii="宋体" w:hAnsi="宋体"/>
                <w:bCs/>
                <w:iCs/>
                <w:color w:val="000000"/>
                <w:kern w:val="0"/>
                <w:sz w:val="24"/>
              </w:rPr>
            </w:pPr>
            <w:r>
              <w:rPr>
                <w:rFonts w:hint="eastAsia" w:ascii="宋体" w:hAnsi="宋体"/>
                <w:bCs/>
                <w:iCs/>
                <w:color w:val="000000"/>
                <w:kern w:val="0"/>
                <w:sz w:val="24"/>
              </w:rPr>
              <w:t>公司206会议室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上市公司接待人员姓名</w:t>
            </w:r>
          </w:p>
        </w:tc>
        <w:tc>
          <w:tcPr>
            <w:tcW w:w="6614" w:type="dxa"/>
            <w:vAlign w:val="center"/>
          </w:tcPr>
          <w:p>
            <w:pPr>
              <w:spacing w:line="480" w:lineRule="atLeast"/>
              <w:jc w:val="left"/>
              <w:rPr>
                <w:rFonts w:ascii="宋体" w:hAnsi="宋体"/>
                <w:bCs/>
                <w:iCs/>
                <w:color w:val="000000"/>
                <w:kern w:val="0"/>
                <w:sz w:val="24"/>
              </w:rPr>
            </w:pPr>
            <w:r>
              <w:rPr>
                <w:rFonts w:hint="eastAsia" w:ascii="宋体" w:hAnsi="宋体"/>
                <w:bCs/>
                <w:iCs/>
                <w:color w:val="000000"/>
                <w:kern w:val="0"/>
                <w:sz w:val="24"/>
              </w:rPr>
              <w:t>副总经理、董事会秘书：聂成文</w:t>
            </w:r>
          </w:p>
          <w:p>
            <w:pPr>
              <w:spacing w:line="480" w:lineRule="atLeast"/>
              <w:jc w:val="left"/>
              <w:rPr>
                <w:rFonts w:ascii="宋体" w:hAnsi="宋体"/>
                <w:bCs/>
                <w:iCs/>
                <w:color w:val="000000"/>
                <w:kern w:val="0"/>
                <w:sz w:val="24"/>
              </w:rPr>
            </w:pPr>
            <w:r>
              <w:rPr>
                <w:rFonts w:hint="eastAsia" w:ascii="宋体" w:hAnsi="宋体"/>
                <w:bCs/>
                <w:iCs/>
                <w:color w:val="000000"/>
                <w:kern w:val="0"/>
                <w:sz w:val="24"/>
              </w:rPr>
              <w:t>证券事务专员：叶志宏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908" w:type="dxa"/>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投资者关系活动主要内容介绍</w:t>
            </w:r>
          </w:p>
        </w:tc>
        <w:tc>
          <w:tcPr>
            <w:tcW w:w="6614" w:type="dxa"/>
          </w:tcPr>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r>
              <w:rPr>
                <w:rFonts w:hint="eastAsia" w:ascii="宋体" w:hAnsi="宋体"/>
                <w:b/>
                <w:bCs/>
                <w:sz w:val="24"/>
              </w:rPr>
              <w:t>投资者主要问题：</w:t>
            </w:r>
          </w:p>
          <w:p>
            <w:pPr>
              <w:adjustRightInd w:val="0"/>
              <w:snapToGrid w:val="0"/>
              <w:spacing w:line="360" w:lineRule="auto"/>
              <w:ind w:firstLine="354" w:firstLineChars="147"/>
              <w:rPr>
                <w:rFonts w:ascii="宋体" w:hAnsi="宋体"/>
                <w:b/>
                <w:sz w:val="24"/>
              </w:rPr>
            </w:pPr>
            <w:r>
              <w:rPr>
                <w:rFonts w:hint="eastAsia" w:ascii="宋体" w:hAnsi="宋体"/>
                <w:b/>
                <w:sz w:val="24"/>
              </w:rPr>
              <w:t>1、公司BTB产品</w:t>
            </w:r>
            <w:r>
              <w:rPr>
                <w:rFonts w:hint="eastAsia" w:ascii="宋体" w:hAnsi="宋体"/>
                <w:b/>
                <w:sz w:val="24"/>
                <w:lang w:val="en-US" w:eastAsia="zh-CN"/>
              </w:rPr>
              <w:t>进展</w:t>
            </w:r>
            <w:r>
              <w:rPr>
                <w:rFonts w:hint="eastAsia" w:ascii="宋体" w:hAnsi="宋体"/>
                <w:b/>
                <w:sz w:val="24"/>
              </w:rPr>
              <w:t>情况？</w:t>
            </w:r>
          </w:p>
          <w:p>
            <w:pPr>
              <w:adjustRightInd w:val="0"/>
              <w:snapToGrid w:val="0"/>
              <w:spacing w:line="360" w:lineRule="auto"/>
              <w:ind w:firstLine="480"/>
              <w:rPr>
                <w:rFonts w:ascii="宋体" w:hAnsi="宋体"/>
                <w:sz w:val="24"/>
              </w:rPr>
            </w:pPr>
            <w:r>
              <w:rPr>
                <w:rFonts w:hint="eastAsia" w:ascii="宋体" w:hAnsi="宋体"/>
                <w:sz w:val="24"/>
              </w:rPr>
              <w:t>答：智能手机对板对板连接器（BTB）产品精密程度、良品率</w:t>
            </w:r>
            <w:r>
              <w:rPr>
                <w:rFonts w:hint="eastAsia" w:ascii="宋体" w:hAnsi="宋体"/>
                <w:sz w:val="24"/>
                <w:lang w:val="en-US" w:eastAsia="zh-CN"/>
              </w:rPr>
              <w:t>等</w:t>
            </w:r>
            <w:r>
              <w:rPr>
                <w:rFonts w:hint="eastAsia" w:ascii="宋体" w:hAnsi="宋体"/>
                <w:sz w:val="24"/>
              </w:rPr>
              <w:t>要求非常高，技术难度较</w:t>
            </w:r>
            <w:r>
              <w:rPr>
                <w:rFonts w:ascii="宋体" w:hAnsi="宋体"/>
                <w:sz w:val="24"/>
              </w:rPr>
              <w:t>大</w:t>
            </w:r>
            <w:r>
              <w:rPr>
                <w:rFonts w:hint="eastAsia" w:ascii="宋体" w:hAnsi="宋体"/>
                <w:sz w:val="24"/>
              </w:rPr>
              <w:t>，该市场目前由技术领先的日本及欧美连接器厂商主导。</w:t>
            </w:r>
          </w:p>
          <w:p>
            <w:pPr>
              <w:adjustRightInd w:val="0"/>
              <w:snapToGrid w:val="0"/>
              <w:spacing w:line="360" w:lineRule="auto"/>
              <w:ind w:firstLine="480"/>
              <w:rPr>
                <w:rFonts w:ascii="宋体" w:hAnsi="宋体"/>
                <w:sz w:val="24"/>
              </w:rPr>
            </w:pPr>
            <w:r>
              <w:rPr>
                <w:rFonts w:hint="eastAsia" w:ascii="宋体" w:hAnsi="宋体"/>
                <w:sz w:val="24"/>
              </w:rPr>
              <w:t>公司BTB产品分为普通BTB产品与射频BTB产品，两种产品</w:t>
            </w:r>
            <w:r>
              <w:rPr>
                <w:rFonts w:hint="eastAsia" w:ascii="宋体" w:hAnsi="宋体"/>
                <w:sz w:val="24"/>
                <w:lang w:val="en-US" w:eastAsia="zh-CN"/>
              </w:rPr>
              <w:t>因</w:t>
            </w:r>
            <w:r>
              <w:rPr>
                <w:rFonts w:hint="eastAsia" w:ascii="宋体" w:hAnsi="宋体"/>
                <w:sz w:val="24"/>
              </w:rPr>
              <w:t>在工艺设计上有所不同，导致了射频BTB产品的单位成本比普通BTB产品高。</w:t>
            </w:r>
            <w:r>
              <w:rPr>
                <w:rFonts w:hint="eastAsia" w:ascii="宋体" w:hAnsi="宋体"/>
                <w:sz w:val="24"/>
                <w:lang w:val="en-US" w:eastAsia="zh-CN"/>
              </w:rPr>
              <w:t>在</w:t>
            </w:r>
            <w:r>
              <w:rPr>
                <w:rFonts w:hint="eastAsia" w:ascii="宋体" w:hAnsi="宋体"/>
                <w:sz w:val="24"/>
              </w:rPr>
              <w:t>普通BTB产品、射频BTB产品方面，公司已出合格产品，并批量用于核心客户，取得了较好的市场反映。</w:t>
            </w:r>
          </w:p>
          <w:p>
            <w:pPr>
              <w:adjustRightInd w:val="0"/>
              <w:snapToGrid w:val="0"/>
              <w:spacing w:line="360" w:lineRule="auto"/>
              <w:ind w:firstLine="480"/>
              <w:rPr>
                <w:rFonts w:ascii="宋体" w:hAnsi="宋体"/>
                <w:sz w:val="24"/>
              </w:rPr>
            </w:pPr>
            <w:r>
              <w:rPr>
                <w:rFonts w:hint="eastAsia" w:ascii="宋体" w:hAnsi="宋体"/>
                <w:sz w:val="24"/>
              </w:rPr>
              <w:t>预计未来BTB产品在微型化、高频化特征愈发明显的情况下，对精密程度、自动化程度方面要求越来越高，需要大量的技术储备基础</w:t>
            </w:r>
            <w:r>
              <w:rPr>
                <w:rFonts w:hint="eastAsia" w:ascii="宋体" w:hAnsi="宋体"/>
                <w:sz w:val="24"/>
                <w:lang w:eastAsia="zh-CN"/>
              </w:rPr>
              <w:t>，</w:t>
            </w:r>
            <w:r>
              <w:rPr>
                <w:rFonts w:hint="eastAsia" w:ascii="宋体" w:hAnsi="宋体"/>
                <w:sz w:val="24"/>
              </w:rPr>
              <w:t>公司会根据市场及客户需求情况进行逐步深入。</w:t>
            </w:r>
          </w:p>
          <w:p>
            <w:pPr>
              <w:adjustRightInd w:val="0"/>
              <w:snapToGrid w:val="0"/>
              <w:spacing w:line="360" w:lineRule="auto"/>
              <w:ind w:firstLine="354" w:firstLineChars="147"/>
              <w:rPr>
                <w:rFonts w:ascii="宋体" w:hAnsi="宋体"/>
                <w:b/>
                <w:sz w:val="24"/>
              </w:rPr>
            </w:pPr>
          </w:p>
          <w:p>
            <w:pPr>
              <w:adjustRightInd w:val="0"/>
              <w:snapToGrid w:val="0"/>
              <w:spacing w:line="360" w:lineRule="auto"/>
              <w:ind w:firstLine="354" w:firstLineChars="147"/>
              <w:rPr>
                <w:rFonts w:ascii="宋体" w:hAnsi="宋体"/>
                <w:b/>
                <w:sz w:val="24"/>
              </w:rPr>
            </w:pPr>
            <w:r>
              <w:rPr>
                <w:rFonts w:hint="eastAsia" w:ascii="宋体" w:hAnsi="宋体"/>
                <w:b/>
                <w:sz w:val="24"/>
              </w:rPr>
              <w:t>2、公司对于未来5G毫米波时代的相关规划？</w:t>
            </w:r>
          </w:p>
          <w:p>
            <w:pPr>
              <w:adjustRightInd w:val="0"/>
              <w:snapToGrid w:val="0"/>
              <w:spacing w:line="360" w:lineRule="auto"/>
              <w:ind w:firstLine="480"/>
              <w:rPr>
                <w:rFonts w:ascii="宋体" w:hAnsi="宋体"/>
                <w:sz w:val="24"/>
              </w:rPr>
            </w:pPr>
            <w:r>
              <w:rPr>
                <w:rFonts w:hint="eastAsia" w:ascii="宋体" w:hAnsi="宋体"/>
                <w:sz w:val="24"/>
              </w:rPr>
              <w:t>答：在未来的5G毫米波时代，产品技术难度及复杂度均会成倍加大。基于对5G的推进展望，尤其是未来毫米波市场的竞争格局，公司基于5G材料的射频连接及相关产品将会进一步满足客户测试，小批量使用的要求，并在交货过程中不断积累经验，朝着有利于具有市场价值部分的产业链进行符合公司需求的拓展。但受新冠肺炎疫情的影响，公司上述规划有一定的延后。</w:t>
            </w:r>
          </w:p>
          <w:p>
            <w:pPr>
              <w:adjustRightInd w:val="0"/>
              <w:snapToGrid w:val="0"/>
              <w:spacing w:line="360" w:lineRule="auto"/>
              <w:rPr>
                <w:rFonts w:ascii="宋体" w:hAnsi="宋体"/>
                <w:sz w:val="24"/>
              </w:rPr>
            </w:pPr>
            <w:r>
              <w:rPr>
                <w:rFonts w:hint="eastAsia" w:ascii="宋体" w:hAnsi="宋体"/>
                <w:sz w:val="24"/>
              </w:rPr>
              <w:t xml:space="preserve">   </w:t>
            </w:r>
          </w:p>
          <w:p>
            <w:pPr>
              <w:adjustRightInd w:val="0"/>
              <w:snapToGrid w:val="0"/>
              <w:spacing w:line="360" w:lineRule="auto"/>
              <w:ind w:firstLine="354" w:firstLineChars="147"/>
              <w:rPr>
                <w:rFonts w:hint="eastAsia" w:ascii="宋体" w:hAnsi="宋体"/>
                <w:b/>
                <w:sz w:val="24"/>
              </w:rPr>
            </w:pPr>
            <w:r>
              <w:rPr>
                <w:rFonts w:hint="eastAsia" w:ascii="宋体" w:hAnsi="宋体"/>
                <w:b/>
                <w:sz w:val="24"/>
              </w:rPr>
              <w:t>3、2019年度，公司哪些产品毛利率降幅较大？</w:t>
            </w:r>
          </w:p>
          <w:p>
            <w:pPr>
              <w:adjustRightInd w:val="0"/>
              <w:snapToGrid w:val="0"/>
              <w:spacing w:line="360" w:lineRule="auto"/>
              <w:ind w:firstLine="480"/>
              <w:rPr>
                <w:rFonts w:hint="eastAsia" w:ascii="宋体" w:hAnsi="宋体"/>
                <w:sz w:val="24"/>
              </w:rPr>
            </w:pPr>
            <w:r>
              <w:rPr>
                <w:rFonts w:hint="eastAsia" w:ascii="宋体" w:hAnsi="宋体"/>
                <w:sz w:val="24"/>
              </w:rPr>
              <w:t>答：市场竞争激烈产品，如电磁兼容件产品由于技术壁垒较低，市场竞争一直较为激烈，毛利下降较大。</w:t>
            </w:r>
            <w:r>
              <w:rPr>
                <w:rFonts w:hint="eastAsia" w:ascii="宋体" w:hAnsi="宋体"/>
                <w:sz w:val="24"/>
                <w:lang w:val="en-US" w:eastAsia="zh-CN"/>
              </w:rPr>
              <w:t>在</w:t>
            </w:r>
            <w:r>
              <w:rPr>
                <w:rFonts w:hint="eastAsia" w:ascii="宋体" w:hAnsi="宋体"/>
                <w:sz w:val="24"/>
              </w:rPr>
              <w:t>2019年</w:t>
            </w:r>
            <w:r>
              <w:rPr>
                <w:rFonts w:hint="eastAsia" w:ascii="宋体" w:hAnsi="宋体"/>
                <w:sz w:val="24"/>
                <w:lang w:val="en-US" w:eastAsia="zh-CN"/>
              </w:rPr>
              <w:t>度</w:t>
            </w:r>
            <w:r>
              <w:rPr>
                <w:rFonts w:hint="eastAsia" w:ascii="宋体" w:hAnsi="宋体"/>
                <w:sz w:val="24"/>
              </w:rPr>
              <w:t>此类产品市场竞争出现了加剧的情况，加之季度原材料价格的波动导致毛利同比下降较大，该类产品承受了较大的市场压力。</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4、2019年度，公司软板产品</w:t>
            </w:r>
            <w:r>
              <w:rPr>
                <w:rFonts w:hint="eastAsia" w:ascii="宋体" w:hAnsi="宋体"/>
                <w:b/>
                <w:sz w:val="24"/>
                <w:lang w:val="en-US" w:eastAsia="zh-CN"/>
              </w:rPr>
              <w:t>实现</w:t>
            </w:r>
            <w:r>
              <w:rPr>
                <w:rFonts w:hint="eastAsia" w:ascii="宋体" w:hAnsi="宋体"/>
                <w:b/>
                <w:sz w:val="24"/>
              </w:rPr>
              <w:t>营业收入较去年同期大幅增长的原因及后续对此类产品低毛利率情况有何举措？</w:t>
            </w:r>
          </w:p>
          <w:p>
            <w:pPr>
              <w:adjustRightInd w:val="0"/>
              <w:snapToGrid w:val="0"/>
              <w:spacing w:line="360" w:lineRule="auto"/>
              <w:ind w:firstLine="480" w:firstLineChars="200"/>
              <w:rPr>
                <w:rFonts w:ascii="宋体" w:hAnsi="宋体"/>
                <w:sz w:val="24"/>
              </w:rPr>
            </w:pPr>
            <w:r>
              <w:rPr>
                <w:rFonts w:hint="eastAsia" w:ascii="宋体" w:hAnsi="宋体"/>
                <w:sz w:val="24"/>
              </w:rPr>
              <w:t>答：2019年度，公司软板产品订单较去年新增了客户，此类产品</w:t>
            </w:r>
            <w:r>
              <w:rPr>
                <w:rFonts w:hint="eastAsia" w:ascii="宋体" w:hAnsi="宋体"/>
                <w:sz w:val="24"/>
                <w:lang w:val="en-US" w:eastAsia="zh-CN"/>
              </w:rPr>
              <w:t>实现</w:t>
            </w:r>
            <w:r>
              <w:rPr>
                <w:rFonts w:hint="eastAsia" w:ascii="宋体" w:hAnsi="宋体"/>
                <w:sz w:val="24"/>
              </w:rPr>
              <w:t>营业收入较去年同期出现</w:t>
            </w:r>
            <w:r>
              <w:rPr>
                <w:rFonts w:hint="eastAsia" w:ascii="宋体" w:hAnsi="宋体"/>
                <w:sz w:val="24"/>
                <w:lang w:val="en-US" w:eastAsia="zh-CN"/>
              </w:rPr>
              <w:t>了</w:t>
            </w:r>
            <w:bookmarkStart w:id="0" w:name="_GoBack"/>
            <w:bookmarkEnd w:id="0"/>
            <w:r>
              <w:rPr>
                <w:rFonts w:hint="eastAsia" w:ascii="宋体" w:hAnsi="宋体"/>
                <w:sz w:val="24"/>
              </w:rPr>
              <w:t>增长。</w:t>
            </w:r>
          </w:p>
          <w:p>
            <w:pPr>
              <w:adjustRightInd w:val="0"/>
              <w:snapToGrid w:val="0"/>
              <w:spacing w:line="360" w:lineRule="auto"/>
              <w:ind w:firstLine="480" w:firstLineChars="200"/>
              <w:rPr>
                <w:rFonts w:ascii="宋体" w:hAnsi="宋体"/>
                <w:sz w:val="24"/>
              </w:rPr>
            </w:pPr>
            <w:r>
              <w:rPr>
                <w:rFonts w:hint="eastAsia" w:ascii="宋体" w:hAnsi="宋体"/>
                <w:sz w:val="24"/>
              </w:rPr>
              <w:t>因手机行业头部企业对软板需求量大，对供应企业规模量产能力要求较高，</w:t>
            </w:r>
            <w:r>
              <w:rPr>
                <w:rFonts w:ascii="宋体" w:hAnsi="宋体"/>
                <w:sz w:val="24"/>
              </w:rPr>
              <w:t>业务拓展正在进行中</w:t>
            </w:r>
            <w:r>
              <w:rPr>
                <w:rFonts w:hint="eastAsia" w:ascii="宋体" w:hAnsi="宋体"/>
                <w:sz w:val="24"/>
                <w:lang w:eastAsia="zh-CN"/>
              </w:rPr>
              <w:t>。</w:t>
            </w:r>
            <w:r>
              <w:rPr>
                <w:rFonts w:hint="eastAsia" w:ascii="宋体" w:hAnsi="宋体"/>
                <w:sz w:val="24"/>
              </w:rPr>
              <w:t>另一方面，公司软板业务主要是为了协同LCP产品的研发，为未来5G毫米波时代做相应的技术储备，尚未有大规模应用。此类产品</w:t>
            </w:r>
            <w:r>
              <w:rPr>
                <w:rFonts w:ascii="宋体" w:hAnsi="宋体"/>
                <w:sz w:val="24"/>
              </w:rPr>
              <w:t>总体稼动率较低</w:t>
            </w:r>
            <w:r>
              <w:rPr>
                <w:rFonts w:hint="eastAsia" w:ascii="宋体" w:hAnsi="宋体"/>
                <w:sz w:val="24"/>
              </w:rPr>
              <w:t>，进而导致了软板产品毛利率较低</w:t>
            </w:r>
            <w:r>
              <w:rPr>
                <w:rFonts w:hint="eastAsia" w:ascii="宋体" w:hAnsi="宋体"/>
                <w:sz w:val="24"/>
                <w:lang w:eastAsia="zh-CN"/>
              </w:rPr>
              <w:t>，</w:t>
            </w:r>
            <w:r>
              <w:rPr>
                <w:rFonts w:hint="eastAsia" w:ascii="宋体" w:hAnsi="宋体"/>
                <w:sz w:val="24"/>
              </w:rPr>
              <w:t>公司会针对市场需求进一步拓展客户，提高稼动率，提升盈利水平。</w:t>
            </w:r>
          </w:p>
          <w:p>
            <w:pPr>
              <w:adjustRightInd w:val="0"/>
              <w:snapToGrid w:val="0"/>
              <w:spacing w:line="360" w:lineRule="auto"/>
              <w:ind w:firstLine="240" w:firstLineChars="1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lang w:val="en-US" w:eastAsia="zh-CN"/>
              </w:rPr>
              <w:t>5</w:t>
            </w:r>
            <w:r>
              <w:rPr>
                <w:rFonts w:hint="eastAsia" w:ascii="宋体" w:hAnsi="宋体"/>
                <w:b/>
                <w:sz w:val="24"/>
              </w:rPr>
              <w:t>、公司LCP产品目前情况？</w:t>
            </w:r>
          </w:p>
          <w:p>
            <w:pPr>
              <w:adjustRightInd w:val="0"/>
              <w:snapToGrid w:val="0"/>
              <w:spacing w:line="360" w:lineRule="auto"/>
              <w:ind w:firstLine="480" w:firstLineChars="200"/>
              <w:rPr>
                <w:rFonts w:ascii="宋体" w:hAnsi="宋体"/>
                <w:sz w:val="24"/>
              </w:rPr>
            </w:pPr>
            <w:r>
              <w:rPr>
                <w:rFonts w:hint="eastAsia" w:ascii="宋体" w:hAnsi="宋体"/>
                <w:sz w:val="24"/>
              </w:rPr>
              <w:t>答：目前，公司LCP连接器类产品处于小规模供货</w:t>
            </w:r>
            <w:r>
              <w:rPr>
                <w:rFonts w:ascii="宋体" w:hAnsi="宋体"/>
                <w:sz w:val="24"/>
              </w:rPr>
              <w:t>阶段</w:t>
            </w:r>
            <w:r>
              <w:rPr>
                <w:rFonts w:hint="eastAsia" w:ascii="宋体" w:hAnsi="宋体"/>
                <w:sz w:val="24"/>
              </w:rPr>
              <w:t>，该产品的后续进展取决于市场需求。</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2" w:firstLineChars="200"/>
              <w:rPr>
                <w:rFonts w:ascii="宋体" w:hAnsi="宋体"/>
                <w:b/>
                <w:sz w:val="24"/>
              </w:rPr>
            </w:pPr>
            <w:r>
              <w:rPr>
                <w:rFonts w:hint="eastAsia" w:ascii="宋体" w:hAnsi="宋体"/>
                <w:b/>
                <w:sz w:val="24"/>
                <w:lang w:val="en-US" w:eastAsia="zh-CN"/>
              </w:rPr>
              <w:t>6</w:t>
            </w:r>
            <w:r>
              <w:rPr>
                <w:rFonts w:hint="eastAsia" w:ascii="宋体" w:hAnsi="宋体"/>
                <w:b/>
                <w:sz w:val="24"/>
              </w:rPr>
              <w:t>、公司资本开支方向及扩充产能的主要方式？</w:t>
            </w:r>
          </w:p>
          <w:p>
            <w:pPr>
              <w:adjustRightInd w:val="0"/>
              <w:snapToGrid w:val="0"/>
              <w:spacing w:line="360" w:lineRule="auto"/>
              <w:ind w:firstLine="480" w:firstLineChars="200"/>
              <w:rPr>
                <w:rFonts w:ascii="宋体" w:hAnsi="宋体"/>
                <w:bCs/>
                <w:sz w:val="24"/>
              </w:rPr>
            </w:pPr>
            <w:r>
              <w:rPr>
                <w:rFonts w:hint="eastAsia" w:ascii="宋体" w:hAnsi="宋体"/>
                <w:sz w:val="24"/>
              </w:rPr>
              <w:t>答</w:t>
            </w:r>
            <w:r>
              <w:rPr>
                <w:rFonts w:hint="eastAsia" w:ascii="宋体" w:hAnsi="宋体"/>
                <w:bCs/>
                <w:sz w:val="24"/>
              </w:rPr>
              <w:t>：一方面，公司资本开支方向会以产品链磨合布局成形和研发升级为工作重点，持续推进面向5G的射频技术及互连产品在性能要求及产品形态影响方面的研究开发和成果转化，提升公司产品精密程度、生产自动化程度及工艺设计水平，巩固现有手机行业市场地位。另一方面，公司将加大对非手机行业的拓展，紧密跟踪以物联网智能移动终端及工业连接器为主的泛5G领域机会。</w:t>
            </w:r>
          </w:p>
          <w:p>
            <w:pPr>
              <w:adjustRightInd w:val="0"/>
              <w:snapToGrid w:val="0"/>
              <w:spacing w:line="360" w:lineRule="auto"/>
              <w:ind w:firstLine="480" w:firstLineChars="200"/>
              <w:rPr>
                <w:rFonts w:ascii="宋体" w:hAnsi="宋体"/>
                <w:bCs/>
                <w:sz w:val="24"/>
              </w:rPr>
            </w:pPr>
            <w:r>
              <w:rPr>
                <w:rFonts w:ascii="宋体" w:hAnsi="宋体"/>
                <w:bCs/>
                <w:sz w:val="24"/>
              </w:rPr>
              <w:t>公司</w:t>
            </w:r>
            <w:r>
              <w:rPr>
                <w:rFonts w:hint="eastAsia" w:ascii="宋体" w:hAnsi="宋体"/>
                <w:bCs/>
                <w:sz w:val="24"/>
              </w:rPr>
              <w:t>会以</w:t>
            </w:r>
            <w:r>
              <w:rPr>
                <w:rFonts w:ascii="宋体" w:hAnsi="宋体"/>
                <w:bCs/>
                <w:sz w:val="24"/>
              </w:rPr>
              <w:t>持续加大自动化设备研发及组装投入力度</w:t>
            </w:r>
            <w:r>
              <w:rPr>
                <w:rFonts w:hint="eastAsia" w:ascii="宋体" w:hAnsi="宋体"/>
                <w:bCs/>
                <w:sz w:val="24"/>
              </w:rPr>
              <w:t>的方式进行产能</w:t>
            </w:r>
            <w:r>
              <w:rPr>
                <w:rFonts w:ascii="宋体" w:hAnsi="宋体"/>
                <w:bCs/>
                <w:sz w:val="24"/>
              </w:rPr>
              <w:t>扩充</w:t>
            </w:r>
            <w:r>
              <w:rPr>
                <w:rFonts w:hint="eastAsia" w:ascii="宋体" w:hAnsi="宋体"/>
                <w:bCs/>
                <w:sz w:val="24"/>
              </w:rPr>
              <w:t>。</w:t>
            </w:r>
          </w:p>
          <w:p>
            <w:pPr>
              <w:adjustRightInd w:val="0"/>
              <w:snapToGrid w:val="0"/>
              <w:spacing w:line="360" w:lineRule="auto"/>
              <w:ind w:firstLine="480" w:firstLineChars="200"/>
              <w:rPr>
                <w:rFonts w:ascii="宋体" w:hAnsi="宋体"/>
                <w:bCs/>
                <w:sz w:val="24"/>
              </w:rPr>
            </w:pPr>
          </w:p>
          <w:p>
            <w:pPr>
              <w:adjustRightInd w:val="0"/>
              <w:snapToGrid w:val="0"/>
              <w:spacing w:line="360" w:lineRule="auto"/>
              <w:ind w:firstLine="482" w:firstLineChars="200"/>
              <w:rPr>
                <w:rFonts w:hint="eastAsia" w:ascii="宋体" w:hAnsi="宋体"/>
                <w:b/>
                <w:sz w:val="24"/>
              </w:rPr>
            </w:pPr>
            <w:r>
              <w:rPr>
                <w:rFonts w:hint="eastAsia" w:ascii="宋体" w:hAnsi="宋体"/>
                <w:b/>
                <w:sz w:val="24"/>
                <w:lang w:val="en-US" w:eastAsia="zh-CN"/>
              </w:rPr>
              <w:t>7、</w:t>
            </w:r>
            <w:r>
              <w:rPr>
                <w:rFonts w:hint="eastAsia" w:ascii="宋体" w:hAnsi="宋体"/>
                <w:b/>
                <w:sz w:val="24"/>
              </w:rPr>
              <w:t>公司已实施股份回购，后续在用于股权激励或员工持股计划方面的选择？</w:t>
            </w:r>
          </w:p>
          <w:p>
            <w:pPr>
              <w:adjustRightInd w:val="0"/>
              <w:snapToGrid w:val="0"/>
              <w:spacing w:line="360" w:lineRule="auto"/>
              <w:ind w:firstLine="480" w:firstLineChars="200"/>
              <w:rPr>
                <w:rFonts w:ascii="宋体" w:hAnsi="宋体"/>
                <w:bCs/>
                <w:sz w:val="24"/>
              </w:rPr>
            </w:pPr>
            <w:r>
              <w:rPr>
                <w:rFonts w:hint="eastAsia" w:ascii="宋体" w:hAnsi="宋体"/>
                <w:bCs/>
                <w:sz w:val="24"/>
              </w:rPr>
              <w:t>答：公司实施回购股份用于股权激励或员工持股计划，助力公司长远发展，公司后续会根据自身财务状况、经营状况和发展战略等</w:t>
            </w:r>
            <w:r>
              <w:rPr>
                <w:rFonts w:hint="eastAsia" w:ascii="宋体" w:hAnsi="宋体"/>
                <w:bCs/>
                <w:sz w:val="24"/>
                <w:lang w:val="en-US" w:eastAsia="zh-CN"/>
              </w:rPr>
              <w:t>方面</w:t>
            </w:r>
            <w:r>
              <w:rPr>
                <w:rFonts w:hint="eastAsia" w:ascii="宋体" w:hAnsi="宋体"/>
                <w:bCs/>
                <w:sz w:val="24"/>
              </w:rPr>
              <w:t>充分考量实施股权激励还是员工持股计划，在适时推出的同时将及时履行信息披露义务。</w:t>
            </w:r>
          </w:p>
          <w:p>
            <w:pPr>
              <w:adjustRightInd w:val="0"/>
              <w:snapToGrid w:val="0"/>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附件清单（如有）</w:t>
            </w:r>
          </w:p>
        </w:tc>
        <w:tc>
          <w:tcPr>
            <w:tcW w:w="6614" w:type="dxa"/>
          </w:tcPr>
          <w:p>
            <w:pPr>
              <w:spacing w:line="480" w:lineRule="atLeast"/>
              <w:jc w:val="left"/>
              <w:rPr>
                <w:rFonts w:ascii="宋体" w:hAnsi="宋体"/>
                <w:bCs/>
                <w:iCs/>
                <w:color w:val="000000"/>
                <w:kern w:val="0"/>
                <w:sz w:val="24"/>
              </w:rPr>
            </w:pPr>
            <w:r>
              <w:rPr>
                <w:rFonts w:hint="eastAsia" w:ascii="宋体" w:hAnsi="宋体"/>
                <w:bCs/>
                <w:iCs/>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08" w:type="dxa"/>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日期</w:t>
            </w:r>
          </w:p>
        </w:tc>
        <w:tc>
          <w:tcPr>
            <w:tcW w:w="6614" w:type="dxa"/>
          </w:tcPr>
          <w:p>
            <w:pPr>
              <w:spacing w:line="480" w:lineRule="atLeast"/>
              <w:jc w:val="left"/>
              <w:rPr>
                <w:rFonts w:ascii="宋体" w:hAnsi="宋体"/>
                <w:bCs/>
                <w:iCs/>
                <w:color w:val="000000"/>
                <w:kern w:val="0"/>
                <w:sz w:val="24"/>
              </w:rPr>
            </w:pPr>
            <w:r>
              <w:rPr>
                <w:rFonts w:hint="eastAsia" w:ascii="宋体" w:hAnsi="宋体"/>
                <w:bCs/>
                <w:iCs/>
                <w:color w:val="000000"/>
                <w:kern w:val="0"/>
                <w:sz w:val="24"/>
              </w:rPr>
              <w:t>2020年5月29日</w:t>
            </w:r>
          </w:p>
        </w:tc>
      </w:tr>
    </w:tbl>
    <w:p>
      <w:pPr>
        <w:ind w:firstLine="420"/>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DE"/>
    <w:rsid w:val="00045402"/>
    <w:rsid w:val="00074159"/>
    <w:rsid w:val="001375C1"/>
    <w:rsid w:val="004E3069"/>
    <w:rsid w:val="0054550C"/>
    <w:rsid w:val="006B0C21"/>
    <w:rsid w:val="0089095C"/>
    <w:rsid w:val="008A5454"/>
    <w:rsid w:val="00985FEE"/>
    <w:rsid w:val="009E7E67"/>
    <w:rsid w:val="00B34CF9"/>
    <w:rsid w:val="00C70479"/>
    <w:rsid w:val="00DD11A1"/>
    <w:rsid w:val="00E512D7"/>
    <w:rsid w:val="00EA450F"/>
    <w:rsid w:val="00ED1BDE"/>
    <w:rsid w:val="00F15EA1"/>
    <w:rsid w:val="00F17D33"/>
    <w:rsid w:val="01AB3F0E"/>
    <w:rsid w:val="01CA7574"/>
    <w:rsid w:val="01E37B77"/>
    <w:rsid w:val="0200226B"/>
    <w:rsid w:val="0205462B"/>
    <w:rsid w:val="020C55E9"/>
    <w:rsid w:val="0224221F"/>
    <w:rsid w:val="02396192"/>
    <w:rsid w:val="024B74E8"/>
    <w:rsid w:val="02554B5C"/>
    <w:rsid w:val="028174ED"/>
    <w:rsid w:val="028F4135"/>
    <w:rsid w:val="02A661C9"/>
    <w:rsid w:val="032C294B"/>
    <w:rsid w:val="03404195"/>
    <w:rsid w:val="034B33E0"/>
    <w:rsid w:val="03FD4013"/>
    <w:rsid w:val="046B7F20"/>
    <w:rsid w:val="04E1503C"/>
    <w:rsid w:val="051608BD"/>
    <w:rsid w:val="053F7388"/>
    <w:rsid w:val="05570A68"/>
    <w:rsid w:val="055E448C"/>
    <w:rsid w:val="05C50036"/>
    <w:rsid w:val="05CF7D2B"/>
    <w:rsid w:val="05D95C91"/>
    <w:rsid w:val="060C18C6"/>
    <w:rsid w:val="06111324"/>
    <w:rsid w:val="06161C9E"/>
    <w:rsid w:val="06325E92"/>
    <w:rsid w:val="070B7972"/>
    <w:rsid w:val="08A05121"/>
    <w:rsid w:val="08C35F3F"/>
    <w:rsid w:val="08CD3EC0"/>
    <w:rsid w:val="08EA0ACA"/>
    <w:rsid w:val="09040F45"/>
    <w:rsid w:val="0969556C"/>
    <w:rsid w:val="09747115"/>
    <w:rsid w:val="09854E62"/>
    <w:rsid w:val="09920FA8"/>
    <w:rsid w:val="09BB73CA"/>
    <w:rsid w:val="09EB589A"/>
    <w:rsid w:val="09F014B8"/>
    <w:rsid w:val="0A393506"/>
    <w:rsid w:val="0B3B23F5"/>
    <w:rsid w:val="0B42435A"/>
    <w:rsid w:val="0B522A2F"/>
    <w:rsid w:val="0B8132C4"/>
    <w:rsid w:val="0B82576C"/>
    <w:rsid w:val="0B970F9B"/>
    <w:rsid w:val="0BBF60EA"/>
    <w:rsid w:val="0C4E6F08"/>
    <w:rsid w:val="0C6636A0"/>
    <w:rsid w:val="0C8606FC"/>
    <w:rsid w:val="0CB445C1"/>
    <w:rsid w:val="0CB5351D"/>
    <w:rsid w:val="0CDE6DB8"/>
    <w:rsid w:val="0D26129F"/>
    <w:rsid w:val="0D4307DF"/>
    <w:rsid w:val="0D51507F"/>
    <w:rsid w:val="0D7830E3"/>
    <w:rsid w:val="0DFC5336"/>
    <w:rsid w:val="0E1B5131"/>
    <w:rsid w:val="0E4B58D2"/>
    <w:rsid w:val="0E8D1B7F"/>
    <w:rsid w:val="0EA64935"/>
    <w:rsid w:val="0ECC2C98"/>
    <w:rsid w:val="0EF157CC"/>
    <w:rsid w:val="0EF31E79"/>
    <w:rsid w:val="0F055A5F"/>
    <w:rsid w:val="0F0D1D45"/>
    <w:rsid w:val="0F252127"/>
    <w:rsid w:val="0F6A125C"/>
    <w:rsid w:val="1050357B"/>
    <w:rsid w:val="106F3D57"/>
    <w:rsid w:val="107A7462"/>
    <w:rsid w:val="10E966CD"/>
    <w:rsid w:val="113E7FFE"/>
    <w:rsid w:val="11E57172"/>
    <w:rsid w:val="1208078B"/>
    <w:rsid w:val="127B4912"/>
    <w:rsid w:val="128014F8"/>
    <w:rsid w:val="1284057E"/>
    <w:rsid w:val="12CC1A6F"/>
    <w:rsid w:val="12DA1AFD"/>
    <w:rsid w:val="12DF4B2D"/>
    <w:rsid w:val="12E84C29"/>
    <w:rsid w:val="131C2FB5"/>
    <w:rsid w:val="13B2180C"/>
    <w:rsid w:val="13F13DC2"/>
    <w:rsid w:val="14685A9C"/>
    <w:rsid w:val="14745CB7"/>
    <w:rsid w:val="15776E94"/>
    <w:rsid w:val="15A41B55"/>
    <w:rsid w:val="15E80ABF"/>
    <w:rsid w:val="16571E62"/>
    <w:rsid w:val="166B5505"/>
    <w:rsid w:val="16CC79F3"/>
    <w:rsid w:val="16F74D86"/>
    <w:rsid w:val="171B0D41"/>
    <w:rsid w:val="17284535"/>
    <w:rsid w:val="176D5906"/>
    <w:rsid w:val="17F80A21"/>
    <w:rsid w:val="17FB087B"/>
    <w:rsid w:val="18141AB2"/>
    <w:rsid w:val="18183540"/>
    <w:rsid w:val="181A0D10"/>
    <w:rsid w:val="1832657A"/>
    <w:rsid w:val="18943021"/>
    <w:rsid w:val="193F3400"/>
    <w:rsid w:val="1943122E"/>
    <w:rsid w:val="19A16579"/>
    <w:rsid w:val="19C547DB"/>
    <w:rsid w:val="1A2A29EF"/>
    <w:rsid w:val="1AA420C3"/>
    <w:rsid w:val="1AB47DE0"/>
    <w:rsid w:val="1B4C6194"/>
    <w:rsid w:val="1B8052E8"/>
    <w:rsid w:val="1BA756B9"/>
    <w:rsid w:val="1BA972CE"/>
    <w:rsid w:val="1C092A04"/>
    <w:rsid w:val="1C132F31"/>
    <w:rsid w:val="1C795885"/>
    <w:rsid w:val="1C7D0459"/>
    <w:rsid w:val="1CD17B3B"/>
    <w:rsid w:val="1D5145DF"/>
    <w:rsid w:val="1D524C17"/>
    <w:rsid w:val="1D5A32BF"/>
    <w:rsid w:val="1D6577CF"/>
    <w:rsid w:val="1D9B55F7"/>
    <w:rsid w:val="1DCC0403"/>
    <w:rsid w:val="1E493FA2"/>
    <w:rsid w:val="1E4D2E21"/>
    <w:rsid w:val="1F7C2803"/>
    <w:rsid w:val="1F7C3C18"/>
    <w:rsid w:val="200251D6"/>
    <w:rsid w:val="20CE3588"/>
    <w:rsid w:val="21192AA1"/>
    <w:rsid w:val="21664170"/>
    <w:rsid w:val="21952711"/>
    <w:rsid w:val="21D875D7"/>
    <w:rsid w:val="223E65DC"/>
    <w:rsid w:val="224C46FA"/>
    <w:rsid w:val="225E061C"/>
    <w:rsid w:val="22936B54"/>
    <w:rsid w:val="230B1163"/>
    <w:rsid w:val="23330B0B"/>
    <w:rsid w:val="24704CAA"/>
    <w:rsid w:val="24FC6057"/>
    <w:rsid w:val="2638078F"/>
    <w:rsid w:val="26487A23"/>
    <w:rsid w:val="26A71930"/>
    <w:rsid w:val="26A85A44"/>
    <w:rsid w:val="26B733A9"/>
    <w:rsid w:val="26D84342"/>
    <w:rsid w:val="26F33106"/>
    <w:rsid w:val="272A61D2"/>
    <w:rsid w:val="27B37C21"/>
    <w:rsid w:val="2809434C"/>
    <w:rsid w:val="28407482"/>
    <w:rsid w:val="29311D13"/>
    <w:rsid w:val="2952714F"/>
    <w:rsid w:val="297D6BC6"/>
    <w:rsid w:val="29ED0CB4"/>
    <w:rsid w:val="2A1A2FF1"/>
    <w:rsid w:val="2A2C3BF9"/>
    <w:rsid w:val="2B4A3DAD"/>
    <w:rsid w:val="2BE65479"/>
    <w:rsid w:val="2DE1490C"/>
    <w:rsid w:val="2E18676A"/>
    <w:rsid w:val="2E6B6A9E"/>
    <w:rsid w:val="2E882BA8"/>
    <w:rsid w:val="2F2A00CC"/>
    <w:rsid w:val="2FFA16CE"/>
    <w:rsid w:val="30551E03"/>
    <w:rsid w:val="31813CD9"/>
    <w:rsid w:val="328A09D1"/>
    <w:rsid w:val="335D4C13"/>
    <w:rsid w:val="33C52E94"/>
    <w:rsid w:val="33E95638"/>
    <w:rsid w:val="340333AD"/>
    <w:rsid w:val="342A07A6"/>
    <w:rsid w:val="34562D4B"/>
    <w:rsid w:val="345B54D9"/>
    <w:rsid w:val="345E75FF"/>
    <w:rsid w:val="348478F8"/>
    <w:rsid w:val="34BF0FBF"/>
    <w:rsid w:val="34EE7167"/>
    <w:rsid w:val="35297D7B"/>
    <w:rsid w:val="361D0069"/>
    <w:rsid w:val="3635089F"/>
    <w:rsid w:val="366D4851"/>
    <w:rsid w:val="36A82E21"/>
    <w:rsid w:val="36B37795"/>
    <w:rsid w:val="36FF2A78"/>
    <w:rsid w:val="37627FFD"/>
    <w:rsid w:val="37E33010"/>
    <w:rsid w:val="38997713"/>
    <w:rsid w:val="393A1532"/>
    <w:rsid w:val="39D85E2F"/>
    <w:rsid w:val="3A4155A7"/>
    <w:rsid w:val="3A456490"/>
    <w:rsid w:val="3AAF6AE9"/>
    <w:rsid w:val="3AC74D81"/>
    <w:rsid w:val="3ADE3631"/>
    <w:rsid w:val="3B672239"/>
    <w:rsid w:val="3BBD1F20"/>
    <w:rsid w:val="3BE267E8"/>
    <w:rsid w:val="3BFA00CA"/>
    <w:rsid w:val="3BFE1AE4"/>
    <w:rsid w:val="3C2B4EA2"/>
    <w:rsid w:val="3C301369"/>
    <w:rsid w:val="3C3374B4"/>
    <w:rsid w:val="3C4A70A7"/>
    <w:rsid w:val="3C783B0D"/>
    <w:rsid w:val="3C820E0C"/>
    <w:rsid w:val="3C853421"/>
    <w:rsid w:val="3C900F0C"/>
    <w:rsid w:val="3CF241FA"/>
    <w:rsid w:val="3D2C1F7F"/>
    <w:rsid w:val="3D6F4AF1"/>
    <w:rsid w:val="3D97646B"/>
    <w:rsid w:val="3DD46B49"/>
    <w:rsid w:val="3E78603D"/>
    <w:rsid w:val="3E8E45D2"/>
    <w:rsid w:val="3EC547D8"/>
    <w:rsid w:val="3F07151A"/>
    <w:rsid w:val="3F3C577C"/>
    <w:rsid w:val="3F3C5B3D"/>
    <w:rsid w:val="3F4A1C1B"/>
    <w:rsid w:val="3F6E263C"/>
    <w:rsid w:val="3FE81740"/>
    <w:rsid w:val="4028482C"/>
    <w:rsid w:val="404048C4"/>
    <w:rsid w:val="408D4A61"/>
    <w:rsid w:val="411179FD"/>
    <w:rsid w:val="41294362"/>
    <w:rsid w:val="41671C49"/>
    <w:rsid w:val="41C5727F"/>
    <w:rsid w:val="422827FA"/>
    <w:rsid w:val="422C4682"/>
    <w:rsid w:val="42465573"/>
    <w:rsid w:val="424F0A65"/>
    <w:rsid w:val="42A2006B"/>
    <w:rsid w:val="43271E6D"/>
    <w:rsid w:val="432D65EA"/>
    <w:rsid w:val="433330FB"/>
    <w:rsid w:val="43F61FCA"/>
    <w:rsid w:val="442C7E6F"/>
    <w:rsid w:val="44523E38"/>
    <w:rsid w:val="448F6D2C"/>
    <w:rsid w:val="458A2D56"/>
    <w:rsid w:val="459574DB"/>
    <w:rsid w:val="4654426E"/>
    <w:rsid w:val="467841BA"/>
    <w:rsid w:val="46BA2D0A"/>
    <w:rsid w:val="46CF0AEB"/>
    <w:rsid w:val="46E13C54"/>
    <w:rsid w:val="476A3DD8"/>
    <w:rsid w:val="47734755"/>
    <w:rsid w:val="47FF6329"/>
    <w:rsid w:val="48B30D2B"/>
    <w:rsid w:val="48D47552"/>
    <w:rsid w:val="49165368"/>
    <w:rsid w:val="49785DB8"/>
    <w:rsid w:val="497D02E2"/>
    <w:rsid w:val="49A72749"/>
    <w:rsid w:val="49DC3D82"/>
    <w:rsid w:val="4A0E57B2"/>
    <w:rsid w:val="4A1A1504"/>
    <w:rsid w:val="4A1B4DAE"/>
    <w:rsid w:val="4A6877EB"/>
    <w:rsid w:val="4A82017C"/>
    <w:rsid w:val="4ABE34C9"/>
    <w:rsid w:val="4ACB3CE7"/>
    <w:rsid w:val="4B20546D"/>
    <w:rsid w:val="4B5277DA"/>
    <w:rsid w:val="4BBC15EC"/>
    <w:rsid w:val="4C6F364C"/>
    <w:rsid w:val="4C8537F0"/>
    <w:rsid w:val="4C862F08"/>
    <w:rsid w:val="4C9246B1"/>
    <w:rsid w:val="4C98134B"/>
    <w:rsid w:val="4CA377BC"/>
    <w:rsid w:val="4CC54232"/>
    <w:rsid w:val="4CD279DB"/>
    <w:rsid w:val="4D135CC4"/>
    <w:rsid w:val="4D245AFE"/>
    <w:rsid w:val="4E6A4FD4"/>
    <w:rsid w:val="4ED8287F"/>
    <w:rsid w:val="4F156C82"/>
    <w:rsid w:val="4F49300E"/>
    <w:rsid w:val="4F6E70DA"/>
    <w:rsid w:val="4FAE3918"/>
    <w:rsid w:val="511318F6"/>
    <w:rsid w:val="51295B1E"/>
    <w:rsid w:val="51494355"/>
    <w:rsid w:val="516F53BA"/>
    <w:rsid w:val="51894075"/>
    <w:rsid w:val="51906B0B"/>
    <w:rsid w:val="51B97DA2"/>
    <w:rsid w:val="51DA0617"/>
    <w:rsid w:val="523F6EF4"/>
    <w:rsid w:val="52850E45"/>
    <w:rsid w:val="52DD53E9"/>
    <w:rsid w:val="52E916C3"/>
    <w:rsid w:val="52FF1F77"/>
    <w:rsid w:val="537479E6"/>
    <w:rsid w:val="54062DFA"/>
    <w:rsid w:val="544845A9"/>
    <w:rsid w:val="550A5231"/>
    <w:rsid w:val="55595069"/>
    <w:rsid w:val="557E3EFA"/>
    <w:rsid w:val="55B83788"/>
    <w:rsid w:val="55DF7575"/>
    <w:rsid w:val="560D310C"/>
    <w:rsid w:val="570C02FF"/>
    <w:rsid w:val="57202B04"/>
    <w:rsid w:val="57384145"/>
    <w:rsid w:val="57D116F2"/>
    <w:rsid w:val="57DC1D0A"/>
    <w:rsid w:val="57E773FD"/>
    <w:rsid w:val="58150E24"/>
    <w:rsid w:val="58215AD6"/>
    <w:rsid w:val="586E1902"/>
    <w:rsid w:val="58746FF6"/>
    <w:rsid w:val="588D55A6"/>
    <w:rsid w:val="59650D78"/>
    <w:rsid w:val="598866ED"/>
    <w:rsid w:val="5A1E1CBC"/>
    <w:rsid w:val="5A4A28FC"/>
    <w:rsid w:val="5A930FB4"/>
    <w:rsid w:val="5AA960C7"/>
    <w:rsid w:val="5B4D0051"/>
    <w:rsid w:val="5B6835DB"/>
    <w:rsid w:val="5B9628F2"/>
    <w:rsid w:val="5BB91D25"/>
    <w:rsid w:val="5BCB5FBB"/>
    <w:rsid w:val="5C5943D2"/>
    <w:rsid w:val="5C7A5D6F"/>
    <w:rsid w:val="5CB91EF4"/>
    <w:rsid w:val="5CC303D6"/>
    <w:rsid w:val="5CC45477"/>
    <w:rsid w:val="5D435C07"/>
    <w:rsid w:val="5D594A6D"/>
    <w:rsid w:val="5D8D6FA2"/>
    <w:rsid w:val="5D8F48BD"/>
    <w:rsid w:val="5D991F5B"/>
    <w:rsid w:val="5DE774D3"/>
    <w:rsid w:val="5E286108"/>
    <w:rsid w:val="5E4A3064"/>
    <w:rsid w:val="5EBE78CD"/>
    <w:rsid w:val="5EE31597"/>
    <w:rsid w:val="5F1034FB"/>
    <w:rsid w:val="5F4D36EB"/>
    <w:rsid w:val="5F5E3323"/>
    <w:rsid w:val="5FE12D1E"/>
    <w:rsid w:val="604F04D8"/>
    <w:rsid w:val="60806912"/>
    <w:rsid w:val="60C64553"/>
    <w:rsid w:val="60FB73BD"/>
    <w:rsid w:val="61022CDC"/>
    <w:rsid w:val="6107484D"/>
    <w:rsid w:val="610A2C8C"/>
    <w:rsid w:val="618659D9"/>
    <w:rsid w:val="61A5181A"/>
    <w:rsid w:val="61B36D4F"/>
    <w:rsid w:val="61D8490E"/>
    <w:rsid w:val="61DB5E35"/>
    <w:rsid w:val="61FC3FA4"/>
    <w:rsid w:val="62261BDF"/>
    <w:rsid w:val="62505984"/>
    <w:rsid w:val="629F1BF5"/>
    <w:rsid w:val="630814AA"/>
    <w:rsid w:val="63453D4A"/>
    <w:rsid w:val="63A832A5"/>
    <w:rsid w:val="63E55C5F"/>
    <w:rsid w:val="63F27994"/>
    <w:rsid w:val="63F745AB"/>
    <w:rsid w:val="6407348A"/>
    <w:rsid w:val="641D178D"/>
    <w:rsid w:val="642F2B4F"/>
    <w:rsid w:val="654D1EEA"/>
    <w:rsid w:val="65DF7DD2"/>
    <w:rsid w:val="66C61055"/>
    <w:rsid w:val="66C77C80"/>
    <w:rsid w:val="681F59F7"/>
    <w:rsid w:val="68F2699D"/>
    <w:rsid w:val="690F5C62"/>
    <w:rsid w:val="693112CD"/>
    <w:rsid w:val="6A8F58BB"/>
    <w:rsid w:val="6B0D607F"/>
    <w:rsid w:val="6B10418C"/>
    <w:rsid w:val="6C001607"/>
    <w:rsid w:val="6C2A3D04"/>
    <w:rsid w:val="6C6C14D3"/>
    <w:rsid w:val="6CB14692"/>
    <w:rsid w:val="6CDE7037"/>
    <w:rsid w:val="6D331F48"/>
    <w:rsid w:val="6D5308DE"/>
    <w:rsid w:val="6E1156E1"/>
    <w:rsid w:val="6EA35A4E"/>
    <w:rsid w:val="6ED04634"/>
    <w:rsid w:val="6F595E58"/>
    <w:rsid w:val="6F610976"/>
    <w:rsid w:val="6F7B7699"/>
    <w:rsid w:val="700A493D"/>
    <w:rsid w:val="70540AAF"/>
    <w:rsid w:val="707A11EF"/>
    <w:rsid w:val="70B32BB8"/>
    <w:rsid w:val="713D2B1E"/>
    <w:rsid w:val="71710320"/>
    <w:rsid w:val="71DD2B90"/>
    <w:rsid w:val="71EF790C"/>
    <w:rsid w:val="72B6192A"/>
    <w:rsid w:val="72BD0C24"/>
    <w:rsid w:val="72D449F6"/>
    <w:rsid w:val="72DF240B"/>
    <w:rsid w:val="72EA5D5F"/>
    <w:rsid w:val="72F81929"/>
    <w:rsid w:val="73076E8F"/>
    <w:rsid w:val="735D67D5"/>
    <w:rsid w:val="73E8326C"/>
    <w:rsid w:val="74065965"/>
    <w:rsid w:val="74903DEB"/>
    <w:rsid w:val="74A435DE"/>
    <w:rsid w:val="74C517BE"/>
    <w:rsid w:val="752B6C96"/>
    <w:rsid w:val="75694DD6"/>
    <w:rsid w:val="757E5755"/>
    <w:rsid w:val="75AA4EDD"/>
    <w:rsid w:val="75D5575E"/>
    <w:rsid w:val="75D76C22"/>
    <w:rsid w:val="767734D1"/>
    <w:rsid w:val="76F337A9"/>
    <w:rsid w:val="776F3BA1"/>
    <w:rsid w:val="778772DB"/>
    <w:rsid w:val="77A95FFA"/>
    <w:rsid w:val="77AB4815"/>
    <w:rsid w:val="780A768D"/>
    <w:rsid w:val="78307B92"/>
    <w:rsid w:val="785F3AC7"/>
    <w:rsid w:val="787D49F6"/>
    <w:rsid w:val="794577AF"/>
    <w:rsid w:val="79BE3ABF"/>
    <w:rsid w:val="79C31BAE"/>
    <w:rsid w:val="79E273B4"/>
    <w:rsid w:val="7A0D4C85"/>
    <w:rsid w:val="7A31531B"/>
    <w:rsid w:val="7A6166AD"/>
    <w:rsid w:val="7B1040DF"/>
    <w:rsid w:val="7B854B82"/>
    <w:rsid w:val="7C3C2092"/>
    <w:rsid w:val="7CFF10C8"/>
    <w:rsid w:val="7D1272D3"/>
    <w:rsid w:val="7D245C1C"/>
    <w:rsid w:val="7D2A7D32"/>
    <w:rsid w:val="7D633D1C"/>
    <w:rsid w:val="7D7E35AB"/>
    <w:rsid w:val="7DE4294A"/>
    <w:rsid w:val="7DF06730"/>
    <w:rsid w:val="7E237B9C"/>
    <w:rsid w:val="7E2B224F"/>
    <w:rsid w:val="7E373555"/>
    <w:rsid w:val="7E49776D"/>
    <w:rsid w:val="7E4A4EC7"/>
    <w:rsid w:val="7E714A68"/>
    <w:rsid w:val="7EA00A7E"/>
    <w:rsid w:val="7FEA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cs="宋体"/>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332</Words>
  <Characters>1896</Characters>
  <Lines>15</Lines>
  <Paragraphs>4</Paragraphs>
  <TotalTime>27</TotalTime>
  <ScaleCrop>false</ScaleCrop>
  <LinksUpToDate>false</LinksUpToDate>
  <CharactersWithSpaces>2224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2020-05-29T03:14:00Z</dcterms:created>
  <dc:creator>人力资源部 覃丽梅</dc:creator>
  <cp:lastModifiedBy>修</cp:lastModifiedBy>
  <dcterms:modified xsi:type="dcterms:W3CDTF">2020-05-29T03:56:59Z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