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F40" w:rsidRDefault="00042F40" w:rsidP="00FE4306">
      <w:pPr>
        <w:adjustRightInd w:val="0"/>
        <w:snapToGrid w:val="0"/>
        <w:spacing w:beforeLines="50" w:before="156" w:afterLines="50" w:after="156" w:line="276" w:lineRule="auto"/>
        <w:rPr>
          <w:rFonts w:ascii="Arial" w:hAnsi="宋体" w:cs="Arial"/>
          <w:bCs/>
          <w:iCs/>
          <w:szCs w:val="21"/>
        </w:rPr>
      </w:pPr>
    </w:p>
    <w:p w:rsidR="0051170D" w:rsidRDefault="00E42DB3" w:rsidP="00FE4306">
      <w:pPr>
        <w:adjustRightInd w:val="0"/>
        <w:snapToGrid w:val="0"/>
        <w:spacing w:beforeLines="50" w:before="156" w:afterLines="50" w:after="156" w:line="276" w:lineRule="auto"/>
        <w:rPr>
          <w:rFonts w:ascii="Arial" w:hAnsi="Arial" w:cs="Arial"/>
          <w:bCs/>
          <w:iCs/>
          <w:szCs w:val="21"/>
        </w:rPr>
      </w:pPr>
      <w:r>
        <w:rPr>
          <w:rFonts w:ascii="Arial" w:hAnsi="宋体" w:cs="Arial"/>
          <w:bCs/>
          <w:iCs/>
          <w:szCs w:val="21"/>
        </w:rPr>
        <w:t>证券代码：</w:t>
      </w:r>
      <w:r>
        <w:rPr>
          <w:rFonts w:ascii="Arial" w:hAnsi="Arial" w:cs="Arial"/>
          <w:bCs/>
          <w:iCs/>
          <w:szCs w:val="21"/>
        </w:rPr>
        <w:t xml:space="preserve">002422         </w:t>
      </w:r>
      <w:r>
        <w:rPr>
          <w:rFonts w:ascii="Arial" w:hAnsi="Arial" w:cs="Arial" w:hint="eastAsia"/>
          <w:bCs/>
          <w:iCs/>
          <w:szCs w:val="21"/>
        </w:rPr>
        <w:t xml:space="preserve">       </w:t>
      </w:r>
      <w:r>
        <w:rPr>
          <w:rFonts w:ascii="Arial" w:hAnsi="Arial" w:cs="Arial"/>
          <w:bCs/>
          <w:iCs/>
          <w:szCs w:val="21"/>
        </w:rPr>
        <w:t xml:space="preserve">                           </w:t>
      </w:r>
      <w:r>
        <w:rPr>
          <w:rFonts w:ascii="Arial" w:hAnsi="宋体" w:cs="Arial"/>
          <w:bCs/>
          <w:iCs/>
          <w:szCs w:val="21"/>
        </w:rPr>
        <w:t>证券简称：科伦药业</w:t>
      </w:r>
    </w:p>
    <w:p w:rsidR="0051170D" w:rsidRDefault="0051170D" w:rsidP="00FE4306">
      <w:pPr>
        <w:adjustRightInd w:val="0"/>
        <w:snapToGrid w:val="0"/>
        <w:spacing w:beforeLines="50" w:before="156" w:afterLines="50" w:after="156" w:line="276" w:lineRule="auto"/>
        <w:ind w:firstLineChars="200" w:firstLine="480"/>
        <w:rPr>
          <w:rFonts w:ascii="宋体" w:hAnsi="宋体"/>
          <w:bCs/>
          <w:iCs/>
          <w:sz w:val="24"/>
        </w:rPr>
      </w:pPr>
    </w:p>
    <w:p w:rsidR="0051170D" w:rsidRDefault="00E42DB3" w:rsidP="00FE4306">
      <w:pPr>
        <w:adjustRightInd w:val="0"/>
        <w:snapToGrid w:val="0"/>
        <w:spacing w:beforeLines="50" w:before="156" w:afterLines="50" w:after="156" w:line="276" w:lineRule="auto"/>
        <w:ind w:firstLineChars="200" w:firstLine="562"/>
        <w:jc w:val="center"/>
        <w:rPr>
          <w:rFonts w:ascii="宋体" w:hAnsi="宋体"/>
          <w:b/>
          <w:bCs/>
          <w:iCs/>
          <w:sz w:val="28"/>
          <w:szCs w:val="28"/>
        </w:rPr>
      </w:pPr>
      <w:r>
        <w:rPr>
          <w:rFonts w:ascii="宋体" w:hAnsi="宋体" w:hint="eastAsia"/>
          <w:b/>
          <w:bCs/>
          <w:iCs/>
          <w:sz w:val="28"/>
          <w:szCs w:val="28"/>
        </w:rPr>
        <w:t>四川科伦药业股份有限公司投资者关系活动记录表</w:t>
      </w:r>
    </w:p>
    <w:p w:rsidR="0051170D" w:rsidRDefault="00E42DB3" w:rsidP="00FE4306">
      <w:pPr>
        <w:adjustRightInd w:val="0"/>
        <w:snapToGrid w:val="0"/>
        <w:spacing w:beforeLines="50" w:before="156" w:afterLines="50" w:after="156" w:line="276" w:lineRule="auto"/>
        <w:ind w:firstLineChars="200" w:firstLine="480"/>
        <w:rPr>
          <w:rFonts w:ascii="宋体" w:hAnsi="宋体"/>
          <w:bCs/>
          <w:iCs/>
          <w:szCs w:val="21"/>
        </w:rPr>
      </w:pPr>
      <w:r>
        <w:rPr>
          <w:rFonts w:ascii="宋体" w:hAnsi="宋体" w:hint="eastAsia"/>
          <w:bCs/>
          <w:iCs/>
          <w:sz w:val="24"/>
        </w:rPr>
        <w:t xml:space="preserve">                                                        </w:t>
      </w:r>
      <w:r>
        <w:rPr>
          <w:rFonts w:ascii="宋体" w:hAnsi="宋体" w:hint="eastAsia"/>
          <w:bCs/>
          <w:iCs/>
          <w:szCs w:val="21"/>
        </w:rPr>
        <w:t>编号：</w:t>
      </w:r>
      <w:r w:rsidR="001A74DF">
        <w:rPr>
          <w:rFonts w:ascii="宋体" w:hAnsi="宋体" w:hint="eastAsia"/>
          <w:bCs/>
          <w:iCs/>
          <w:szCs w:val="21"/>
        </w:rPr>
        <w:t>00</w:t>
      </w:r>
      <w:r w:rsidR="00F048CB">
        <w:rPr>
          <w:rFonts w:ascii="宋体" w:hAnsi="宋体" w:hint="eastAsia"/>
          <w:bCs/>
          <w:iCs/>
          <w:szCs w:val="21"/>
        </w:rPr>
        <w:t>4</w:t>
      </w:r>
      <w:r w:rsidR="00F048CB">
        <w:rPr>
          <w:rFonts w:ascii="宋体" w:hAnsi="宋体"/>
          <w:bCs/>
          <w:iCs/>
          <w:szCs w:val="21"/>
        </w:rPr>
        <w:t>7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6997"/>
      </w:tblGrid>
      <w:tr w:rsidR="0051170D">
        <w:tc>
          <w:tcPr>
            <w:tcW w:w="1525" w:type="dxa"/>
          </w:tcPr>
          <w:p w:rsidR="0051170D" w:rsidRDefault="00E42DB3" w:rsidP="00FE4306">
            <w:pPr>
              <w:spacing w:beforeLines="100" w:before="312" w:afterLines="100" w:after="312" w:line="360" w:lineRule="auto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</w:rPr>
              <w:t>投资者关系活动类别</w:t>
            </w:r>
          </w:p>
        </w:tc>
        <w:tc>
          <w:tcPr>
            <w:tcW w:w="6997" w:type="dxa"/>
          </w:tcPr>
          <w:p w:rsidR="0051170D" w:rsidRDefault="00E42DB3">
            <w:pPr>
              <w:rPr>
                <w:bCs/>
                <w:iCs/>
                <w:szCs w:val="21"/>
              </w:rPr>
            </w:pPr>
            <w:r>
              <w:rPr>
                <w:szCs w:val="21"/>
              </w:rPr>
              <w:t>√</w:t>
            </w:r>
            <w:r>
              <w:rPr>
                <w:rFonts w:hint="eastAsia"/>
                <w:szCs w:val="21"/>
              </w:rPr>
              <w:t>特定对象调研</w:t>
            </w:r>
            <w:r>
              <w:rPr>
                <w:rFonts w:hint="eastAsia"/>
                <w:szCs w:val="21"/>
              </w:rPr>
              <w:t xml:space="preserve">         </w:t>
            </w:r>
            <w:r w:rsidR="005A5DB7">
              <w:rPr>
                <w:szCs w:val="21"/>
              </w:rPr>
              <w:t>√</w:t>
            </w:r>
            <w:r>
              <w:rPr>
                <w:rFonts w:hint="eastAsia"/>
                <w:szCs w:val="21"/>
              </w:rPr>
              <w:t>分析师会议</w:t>
            </w:r>
          </w:p>
          <w:p w:rsidR="0051170D" w:rsidRDefault="00E42DB3">
            <w:pPr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□</w:t>
            </w:r>
            <w:r>
              <w:rPr>
                <w:rFonts w:hint="eastAsia"/>
                <w:szCs w:val="21"/>
              </w:rPr>
              <w:t>媒体采访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bCs/>
                <w:iCs/>
                <w:szCs w:val="21"/>
              </w:rPr>
              <w:t>□</w:t>
            </w:r>
            <w:r>
              <w:rPr>
                <w:rFonts w:hint="eastAsia"/>
                <w:szCs w:val="21"/>
              </w:rPr>
              <w:t>业绩说明会</w:t>
            </w:r>
          </w:p>
          <w:p w:rsidR="0051170D" w:rsidRDefault="00E42DB3">
            <w:pPr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□</w:t>
            </w:r>
            <w:r>
              <w:rPr>
                <w:rFonts w:hint="eastAsia"/>
                <w:szCs w:val="21"/>
              </w:rPr>
              <w:t>新闻发布会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bCs/>
                <w:iCs/>
                <w:szCs w:val="21"/>
              </w:rPr>
              <w:t>□</w:t>
            </w:r>
            <w:r>
              <w:rPr>
                <w:rFonts w:hint="eastAsia"/>
                <w:szCs w:val="21"/>
              </w:rPr>
              <w:t>路演活动</w:t>
            </w:r>
          </w:p>
          <w:p w:rsidR="0051170D" w:rsidRDefault="00E42DB3">
            <w:pPr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□</w:t>
            </w:r>
            <w:r>
              <w:rPr>
                <w:rFonts w:hint="eastAsia"/>
                <w:szCs w:val="21"/>
              </w:rPr>
              <w:t>现场参观</w:t>
            </w:r>
          </w:p>
          <w:p w:rsidR="0051170D" w:rsidRDefault="00BB3C26" w:rsidP="001764C8">
            <w:pPr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□</w:t>
            </w:r>
            <w:r w:rsidR="00E42DB3">
              <w:rPr>
                <w:rFonts w:hint="eastAsia"/>
                <w:szCs w:val="21"/>
              </w:rPr>
              <w:t>其他</w:t>
            </w:r>
            <w:r w:rsidR="000C3D66" w:rsidRPr="001764C8">
              <w:rPr>
                <w:rFonts w:hint="eastAsia"/>
                <w:szCs w:val="21"/>
              </w:rPr>
              <w:t>：电话调研</w:t>
            </w:r>
          </w:p>
        </w:tc>
      </w:tr>
      <w:tr w:rsidR="0051170D">
        <w:trPr>
          <w:trHeight w:val="1348"/>
        </w:trPr>
        <w:tc>
          <w:tcPr>
            <w:tcW w:w="1525" w:type="dxa"/>
          </w:tcPr>
          <w:p w:rsidR="0051170D" w:rsidRDefault="00E42DB3" w:rsidP="00FE4306">
            <w:pPr>
              <w:spacing w:beforeLines="100" w:before="312" w:afterLines="100" w:after="312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</w:rPr>
              <w:t>参与单位名称及人员姓名</w:t>
            </w:r>
          </w:p>
        </w:tc>
        <w:tc>
          <w:tcPr>
            <w:tcW w:w="6997" w:type="dxa"/>
            <w:vAlign w:val="center"/>
          </w:tcPr>
          <w:p w:rsidR="0051170D" w:rsidRDefault="00BB3C26" w:rsidP="00BB3C26">
            <w:pPr>
              <w:rPr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中金公司、兴业证券、</w:t>
            </w:r>
            <w:r w:rsidR="00BC28C4">
              <w:rPr>
                <w:rFonts w:ascii="Calibri" w:hAnsi="Calibri" w:hint="eastAsia"/>
                <w:szCs w:val="21"/>
              </w:rPr>
              <w:t>国盛医药</w:t>
            </w:r>
            <w:r>
              <w:rPr>
                <w:rFonts w:ascii="Calibri" w:hAnsi="Calibri" w:hint="eastAsia"/>
                <w:szCs w:val="21"/>
              </w:rPr>
              <w:t>、平安证券、东兴证券等</w:t>
            </w:r>
            <w:r w:rsidR="00BC28C4">
              <w:rPr>
                <w:rFonts w:ascii="Calibri" w:hAnsi="Calibri" w:hint="eastAsia"/>
                <w:szCs w:val="21"/>
              </w:rPr>
              <w:t>及</w:t>
            </w:r>
            <w:r w:rsidR="00835D85">
              <w:rPr>
                <w:rFonts w:ascii="Calibri" w:hAnsi="Calibri" w:hint="eastAsia"/>
                <w:szCs w:val="21"/>
              </w:rPr>
              <w:t>1</w:t>
            </w:r>
            <w:r w:rsidR="00835D85">
              <w:rPr>
                <w:rFonts w:ascii="Calibri" w:hAnsi="Calibri"/>
                <w:szCs w:val="21"/>
              </w:rPr>
              <w:t>70</w:t>
            </w:r>
            <w:r>
              <w:rPr>
                <w:rFonts w:ascii="Calibri" w:hAnsi="Calibri" w:hint="eastAsia"/>
                <w:szCs w:val="21"/>
              </w:rPr>
              <w:t>多</w:t>
            </w:r>
            <w:r w:rsidR="00835D85">
              <w:rPr>
                <w:rFonts w:ascii="Calibri" w:hAnsi="Calibri" w:hint="eastAsia"/>
                <w:szCs w:val="21"/>
              </w:rPr>
              <w:t>位</w:t>
            </w:r>
            <w:r w:rsidR="00F15DF9">
              <w:rPr>
                <w:rFonts w:ascii="Calibri" w:hAnsi="Calibri"/>
                <w:szCs w:val="21"/>
              </w:rPr>
              <w:t>机构和投资人</w:t>
            </w:r>
            <w:r>
              <w:rPr>
                <w:rFonts w:ascii="Calibri" w:hAnsi="Calibri" w:hint="eastAsia"/>
                <w:szCs w:val="21"/>
              </w:rPr>
              <w:t>现场</w:t>
            </w:r>
            <w:r w:rsidR="00BC28C4">
              <w:rPr>
                <w:rFonts w:ascii="Calibri" w:hAnsi="Calibri" w:hint="eastAsia"/>
                <w:szCs w:val="21"/>
              </w:rPr>
              <w:t>交流</w:t>
            </w:r>
          </w:p>
        </w:tc>
      </w:tr>
      <w:tr w:rsidR="0051170D">
        <w:tc>
          <w:tcPr>
            <w:tcW w:w="1525" w:type="dxa"/>
            <w:vAlign w:val="center"/>
          </w:tcPr>
          <w:p w:rsidR="0051170D" w:rsidRDefault="00E42DB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6997" w:type="dxa"/>
            <w:vAlign w:val="center"/>
          </w:tcPr>
          <w:p w:rsidR="0051170D" w:rsidRPr="003C344A" w:rsidRDefault="00E42DB3" w:rsidP="00FE4306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20</w:t>
            </w:r>
            <w:r w:rsidR="00FE4306">
              <w:rPr>
                <w:rFonts w:ascii="Calibri" w:hAnsi="Calibri" w:hint="eastAsia"/>
                <w:szCs w:val="21"/>
              </w:rPr>
              <w:t>20</w:t>
            </w:r>
            <w:r>
              <w:rPr>
                <w:rFonts w:ascii="Calibri" w:hAnsi="Calibri" w:hint="eastAsia"/>
                <w:szCs w:val="21"/>
              </w:rPr>
              <w:t>年</w:t>
            </w:r>
            <w:r w:rsidR="00BB3C26">
              <w:rPr>
                <w:rFonts w:ascii="Calibri" w:hAnsi="Calibri"/>
                <w:szCs w:val="21"/>
              </w:rPr>
              <w:t>5</w:t>
            </w:r>
            <w:r>
              <w:rPr>
                <w:rFonts w:ascii="Calibri" w:hAnsi="Calibri" w:hint="eastAsia"/>
                <w:szCs w:val="21"/>
              </w:rPr>
              <w:t>月</w:t>
            </w:r>
            <w:r w:rsidR="00BB3C26">
              <w:rPr>
                <w:rFonts w:ascii="Calibri" w:hAnsi="Calibri"/>
                <w:szCs w:val="21"/>
              </w:rPr>
              <w:t>28</w:t>
            </w:r>
            <w:r>
              <w:rPr>
                <w:rFonts w:ascii="Calibri" w:hAnsi="Calibri" w:hint="eastAsia"/>
                <w:szCs w:val="21"/>
              </w:rPr>
              <w:t>日</w:t>
            </w:r>
          </w:p>
        </w:tc>
      </w:tr>
      <w:tr w:rsidR="0051170D">
        <w:trPr>
          <w:trHeight w:val="510"/>
        </w:trPr>
        <w:tc>
          <w:tcPr>
            <w:tcW w:w="1525" w:type="dxa"/>
            <w:vAlign w:val="center"/>
          </w:tcPr>
          <w:p w:rsidR="0051170D" w:rsidRDefault="00E42DB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地点</w:t>
            </w:r>
          </w:p>
        </w:tc>
        <w:tc>
          <w:tcPr>
            <w:tcW w:w="6997" w:type="dxa"/>
            <w:vAlign w:val="center"/>
          </w:tcPr>
          <w:p w:rsidR="0051170D" w:rsidRPr="003C344A" w:rsidRDefault="00BB3C26" w:rsidP="00FE4306">
            <w:pPr>
              <w:rPr>
                <w:rFonts w:ascii="Calibri" w:hAnsi="Calibri"/>
                <w:szCs w:val="21"/>
              </w:rPr>
            </w:pPr>
            <w:r w:rsidRPr="00473146">
              <w:rPr>
                <w:rFonts w:eastAsiaTheme="minorHAnsi"/>
                <w:szCs w:val="21"/>
              </w:rPr>
              <w:t>科伦药物研究院</w:t>
            </w:r>
          </w:p>
        </w:tc>
      </w:tr>
      <w:tr w:rsidR="0051170D">
        <w:trPr>
          <w:trHeight w:val="1047"/>
        </w:trPr>
        <w:tc>
          <w:tcPr>
            <w:tcW w:w="1525" w:type="dxa"/>
            <w:vAlign w:val="center"/>
          </w:tcPr>
          <w:p w:rsidR="0051170D" w:rsidRDefault="00E42DB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上市公司接待人员姓名</w:t>
            </w:r>
          </w:p>
        </w:tc>
        <w:tc>
          <w:tcPr>
            <w:tcW w:w="6997" w:type="dxa"/>
            <w:vAlign w:val="center"/>
          </w:tcPr>
          <w:p w:rsidR="0051170D" w:rsidRPr="00E51196" w:rsidRDefault="00BB3C26" w:rsidP="001764C8">
            <w:pPr>
              <w:rPr>
                <w:rFonts w:ascii="Calibri" w:hAnsi="Calibri"/>
                <w:sz w:val="18"/>
                <w:szCs w:val="18"/>
              </w:rPr>
            </w:pPr>
            <w:r w:rsidRPr="00E51196">
              <w:rPr>
                <w:rFonts w:ascii="Calibri" w:hAnsi="Calibri" w:hint="eastAsia"/>
                <w:sz w:val="18"/>
                <w:szCs w:val="18"/>
              </w:rPr>
              <w:t>科伦研究院：王晶翼院长</w:t>
            </w:r>
            <w:r w:rsidR="00E51196">
              <w:rPr>
                <w:rFonts w:ascii="Calibri" w:hAnsi="Calibri" w:hint="eastAsia"/>
                <w:sz w:val="18"/>
                <w:szCs w:val="18"/>
              </w:rPr>
              <w:t>、冯毅副院长、赵栋副院长、薛彤彤副院长、陈得光副院长等管理团队</w:t>
            </w:r>
            <w:bookmarkStart w:id="0" w:name="_GoBack"/>
            <w:bookmarkEnd w:id="0"/>
            <w:r w:rsidRPr="00E51196">
              <w:rPr>
                <w:rFonts w:ascii="Calibri" w:hAnsi="Calibri" w:hint="eastAsia"/>
                <w:sz w:val="18"/>
                <w:szCs w:val="18"/>
              </w:rPr>
              <w:t>；科伦药业：董事长刘革新先生、总经理刘思川先生、</w:t>
            </w:r>
            <w:r w:rsidR="001764C8" w:rsidRPr="00E51196">
              <w:rPr>
                <w:rFonts w:ascii="Calibri" w:hAnsi="Calibri" w:hint="eastAsia"/>
                <w:sz w:val="18"/>
                <w:szCs w:val="18"/>
              </w:rPr>
              <w:t>副总经理戈韬先生、</w:t>
            </w:r>
            <w:r w:rsidR="00697920" w:rsidRPr="00E51196">
              <w:rPr>
                <w:rFonts w:ascii="Calibri" w:hAnsi="Calibri" w:hint="eastAsia"/>
                <w:sz w:val="18"/>
                <w:szCs w:val="18"/>
              </w:rPr>
              <w:t>副总经理兼</w:t>
            </w:r>
            <w:r w:rsidR="003C344A" w:rsidRPr="00E51196">
              <w:rPr>
                <w:rFonts w:ascii="Calibri" w:hAnsi="Calibri"/>
                <w:sz w:val="18"/>
                <w:szCs w:val="18"/>
              </w:rPr>
              <w:t>财务总监赖德贵</w:t>
            </w:r>
            <w:r w:rsidR="003A60D5" w:rsidRPr="00E51196">
              <w:rPr>
                <w:rFonts w:ascii="Calibri" w:hAnsi="Calibri" w:hint="eastAsia"/>
                <w:sz w:val="18"/>
                <w:szCs w:val="18"/>
              </w:rPr>
              <w:t>先生</w:t>
            </w:r>
            <w:r w:rsidR="003C344A" w:rsidRPr="00E51196">
              <w:rPr>
                <w:rFonts w:ascii="Calibri" w:hAnsi="Calibri"/>
                <w:sz w:val="18"/>
                <w:szCs w:val="18"/>
              </w:rPr>
              <w:t>、</w:t>
            </w:r>
            <w:r w:rsidR="00697920" w:rsidRPr="00E51196">
              <w:rPr>
                <w:rFonts w:ascii="Calibri" w:hAnsi="Calibri" w:hint="eastAsia"/>
                <w:sz w:val="18"/>
                <w:szCs w:val="18"/>
              </w:rPr>
              <w:t>副总经理兼</w:t>
            </w:r>
            <w:r w:rsidR="001764C8" w:rsidRPr="00E51196">
              <w:rPr>
                <w:rFonts w:ascii="Calibri" w:hAnsi="Calibri" w:hint="eastAsia"/>
                <w:sz w:val="18"/>
                <w:szCs w:val="18"/>
              </w:rPr>
              <w:t>董事会</w:t>
            </w:r>
            <w:r w:rsidR="00697920" w:rsidRPr="00E51196">
              <w:rPr>
                <w:rFonts w:ascii="Calibri" w:hAnsi="Calibri" w:hint="eastAsia"/>
                <w:sz w:val="18"/>
                <w:szCs w:val="18"/>
              </w:rPr>
              <w:t>秘书</w:t>
            </w:r>
            <w:r w:rsidR="003C344A" w:rsidRPr="00E51196">
              <w:rPr>
                <w:rFonts w:ascii="Calibri" w:hAnsi="Calibri"/>
                <w:sz w:val="18"/>
                <w:szCs w:val="18"/>
              </w:rPr>
              <w:t>冯昊</w:t>
            </w:r>
            <w:r w:rsidR="003A60D5" w:rsidRPr="00E51196">
              <w:rPr>
                <w:rFonts w:ascii="Calibri" w:hAnsi="Calibri" w:hint="eastAsia"/>
                <w:sz w:val="18"/>
                <w:szCs w:val="18"/>
              </w:rPr>
              <w:t>先生</w:t>
            </w:r>
            <w:r w:rsidRPr="00E51196">
              <w:rPr>
                <w:rFonts w:ascii="Calibri" w:hAnsi="Calibri" w:hint="eastAsia"/>
                <w:sz w:val="18"/>
                <w:szCs w:val="18"/>
              </w:rPr>
              <w:t>、董办总监黄新女士等公司管理层</w:t>
            </w:r>
            <w:r w:rsidR="00E51196">
              <w:rPr>
                <w:rFonts w:ascii="Calibri" w:hAnsi="Calibri" w:hint="eastAsia"/>
                <w:sz w:val="18"/>
                <w:szCs w:val="18"/>
              </w:rPr>
              <w:t>。</w:t>
            </w:r>
          </w:p>
        </w:tc>
      </w:tr>
      <w:tr w:rsidR="0051170D">
        <w:trPr>
          <w:trHeight w:val="629"/>
        </w:trPr>
        <w:tc>
          <w:tcPr>
            <w:tcW w:w="1525" w:type="dxa"/>
            <w:vAlign w:val="center"/>
          </w:tcPr>
          <w:p w:rsidR="0051170D" w:rsidRDefault="00E42DB3" w:rsidP="00FE4306">
            <w:pPr>
              <w:spacing w:beforeLines="100" w:before="312" w:afterLines="100" w:after="312" w:line="360" w:lineRule="auto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</w:rPr>
              <w:t>投资者关系活动主要内容介绍</w:t>
            </w:r>
          </w:p>
          <w:p w:rsidR="0051170D" w:rsidRDefault="0051170D" w:rsidP="00FE4306">
            <w:pPr>
              <w:spacing w:beforeLines="100" w:before="312" w:afterLines="100" w:after="312" w:line="360" w:lineRule="auto"/>
              <w:rPr>
                <w:rFonts w:ascii="宋体" w:hAnsi="宋体"/>
                <w:b/>
                <w:bCs/>
                <w:iCs/>
                <w:sz w:val="24"/>
              </w:rPr>
            </w:pPr>
          </w:p>
        </w:tc>
        <w:tc>
          <w:tcPr>
            <w:tcW w:w="6997" w:type="dxa"/>
          </w:tcPr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回顾历次开放日要点，针对投资人关切分为四大板块分享研究进展。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重点介绍：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仿制药战略再定位和围绕质量、时间、成本、效率的精细化管控体系；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创新药进入临床“</w:t>
            </w: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烧钱”的阶段，将介绍临床项目的成药前景，首批BLA和NDA情况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改良型创新将介绍如何充分利用ANDA和505b(2)路径构建后发发展优势。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4+7集采对中国医药行业格局的影响：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、三点总结：（1）跨国药厂非专利药回归价值定位，与本土企业共同参与竞争。（2）已形成市场占有量的企业，必须在完成一致性评价后，以集采重上战场。（3）政府以集采调高的市场范围指数，调低了价格指数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2、中美仿制药市场对比：美国仿制药市场总体平稳增长，近年药价受政府打压，但总体增长趋势不变；中国仿制药市场在4+7后仍然保持增长态势。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3、科伦目前在CDE待审产品67项，其中前三家机会品种44项；新分类品种34项，前三家16项；一致性评价33项，前三家28项。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4、未来仿制药竞争规则变化大，科学能力、连接市场和政策能力、精细化管理能力是竞争胜出的关键。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仿制药：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赵栋博士，四川大学药剂学博士，研究院副院长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7年来，科伦仿制药研发成功实现了从单纯输液到全面、综合、内涵发展的蜕变，已进入国内研发的第一方阵，形成综合集群优势发展的企业。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持续不断的推进和提升科伦工业体系价值和产品市场价值。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输液方面，18个产品获批，后续管线在研50余项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原料获批20项；在研原料布局180余项，原料自研率70%。多肽、造影剂、新晶型等复杂原料布局占比近30%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在非输液板块已经上市7项，已经进入肿瘤、麻醉镇痛、心脑血管、男性专科等重大领域。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13项口服一致性品种获批，注射剂一致性评价申报30项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构建11个特色技术平台，布局120余难度/特色项目，以拓展仿制药的未来。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构建了从管线建设与评估、项目推进与管控、临床研究、放行申报与获批、生产与商业转化的全程管控体系，全程预算管控体系控制研发费用。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选题立项从临床价值、市场价值、专利成本、技术难度、位次等六个方面进行评估选题；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每三个月定期的进行管线的评估，重大政策或品种的变化、市场价值变化进行及时动态调整。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当前仿制药的项目目前总共220项。第一梯队队130项。第二梯队60项。核心的工作是推进第一梯队及第二梯队项目，特别是第一梯队的项目。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构建了复杂制剂、复杂原料和成本一体化的11个技术平台。肠外营养多室袋、脂肪乳/乳剂平台已经比较成熟，有相应的项目产出。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实施院级项目管理和项目研究小组管理双层级管控，涵盖全局管控和21个项目小组的单一项目精准实施管理。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在项目研究不同阶段建立系统全局顶层设计和过程管控，不断优化提升研发效率，形成全生命周期的成本管控。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建立了科学有效的BA/BE管控体系：以药学+药代+临床不同维度的科学进行综合评估，将项目进行BE风险分级与预判，以达到风险和效率的平衡。当前BE共计开展54项（BE一次性通过率90%以上），以应对未来更多复杂项目的挑战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专利部门与药学团队的紧密合作，已完成80项专利的规避、6项专利挑战、2项专利许可和解、245项仿制药专利申请，仿制药集群已渗透进入“专利悬崖前”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形成了集质量放行、药政注册、核查检验为一体的注册法规联动管控体系，为项目的研发全过程及最终获批提供全方位注册保障。28个品种接受药监注册核查并全部通过。 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转型仅7年，近3年来的批产数量全国排第二，CDE存量项目67项，排名第一，报产及批产数量总体呈现增长趋势。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发补情况：对标企业的发补数量均在90%以上，科伦的总发补率、一补率、多补率居于</w:t>
            </w: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lastRenderedPageBreak/>
              <w:t>中位。存在部分品种为重大缺陷发补，发补时间较长现象。2018年起构建了覆盖研发全过程的质量保障体系，近3年来重大研究缺陷发补逐步降低；研究质量和效率提升效果将在后续产出中得到体现和释放。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建立了研发、生产、市场营销三方成熟的产品上市前准备机制 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达泊西汀片研发复盘：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竞争企业更早进入药监系统（申报省局并提前完成了核查），科伦在申报国家局实现反超，在发补及后续的核查环节较竞争对手晚，获批晚19天，反超未成功，但在预期进度内。科伦有原料及成本优势，已提前启动销售策划工作，可以抢回差距的时间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小结：构建了仿制药全链条管控体系，继续不断优化管控体系，精准高效推进优势产品线产出。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管线预期：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2020年已获批5项，预计还有10项左右新产品获批，并开始进入糖尿病、肾病等重大或特色疾病领域。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未来3年，科伦将陆续上市产品70-100项（含仿制药和一致性评价）。强化细菌感染、肠外营养、肿瘤、心脑血管、麻醉镇痛、呼吸、男科等疾病领域产品集群，开始在糖尿病、诊断造影、肾病等重大或特色疾病领域形成新集群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未来5年（含未来3年）将陆续上市仿制药120-150余项，进一步强化肿瘤、心脑血管、麻醉镇痛、呼吸、诊断造影、肾病、糖尿病等疾病领域产品集群优势，新进入妇产科等重大或特色疾病领域。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总结：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1）8年时间为“三发战略”中的第一/二发提供动力；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2）构建了高效的研发平台和团队；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3）在重要赛事指标中保持头部领先地位（批产数量、首仿比例、投入产出比等）；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4）持续优化调整，为升级做好了研发运营和精细化管控准备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大分子：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新药研发可以分为四个周期：M0：靶点发现和分析、靶点验证、抗体发现；M1：临床前研究；M2：临床前开发；M3：早期临床；M4：晚期临床；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回顾中国企业创新发展历程，提出科伦创新的思考维度；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提出P1、P2管线概念。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徐健博士，佛罗里达大学，科伦博泰副总裁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负责转化医学，2019年加入科伦，20年国内外药企（辉瑞、Genetech，诺华）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创新药团队2020年约680人，领军人员近100人，77项创新管线，12项进入临床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1.大分子总体介绍：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项目在研39项，IND 1项，临床获批7项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2018-2019年：首个ADC获批中美临床，多个产品申报临床，管线规模化，首个license out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lastRenderedPageBreak/>
              <w:t xml:space="preserve">2020-2022年规划：首轮NDA/BLA；拓展产品适应症空间；特色平台产品后续布局； 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聚焦疾病领域：以乳腺癌、结直肠癌等为主导；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肿瘤免疫聚焦：免疫检查点抑制剂；肿瘤免疫combo；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技术平台聚焦：ADC；单抗；双抗；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关注前沿技术：新结构抗体、核酸药物、基因治疗、个性化治疗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总结：验证了已建立平台成熟度。研发速度达到业内中上水平。不断汲取经验，完善平台，尤其是临床团队的建设。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2.A167：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首个BLA创新项目，今年递交BLA申报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CHL I期和NPC I期符合预期，群体药代学研究支持给药剂量，I期研究安全性良好。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CHL BLA：2020Q3准备申报，2020Q4-2021Q1 申报生产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NPC BLA：受到疫情影响，2020Q4入组完，2021Q2-Q3申报生产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3.A166：HER2 ADC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A166毒素活性高，有稳定linker偶联抗体和毒素；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中美I期临床方案：中国传统3+3方案，24个月完成剂量探索；美国贝叶斯设计9个月完成剂量探索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临床I期：安全性数据良好，中国爬坡至6.0mg/kg，尚未出现DLT。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3.6mg以上为有效剂量，中美均为末线患者。初步显示良好疗效（乳腺癌、结直肠癌、胃癌、肺癌等）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二三期临床有明确规划，预计2022Q4 BLA；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A166总结：采用了高毒性分子定点偶联技术，分子稳定性良好，潜在提升患者耐受性和药效。当前中美临床数据符合预期，未来具备较好潜力。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4.A264：TROP2 ADC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毒素自研创新，高负载DAR=7-8；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linker自研创新，通用性好；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临床前疗效显著优于阳性参照药，肿瘤靶向性优于阳性参照药；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临床I期在A166基础上优化，中美同一方案，采用贝叶斯设计，提高研究效率；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美国的入组已经完成了首个剂量组，已经初步显示疗效，没有出现DLT；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预计2021Q1 I/II期；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A264总结：升级版中美双报ADC，可望与A166形成乳腺癌的合围；优化了临床设计，极大提升研发效率。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5.A140：西妥昔单抗类似物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西妥昔单抗市场潜力较大，研究难点是缺乏指导原则且原研结直肠癌疗效变异大（range 50-70%），三期头对头难度高，风险大。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A140临床研究小结：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方案设计以稳妥为主要思路，设计了对比安慰剂的小规模三期探索研究，帮助确定A140在中国患者中治疗结直肠癌疗效变异情况；2020开展 III期头对头对比原研临床。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制定了详细的工作计划，以确保头对头三期研究的成功。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大分子临床前研发管线共31项，布局重点平台的平台包括：创新单抗、ADC、双特异性抗体、融合蛋白和细胞治疗。预计到2021年底，可以申报IND4-6项。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6.做好了未来商业化的准备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已获得《药品生产许可证》，生产线符合中美cGMP双标准；已有2*2000L抗体生产线，在建ADC车间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总结：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1）6年时间为“三发驱动”的第三发奠定了基础和P1管线；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2）大分子R&amp;D的研发周期是4年；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3）P1管线顺利进入临床，A167/140进入pivotol临床，167年内BLA；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4）P1管线在FDA和NMPA双双批准IND；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5）科伦博泰即将迎来从研发型biotech走向有产品上市的闭环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小分子：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宋宏梅，四川大学，生物医学工程博士，科伦博泰小分子研发主任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6年来，创新小分子已建立完整平台、人才团队和管理体系。小分子产品管线的布局已趋于成熟。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/>
                <w:sz w:val="18"/>
                <w:szCs w:val="18"/>
              </w:rPr>
              <w:t>1.A227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阿片受体激动剂，目标为理想的术后镇痛药物，临床I期已经完成6个剂量组的爬坡，超过预测III期推荐剂量，药代和安全性质良好，渡过成药关键点。计划2020年Q2启动临床II期，Q3启动尿毒症瘙痒适应症拓展研究。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/>
                <w:sz w:val="18"/>
                <w:szCs w:val="18"/>
              </w:rPr>
              <w:t>2.A223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JAK1/2抑制剂的Me-better药物，选择性和活性与礼来巴瑞替尼相当，明显改善了药物的代谢行为，具有平衡安全性与有效性潜力，I期临床探索安全剂量高于巴瑞替尼，预测对于肾功能不全的患者不需要调整用药剂量。已完成了健康人全部8个剂量爬坡及RA患者首个剂量入组研究，已见初步药效和药代性质差异化优势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即将开展临床II期在患者上的长期疗效、安全性探索及优势确证研究，完成有效性探索后进行适应症和特殊人群的拓展。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/>
                <w:sz w:val="18"/>
                <w:szCs w:val="18"/>
              </w:rPr>
              <w:t>3.A206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首个自主研发的创新小分子新型细胞毒抗肿瘤药物，采用前药设计实现可口服给药，改变药物的活化代谢途径，具有克服吉西他滨耐药的潜力。第一个方案入组后因为不良反应导致了暂停，优化了方案，更改给药频率，项目再次启动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/>
                <w:sz w:val="18"/>
                <w:szCs w:val="18"/>
              </w:rPr>
              <w:t>4.A204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乙肝核衣壳抑制剂的me better药物，不仅降低病毒DNA，同时降低表面抗原和e抗原，对核苷类耐药的病毒株依然有效，未来一周启动临床I期受试者入组。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lastRenderedPageBreak/>
              <w:t>5.小分子管线：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临床前研发管线34项，临床前开发阶段6项，预计2020-2021年申报4-6项IND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成果总结：1）6年时间为“三发驱动”的第三发奠定了基础和P1管线；2）4个自主开发的小分子进入1期临床，布局了16项PCT，为全球商业合作预留了空间；3）现有1期项目已经初步度过了“成药性鸿沟”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NDDS：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苏正兴，吉林大学生命科学院微生物和生化药学博士，药物研究院新型给药系统负责人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7年里改良创新构建6个平台（NDDS+缓控释、贴剂）：现有工艺团队人员40人，项目30项，已完成6个产品申报，2020年预计将有1项批产上市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1.紫杉醇白蛋白纳米粒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完成技术审评，等待现场核查阶段，预计2020能获批上市，从第六家报产到有望第四家上市。科伦优势：安全环保（不使用毒溶剂氯仿），质量优势（白蛋白总聚合物低）。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2.多柔比星脂质体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处于BE研究，目前上市的三家（石药、复旦张江、常州金远）都没有通过一致性评价，科伦按新分类申报具有通过一致性评价的前3家机会，预计2022年上市。科伦批量行业领先，具有竞争优势。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3.阿立哌唑长效肌肉注射剂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处于单次PK研究，根据目前研究进度，可正常衔接专利到期时间，预计2024年首仿上市。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4.伊立替康脂质体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2.2类申报，处于临床I期研究，计划以2/3期SCLC多中心快速推进，争取前3家位次。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5.多西他赛白蛋白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已解决发补主要问题，3季度提交临床发补资料。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6.全局及管线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改良创新布局30项重大产品，聚焦肿瘤及辅助用药、慢病领域（精神分裂、帕金森、癫痫、糖尿病）领域。申请27项专利，授权5项，PCT申请3项，美国日本各授权1项。其中脂质体、纳米粒、微晶平台已有产品进入临床，平台建设已经基本成型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7.BA/BE管控能力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在仿制药BA/BE管控策略上，基于NDDS产品复杂性与系统性，增加产品特点与机制分析，pK非临床与临床转化以及临床BA/BE实操细节管控等手段来降低BE/BA风险，提高成功率。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8.产业化能力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lastRenderedPageBreak/>
              <w:t>按照新版GMP完成白蛋白纳米粒、微晶、脂质体、多囊脂质体生产线建设以及微球中试场地，可有效承接研发及未来生产。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9.小结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科伦改良创新经过7年来构建，已有6个重大项目及重点平台基本孵育成型，预计2020年将有第一个产品上市，未来5年还会有相应的新产品持续上市。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成果总结：1）4个给药系统建设，3个经历了人体验证，并以完成了产业化能力的建设；2）白紫可以实现年内上市；3）多西他赛等5个产品跨过了成药性的鸿沟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Q&amp;A：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Q：临床团队的规划和未来是否够用？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A：临床团队3年前才起步，正不断完善，趋于稳健，今年将大力加强临床能力建设。第一，研究院全部资源向临床聚焦，之前积累的宝贵经验（体系流程、组织协调、信息闭合、矩阵式管理等）将有助于加速未来临床项目进度（比如A166对于A264），比如。第二，虽然综合全面的临床人才紧缺，仍将大力在海内外引进人才扩充团队；第三，充分利用CRO公司和PI资源，大量平行筛选CRO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Q：很多公司临床和销售队伍在做结合，我们是否也会考虑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A：以前销售帮助临床入组是当时背景下的产物，但现在新药临床设计精细、专业性强、对合格患者筛选要求严，几十个site的标准一致、准确执行非常重要，用销售来入组可能会出问题，所以在这轮药监改革后，中国临床开发需要专业化和精准化管理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Q：TROP2 ADC的CMC情况如何（IMMU-132申报也因为CMC遇到困难）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A：大分子CMC主要是抗体生产，167的生产已经准备好。小分子CMC获得仿制药团队支持，有坚实的基础，偶联、交联是依托于自己的技术。IMMU132的问题提前就做了准备，166和264都非常有信心解决CMC的问题。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专利：已经建立了坚固的专利体系，166和264的国内专利都已经接近授权，同时在国外也布局了厚实的PCT体系，希望助力license方面的国际化工作。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Q：研发费用投入的规划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A：2020年预计16-17亿，2021年18-19亿，2022年19-20亿，每年增长2亿左右，集团利润与整体预算可以匹配。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Q：A168雷莫卢单抗的研发进度及规划。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A：国内的首仿品种，I期临床的PK数据也非常顺利，当下再讨论后续临床开发策略问题，这个品种三期的头对头研究挑战和投入大，希望通过谨慎分析来控制样本量，可能会带来极大的花费，正在做规划。目前礼来国内三期做完，还是没有上市，会根据雷莫卢原研三期临床的数据和方案来做进一步的推进，同时会兼顾销售商业化价值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Q：研发国际化的考虑，license in/out的思考，以及中美双报考虑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A：国际化分为两个阶段，第一个阶段是R&amp;D阶段，互相授权和并购，科伦在这个阶段已经通过A167得到验证；第二个阶段的国际化是有真正的产品能够在海外上市销售出去，科伦目前有完备的PCT专利保护，同时已有品种实现中美双报，对符合要求的产品</w:t>
            </w: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lastRenderedPageBreak/>
              <w:t>将选择合适时间点推动国际化。国际化有一个渐进的过程，不是为了国际化而国际化，是需要找到兼顾商业价值等综合考虑的国际化品种。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Q：科伦博泰的融资的计划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A：三年前就计划了博泰的30%股份授予科学家团队，激励快速推进产品上市。融资工作正在规划之中，博泰未来在合适时机以合适方式面向市场引入资金，加速研发及国际化。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开放日Q&amp;A互动环节中，科伦主动回应了167被多方关注的民事诉讼问题。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我方专业律师主动回应了以下要素：1、案件编号与开庭时间。2、167的抗体及序列专利没有争议，为科伦所有，且并非本案争议的焦点。3、本案争议在于，科伦作为委托方与被委托服务提供方（原告）在于原委托服务合同具体商务条件项目上存在争议；4、一审判决尚未宣判，必然有二审（上诉）的争斗。科伦的态度：据理力争、相信法律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董事长刘革新总结：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1、对王晶翼院长的评价是“居功至伟”，对研究院高度认可。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2、建立团队比制定战略更难，研究院最大的成就是已形成稳定、成熟、有战斗力的团队，能够不断进化适应新的挑战，将持续产出成果。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3、创新充满艰辛、需要信仰，科伦将培养出一批适应市场的科学家。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4、川宁环保解决难度超预期，但已克服万难解决。长期用户协议锁定价格至今年，所以业绩尚未体现其价格恢复。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感谢投资人发现和培养了科伦的价值！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总经理刘思川总结：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1、7年时间，已在仿制药取得明显成果，在创新药取得阶段性成果。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2、核心研发人员是最珍贵的财富，过去及未来的研发成果都离不开研究人员夜以继日的努力。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3、稳定的团队和能够持续引进人才的机制非常重要，有必要对博泰做出激励安排，留住核心人才、引进更多人才。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4、创新需要持续的巨大投入，将打造可进行持续融资的平台，博泰可能是一个开始，支撑不断增加的新项目，且新项目不会影响企业根基，有利于创新迭代和可持续发展。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王晶翼院长总结：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1、科伦不同于biotech，担负的责任和策略不同，已建立起仿制+创新两架制药机器。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2、仿制建立了有宽度、厚度的管线，创新建立了比较成熟、抗风险的管线，未来2-3年会陆续上市。</w:t>
            </w:r>
          </w:p>
          <w:p w:rsidR="00BB3C26" w:rsidRPr="00BB3C26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3、单个项目可能存在不确定性，但总体上有较高把握度，会保证总体产出。</w:t>
            </w:r>
          </w:p>
          <w:p w:rsidR="00A25677" w:rsidRPr="00F47035" w:rsidRDefault="00BB3C26" w:rsidP="00BB3C26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BB3C2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4、从今年开始，临床水平、研究效率和质量会大幅提升。</w:t>
            </w:r>
          </w:p>
        </w:tc>
      </w:tr>
      <w:tr w:rsidR="0051170D">
        <w:tc>
          <w:tcPr>
            <w:tcW w:w="1525" w:type="dxa"/>
            <w:vAlign w:val="center"/>
          </w:tcPr>
          <w:p w:rsidR="0051170D" w:rsidRDefault="00E42DB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附件清单（如有）</w:t>
            </w:r>
          </w:p>
        </w:tc>
        <w:tc>
          <w:tcPr>
            <w:tcW w:w="6997" w:type="dxa"/>
          </w:tcPr>
          <w:p w:rsidR="0051170D" w:rsidRDefault="0051170D">
            <w:pPr>
              <w:rPr>
                <w:b/>
                <w:sz w:val="24"/>
              </w:rPr>
            </w:pPr>
          </w:p>
        </w:tc>
      </w:tr>
      <w:tr w:rsidR="0051170D">
        <w:tc>
          <w:tcPr>
            <w:tcW w:w="1525" w:type="dxa"/>
            <w:vAlign w:val="center"/>
          </w:tcPr>
          <w:p w:rsidR="0051170D" w:rsidRDefault="00E42DB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6997" w:type="dxa"/>
          </w:tcPr>
          <w:p w:rsidR="0051170D" w:rsidRDefault="00E42DB3" w:rsidP="000C3D66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0C3D66">
              <w:rPr>
                <w:rFonts w:hint="eastAsia"/>
                <w:b/>
                <w:sz w:val="24"/>
              </w:rPr>
              <w:t>20</w:t>
            </w:r>
            <w:r w:rsidR="003C344A">
              <w:rPr>
                <w:rFonts w:hint="eastAsia"/>
                <w:b/>
                <w:sz w:val="24"/>
              </w:rPr>
              <w:t>-</w:t>
            </w:r>
            <w:r w:rsidR="00BB3C26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</w:t>
            </w:r>
            <w:r w:rsidR="00BB3C26">
              <w:rPr>
                <w:b/>
                <w:sz w:val="24"/>
              </w:rPr>
              <w:t>29</w:t>
            </w:r>
          </w:p>
        </w:tc>
      </w:tr>
    </w:tbl>
    <w:p w:rsidR="0051170D" w:rsidRDefault="0051170D" w:rsidP="00B2305A"/>
    <w:sectPr w:rsidR="0051170D" w:rsidSect="0080423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BF2" w:rsidRDefault="007F0BF2" w:rsidP="00220A77">
      <w:r>
        <w:separator/>
      </w:r>
    </w:p>
  </w:endnote>
  <w:endnote w:type="continuationSeparator" w:id="0">
    <w:p w:rsidR="007F0BF2" w:rsidRDefault="007F0BF2" w:rsidP="0022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BF2" w:rsidRDefault="007F0BF2" w:rsidP="00220A77">
      <w:r>
        <w:separator/>
      </w:r>
    </w:p>
  </w:footnote>
  <w:footnote w:type="continuationSeparator" w:id="0">
    <w:p w:rsidR="007F0BF2" w:rsidRDefault="007F0BF2" w:rsidP="00220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0D"/>
    <w:rsid w:val="00006ACD"/>
    <w:rsid w:val="00024394"/>
    <w:rsid w:val="000308E2"/>
    <w:rsid w:val="000343BB"/>
    <w:rsid w:val="00042F40"/>
    <w:rsid w:val="000443D3"/>
    <w:rsid w:val="00081117"/>
    <w:rsid w:val="00081F2A"/>
    <w:rsid w:val="000C3292"/>
    <w:rsid w:val="000C3D66"/>
    <w:rsid w:val="001141BB"/>
    <w:rsid w:val="00134DB1"/>
    <w:rsid w:val="0013674B"/>
    <w:rsid w:val="00140DEF"/>
    <w:rsid w:val="00156F93"/>
    <w:rsid w:val="00157FC3"/>
    <w:rsid w:val="001764C8"/>
    <w:rsid w:val="001A74DF"/>
    <w:rsid w:val="001B2540"/>
    <w:rsid w:val="0020775C"/>
    <w:rsid w:val="00220A77"/>
    <w:rsid w:val="002269B3"/>
    <w:rsid w:val="002473F4"/>
    <w:rsid w:val="0025197C"/>
    <w:rsid w:val="00264002"/>
    <w:rsid w:val="002B70D9"/>
    <w:rsid w:val="003337CF"/>
    <w:rsid w:val="00356FE6"/>
    <w:rsid w:val="003715BE"/>
    <w:rsid w:val="0038265E"/>
    <w:rsid w:val="003A60D5"/>
    <w:rsid w:val="003B7702"/>
    <w:rsid w:val="003C344A"/>
    <w:rsid w:val="003F53F6"/>
    <w:rsid w:val="004043DB"/>
    <w:rsid w:val="00415221"/>
    <w:rsid w:val="004272CB"/>
    <w:rsid w:val="0045508C"/>
    <w:rsid w:val="00461684"/>
    <w:rsid w:val="00465A57"/>
    <w:rsid w:val="00467C02"/>
    <w:rsid w:val="004838AC"/>
    <w:rsid w:val="00484FD8"/>
    <w:rsid w:val="00486FEC"/>
    <w:rsid w:val="00496F5D"/>
    <w:rsid w:val="004A1196"/>
    <w:rsid w:val="004B0B4C"/>
    <w:rsid w:val="004C5F49"/>
    <w:rsid w:val="004D2AA7"/>
    <w:rsid w:val="00502C99"/>
    <w:rsid w:val="0051170D"/>
    <w:rsid w:val="00545134"/>
    <w:rsid w:val="00555B24"/>
    <w:rsid w:val="00580FB4"/>
    <w:rsid w:val="005A5DB7"/>
    <w:rsid w:val="005B1854"/>
    <w:rsid w:val="005C27F6"/>
    <w:rsid w:val="005C3755"/>
    <w:rsid w:val="005E4E97"/>
    <w:rsid w:val="005E6A38"/>
    <w:rsid w:val="005F2D55"/>
    <w:rsid w:val="005F35CE"/>
    <w:rsid w:val="005F5527"/>
    <w:rsid w:val="006050B2"/>
    <w:rsid w:val="00606D35"/>
    <w:rsid w:val="00697920"/>
    <w:rsid w:val="006A26F8"/>
    <w:rsid w:val="006A275B"/>
    <w:rsid w:val="006B5451"/>
    <w:rsid w:val="006F5194"/>
    <w:rsid w:val="00703F6D"/>
    <w:rsid w:val="007411C4"/>
    <w:rsid w:val="00746E33"/>
    <w:rsid w:val="00762C0F"/>
    <w:rsid w:val="007A1F43"/>
    <w:rsid w:val="007B1607"/>
    <w:rsid w:val="007B7BA7"/>
    <w:rsid w:val="007D56A9"/>
    <w:rsid w:val="007F0BF2"/>
    <w:rsid w:val="00804238"/>
    <w:rsid w:val="00815033"/>
    <w:rsid w:val="00834EEC"/>
    <w:rsid w:val="00835D85"/>
    <w:rsid w:val="00836627"/>
    <w:rsid w:val="00843F81"/>
    <w:rsid w:val="00854147"/>
    <w:rsid w:val="008608E4"/>
    <w:rsid w:val="008B2BFC"/>
    <w:rsid w:val="00921D22"/>
    <w:rsid w:val="00941EEB"/>
    <w:rsid w:val="00943601"/>
    <w:rsid w:val="00947D3A"/>
    <w:rsid w:val="00964EF8"/>
    <w:rsid w:val="009942D3"/>
    <w:rsid w:val="009954B9"/>
    <w:rsid w:val="009A2486"/>
    <w:rsid w:val="009B34BC"/>
    <w:rsid w:val="009C2008"/>
    <w:rsid w:val="009D2293"/>
    <w:rsid w:val="00A06A17"/>
    <w:rsid w:val="00A25677"/>
    <w:rsid w:val="00A46A0D"/>
    <w:rsid w:val="00A65D2E"/>
    <w:rsid w:val="00A66A36"/>
    <w:rsid w:val="00A6710A"/>
    <w:rsid w:val="00A70DD3"/>
    <w:rsid w:val="00AA0C04"/>
    <w:rsid w:val="00AA48BE"/>
    <w:rsid w:val="00AF71EB"/>
    <w:rsid w:val="00B2305A"/>
    <w:rsid w:val="00B42421"/>
    <w:rsid w:val="00B52FE6"/>
    <w:rsid w:val="00B90270"/>
    <w:rsid w:val="00BA12F8"/>
    <w:rsid w:val="00BB3C26"/>
    <w:rsid w:val="00BC28C4"/>
    <w:rsid w:val="00BD0772"/>
    <w:rsid w:val="00BE7281"/>
    <w:rsid w:val="00BE79D6"/>
    <w:rsid w:val="00BF148B"/>
    <w:rsid w:val="00BF3E33"/>
    <w:rsid w:val="00C166D0"/>
    <w:rsid w:val="00C260D8"/>
    <w:rsid w:val="00C7363F"/>
    <w:rsid w:val="00CF3820"/>
    <w:rsid w:val="00D005AF"/>
    <w:rsid w:val="00D35640"/>
    <w:rsid w:val="00D86360"/>
    <w:rsid w:val="00D91CAD"/>
    <w:rsid w:val="00DA4CAB"/>
    <w:rsid w:val="00DB3979"/>
    <w:rsid w:val="00DB4E7B"/>
    <w:rsid w:val="00DC2542"/>
    <w:rsid w:val="00E11068"/>
    <w:rsid w:val="00E11B2E"/>
    <w:rsid w:val="00E26A39"/>
    <w:rsid w:val="00E3019F"/>
    <w:rsid w:val="00E36AA7"/>
    <w:rsid w:val="00E42DB3"/>
    <w:rsid w:val="00E50EB9"/>
    <w:rsid w:val="00E51196"/>
    <w:rsid w:val="00E55086"/>
    <w:rsid w:val="00EA5894"/>
    <w:rsid w:val="00EF2DB5"/>
    <w:rsid w:val="00F048CB"/>
    <w:rsid w:val="00F15DF9"/>
    <w:rsid w:val="00F47035"/>
    <w:rsid w:val="00F4703F"/>
    <w:rsid w:val="00F512E2"/>
    <w:rsid w:val="00FA4844"/>
    <w:rsid w:val="00FB40FB"/>
    <w:rsid w:val="00FD4E96"/>
    <w:rsid w:val="00FE4306"/>
    <w:rsid w:val="00FF0F07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DE16B4-0B40-40CC-A0CB-9E21CCDF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238"/>
    <w:pPr>
      <w:widowControl w:val="0"/>
      <w:jc w:val="both"/>
    </w:pPr>
    <w:rPr>
      <w:rFonts w:ascii="Times New Roman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042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80423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804238"/>
    <w:rPr>
      <w:sz w:val="21"/>
      <w:szCs w:val="21"/>
    </w:rPr>
  </w:style>
  <w:style w:type="paragraph" w:styleId="a4">
    <w:name w:val="annotation text"/>
    <w:basedOn w:val="a"/>
    <w:link w:val="Char"/>
    <w:uiPriority w:val="99"/>
    <w:rsid w:val="00804238"/>
    <w:pPr>
      <w:jc w:val="left"/>
    </w:pPr>
  </w:style>
  <w:style w:type="character" w:customStyle="1" w:styleId="Char">
    <w:name w:val="批注文字 Char"/>
    <w:basedOn w:val="a0"/>
    <w:link w:val="a4"/>
    <w:uiPriority w:val="99"/>
    <w:rsid w:val="00804238"/>
    <w:rPr>
      <w:rFonts w:ascii="Times New Roman" w:eastAsia="宋体" w:hAnsi="Times New Roman" w:cs="Times New Roman"/>
      <w:szCs w:val="24"/>
    </w:rPr>
  </w:style>
  <w:style w:type="paragraph" w:styleId="a5">
    <w:name w:val="annotation subject"/>
    <w:basedOn w:val="a4"/>
    <w:next w:val="a4"/>
    <w:link w:val="Char0"/>
    <w:uiPriority w:val="99"/>
    <w:rsid w:val="00804238"/>
    <w:rPr>
      <w:b/>
      <w:bCs/>
    </w:rPr>
  </w:style>
  <w:style w:type="character" w:customStyle="1" w:styleId="Char0">
    <w:name w:val="批注主题 Char"/>
    <w:basedOn w:val="Char"/>
    <w:link w:val="a5"/>
    <w:uiPriority w:val="99"/>
    <w:rsid w:val="00804238"/>
    <w:rPr>
      <w:rFonts w:ascii="Times New Roman" w:eastAsia="宋体" w:hAnsi="Times New Roman" w:cs="Times New Roman"/>
      <w:b/>
      <w:bCs/>
      <w:szCs w:val="24"/>
    </w:rPr>
  </w:style>
  <w:style w:type="paragraph" w:styleId="a6">
    <w:name w:val="Balloon Text"/>
    <w:basedOn w:val="a"/>
    <w:link w:val="Char1"/>
    <w:uiPriority w:val="99"/>
    <w:rsid w:val="008042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rsid w:val="00804238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uiPriority w:val="99"/>
    <w:rsid w:val="00804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804238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3"/>
    <w:uiPriority w:val="99"/>
    <w:rsid w:val="00804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804238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804238"/>
    <w:rPr>
      <w:rFonts w:ascii="宋体" w:eastAsia="宋体" w:hAnsi="宋体" w:cs="宋体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rsid w:val="00804238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80423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sk-title">
    <w:name w:val="ask-title"/>
    <w:basedOn w:val="a0"/>
    <w:rsid w:val="00804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1171</Words>
  <Characters>6677</Characters>
  <Application>Microsoft Office Word</Application>
  <DocSecurity>0</DocSecurity>
  <Lines>55</Lines>
  <Paragraphs>15</Paragraphs>
  <ScaleCrop>false</ScaleCrop>
  <Company>Microsoft</Company>
  <LinksUpToDate>false</LinksUpToDate>
  <CharactersWithSpaces>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HX</cp:lastModifiedBy>
  <cp:revision>11</cp:revision>
  <dcterms:created xsi:type="dcterms:W3CDTF">2020-02-16T08:32:00Z</dcterms:created>
  <dcterms:modified xsi:type="dcterms:W3CDTF">2020-05-29T10:11:00Z</dcterms:modified>
</cp:coreProperties>
</file>