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7F" w:rsidRPr="006557EF" w:rsidRDefault="00966F7F" w:rsidP="00F72345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6557EF">
        <w:rPr>
          <w:rFonts w:ascii="宋体" w:hAnsi="宋体" w:hint="eastAsia"/>
          <w:bCs/>
          <w:iCs/>
          <w:color w:val="000000"/>
          <w:sz w:val="24"/>
        </w:rPr>
        <w:t>证券代码：000031                        证券简称：</w:t>
      </w:r>
      <w:r w:rsidR="00743FE6" w:rsidRPr="006557EF">
        <w:rPr>
          <w:rFonts w:ascii="宋体" w:hAnsi="宋体" w:hint="eastAsia"/>
          <w:bCs/>
          <w:iCs/>
          <w:color w:val="000000"/>
          <w:sz w:val="24"/>
        </w:rPr>
        <w:t>大悦城</w:t>
      </w:r>
    </w:p>
    <w:p w:rsidR="00966F7F" w:rsidRPr="006557EF" w:rsidRDefault="00743FE6" w:rsidP="00F72345">
      <w:pPr>
        <w:spacing w:beforeLines="50" w:afterLines="50" w:line="400" w:lineRule="exact"/>
        <w:jc w:val="center"/>
        <w:rPr>
          <w:rFonts w:ascii="黑体" w:eastAsia="黑体" w:hAnsi="黑体"/>
          <w:bCs/>
          <w:iCs/>
          <w:color w:val="000000"/>
          <w:sz w:val="28"/>
          <w:szCs w:val="28"/>
        </w:rPr>
      </w:pPr>
      <w:r w:rsidRPr="006557EF">
        <w:rPr>
          <w:rFonts w:ascii="黑体" w:eastAsia="黑体" w:hAnsi="黑体" w:hint="eastAsia"/>
          <w:bCs/>
          <w:iCs/>
          <w:color w:val="000000"/>
          <w:sz w:val="28"/>
          <w:szCs w:val="28"/>
        </w:rPr>
        <w:t>大悦城控股集团股份有限公司</w:t>
      </w:r>
      <w:r w:rsidR="00966F7F" w:rsidRPr="006557EF">
        <w:rPr>
          <w:rFonts w:ascii="黑体" w:eastAsia="黑体" w:hAnsi="黑体" w:hint="eastAsia"/>
          <w:bCs/>
          <w:iCs/>
          <w:color w:val="000000"/>
          <w:sz w:val="28"/>
          <w:szCs w:val="28"/>
        </w:rPr>
        <w:t>投资者关系活动记录表</w:t>
      </w:r>
    </w:p>
    <w:p w:rsidR="00966F7F" w:rsidRPr="006557EF" w:rsidRDefault="00966F7F" w:rsidP="00E45CCD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 w:rsidRPr="006557EF">
        <w:rPr>
          <w:rFonts w:ascii="宋体" w:hAnsi="宋体" w:hint="eastAsia"/>
          <w:bCs/>
          <w:iCs/>
          <w:color w:val="000000"/>
          <w:sz w:val="24"/>
        </w:rPr>
        <w:t>编号：</w:t>
      </w:r>
      <w:r w:rsidR="002F38E0" w:rsidRPr="006557EF">
        <w:rPr>
          <w:rFonts w:ascii="宋体" w:hAnsi="宋体" w:hint="eastAsia"/>
          <w:bCs/>
          <w:iCs/>
          <w:color w:val="000000"/>
          <w:sz w:val="24"/>
        </w:rPr>
        <w:t>20</w:t>
      </w:r>
      <w:r w:rsidR="00F72345">
        <w:rPr>
          <w:rFonts w:ascii="宋体" w:hAnsi="宋体" w:hint="eastAsia"/>
          <w:bCs/>
          <w:iCs/>
          <w:color w:val="000000"/>
          <w:sz w:val="24"/>
        </w:rPr>
        <w:t>20</w:t>
      </w:r>
      <w:r w:rsidR="00951E64" w:rsidRPr="006557EF">
        <w:rPr>
          <w:rFonts w:ascii="宋体" w:hAnsi="宋体" w:hint="eastAsia"/>
          <w:bCs/>
          <w:iCs/>
          <w:color w:val="000000"/>
          <w:sz w:val="24"/>
        </w:rPr>
        <w:t>-</w:t>
      </w:r>
      <w:r w:rsidR="00BD21BB" w:rsidRPr="006557EF">
        <w:rPr>
          <w:rFonts w:ascii="宋体" w:hAnsi="宋体" w:hint="eastAsia"/>
          <w:bCs/>
          <w:iCs/>
          <w:color w:val="000000"/>
          <w:sz w:val="24"/>
        </w:rPr>
        <w:t>00</w:t>
      </w:r>
      <w:r w:rsidR="00F72345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229"/>
      </w:tblGrid>
      <w:tr w:rsidR="00966F7F" w:rsidRPr="00BD21BB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FA0B97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966F7F" w:rsidRPr="006557E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66F7F" w:rsidRPr="006557EF">
              <w:rPr>
                <w:rFonts w:ascii="宋体" w:hAnsi="宋体" w:hint="eastAsia"/>
                <w:sz w:val="24"/>
              </w:rPr>
              <w:t>分析师会议</w:t>
            </w:r>
          </w:p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业绩说明会</w:t>
            </w:r>
          </w:p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FA0B9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路演活动</w:t>
            </w:r>
          </w:p>
          <w:p w:rsidR="00966F7F" w:rsidRPr="006557EF" w:rsidRDefault="00966F7F" w:rsidP="001A08B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现场参观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966F7F" w:rsidRPr="006557EF" w:rsidRDefault="00966F7F" w:rsidP="001A08B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6557EF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6557EF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5A1C71" w:rsidRDefault="00F72345" w:rsidP="00B952A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清水源投资   吴伟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F7234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BD21BB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C36C29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02</w:t>
            </w:r>
            <w:r w:rsidR="00BD21BB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0F3A3D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3001E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00</w:t>
            </w:r>
            <w:r w:rsidR="00962DAD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C36C29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3001E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00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F72345" w:rsidP="00F7234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深圳市大中华国际交易广场35楼会议室&amp;电话会议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F" w:rsidRPr="005D100F" w:rsidRDefault="00F72345" w:rsidP="004356C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资本市场部    王敏、赵东亚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5" w:rsidRPr="00C91BA0" w:rsidRDefault="00C91BA0" w:rsidP="00C91BA0">
            <w:pPr>
              <w:pStyle w:val="Default"/>
              <w:spacing w:line="360" w:lineRule="auto"/>
              <w:ind w:firstLineChars="200" w:firstLine="482"/>
              <w:jc w:val="both"/>
              <w:rPr>
                <w:rFonts w:hAnsi="宋体" w:cs="Times New Roman" w:hint="eastAsia"/>
                <w:b/>
                <w:bCs/>
                <w:iCs/>
                <w:kern w:val="2"/>
              </w:rPr>
            </w:pPr>
            <w:r w:rsidRPr="00C91BA0">
              <w:rPr>
                <w:rFonts w:hAnsi="宋体" w:cs="Times New Roman" w:hint="eastAsia"/>
                <w:b/>
                <w:bCs/>
                <w:iCs/>
                <w:kern w:val="2"/>
              </w:rPr>
              <w:t>1、公司2020年一季度的经营情况</w:t>
            </w:r>
          </w:p>
          <w:p w:rsidR="00C91BA0" w:rsidRPr="00C91BA0" w:rsidRDefault="00C91BA0" w:rsidP="00C91BA0">
            <w:pPr>
              <w:pStyle w:val="Default"/>
              <w:spacing w:line="360" w:lineRule="auto"/>
              <w:ind w:firstLineChars="200" w:firstLine="480"/>
              <w:rPr>
                <w:rFonts w:hAnsi="宋体" w:cs="Times New Roman" w:hint="eastAsia"/>
                <w:bCs/>
                <w:iCs/>
                <w:kern w:val="2"/>
              </w:rPr>
            </w:pPr>
            <w:r w:rsidRPr="00C91BA0">
              <w:rPr>
                <w:rFonts w:hAnsi="宋体" w:cs="Times New Roman" w:hint="eastAsia"/>
                <w:bCs/>
                <w:iCs/>
                <w:kern w:val="2"/>
              </w:rPr>
              <w:t>公司2020年一季度营业收入54.59亿元，同比减少35.16%；</w:t>
            </w:r>
            <w:proofErr w:type="gramStart"/>
            <w:r w:rsidRPr="00C91BA0">
              <w:rPr>
                <w:rFonts w:hAnsi="宋体" w:cs="Times New Roman" w:hint="eastAsia"/>
                <w:bCs/>
                <w:iCs/>
                <w:kern w:val="2"/>
              </w:rPr>
              <w:t>归母净利润</w:t>
            </w:r>
            <w:proofErr w:type="gramEnd"/>
            <w:r w:rsidRPr="00C91BA0">
              <w:rPr>
                <w:rFonts w:hAnsi="宋体" w:cs="Times New Roman" w:hint="eastAsia"/>
                <w:bCs/>
                <w:iCs/>
                <w:kern w:val="2"/>
              </w:rPr>
              <w:t>1.9亿元，同比减少84.02%；扣除非经常性损益</w:t>
            </w:r>
            <w:proofErr w:type="gramStart"/>
            <w:r w:rsidRPr="00C91BA0">
              <w:rPr>
                <w:rFonts w:hAnsi="宋体" w:cs="Times New Roman" w:hint="eastAsia"/>
                <w:bCs/>
                <w:iCs/>
                <w:kern w:val="2"/>
              </w:rPr>
              <w:t>归母净利润</w:t>
            </w:r>
            <w:proofErr w:type="gramEnd"/>
            <w:r w:rsidRPr="00C91BA0">
              <w:rPr>
                <w:rFonts w:hAnsi="宋体" w:cs="Times New Roman" w:hint="eastAsia"/>
                <w:bCs/>
                <w:iCs/>
                <w:kern w:val="2"/>
              </w:rPr>
              <w:t>1.97亿元，同比减少82.47%。经营活动产生的现金流量净额-25.38亿元，同比减少1856.43%；基本每股收益、稀释每股收益均为0.04元/股，同比减少86.67%；加权平均净资产收益率0.97%，同比减少6.29个百分点。</w:t>
            </w:r>
          </w:p>
          <w:p w:rsidR="00F72345" w:rsidRDefault="00C91BA0" w:rsidP="00C91BA0">
            <w:pPr>
              <w:pStyle w:val="Default"/>
              <w:spacing w:line="360" w:lineRule="auto"/>
              <w:ind w:firstLineChars="200" w:firstLine="480"/>
              <w:jc w:val="both"/>
              <w:rPr>
                <w:rFonts w:hAnsi="宋体" w:cs="Times New Roman" w:hint="eastAsia"/>
                <w:bCs/>
                <w:iCs/>
                <w:kern w:val="2"/>
              </w:rPr>
            </w:pPr>
            <w:r w:rsidRPr="00C91BA0">
              <w:rPr>
                <w:rFonts w:hAnsi="宋体" w:cs="Times New Roman" w:hint="eastAsia"/>
                <w:bCs/>
                <w:iCs/>
                <w:kern w:val="2"/>
              </w:rPr>
              <w:t>截止2020年3月31日，公司总资产1922.29亿元，比上年度末增加4.37%；归母净资产192.92亿元，比上年度末减少0.32%。资产负债率77.73%。</w:t>
            </w:r>
          </w:p>
          <w:p w:rsidR="00D6317A" w:rsidRDefault="00D6317A" w:rsidP="00D6317A">
            <w:pPr>
              <w:pStyle w:val="Default"/>
              <w:spacing w:line="360" w:lineRule="auto"/>
              <w:jc w:val="both"/>
              <w:rPr>
                <w:rFonts w:hAnsi="宋体" w:cs="Times New Roman" w:hint="eastAsia"/>
                <w:bCs/>
                <w:iCs/>
                <w:kern w:val="2"/>
              </w:rPr>
            </w:pPr>
          </w:p>
          <w:p w:rsidR="00D6317A" w:rsidRDefault="00D6317A" w:rsidP="00D6317A">
            <w:pPr>
              <w:pStyle w:val="Default"/>
              <w:spacing w:line="360" w:lineRule="auto"/>
              <w:ind w:firstLineChars="200" w:firstLine="482"/>
              <w:jc w:val="both"/>
              <w:rPr>
                <w:rFonts w:hAnsi="宋体" w:cs="Times New Roman" w:hint="eastAsia"/>
                <w:bCs/>
                <w:iCs/>
                <w:kern w:val="2"/>
              </w:rPr>
            </w:pPr>
            <w:r>
              <w:rPr>
                <w:rFonts w:hAnsi="宋体" w:cs="Times New Roman" w:hint="eastAsia"/>
                <w:b/>
                <w:bCs/>
                <w:iCs/>
                <w:kern w:val="2"/>
              </w:rPr>
              <w:t>2、</w:t>
            </w:r>
            <w:r w:rsidRPr="00F72345">
              <w:rPr>
                <w:rFonts w:hAnsi="宋体" w:cs="Times New Roman" w:hint="eastAsia"/>
                <w:b/>
                <w:bCs/>
                <w:iCs/>
                <w:kern w:val="2"/>
              </w:rPr>
              <w:t>疫情对</w:t>
            </w:r>
            <w:r>
              <w:rPr>
                <w:rFonts w:hAnsi="宋体" w:cs="Times New Roman" w:hint="eastAsia"/>
                <w:b/>
                <w:bCs/>
                <w:iCs/>
                <w:kern w:val="2"/>
              </w:rPr>
              <w:t>公司</w:t>
            </w:r>
            <w:r w:rsidRPr="00F72345">
              <w:rPr>
                <w:rFonts w:hAnsi="宋体" w:cs="Times New Roman" w:hint="eastAsia"/>
                <w:b/>
                <w:bCs/>
                <w:iCs/>
                <w:kern w:val="2"/>
              </w:rPr>
              <w:t>的影响</w:t>
            </w:r>
            <w:r>
              <w:rPr>
                <w:rFonts w:hAnsi="宋体" w:cs="Times New Roman" w:hint="eastAsia"/>
                <w:b/>
                <w:bCs/>
                <w:iCs/>
                <w:kern w:val="2"/>
              </w:rPr>
              <w:t>以及公司采取的措施</w:t>
            </w:r>
          </w:p>
          <w:p w:rsidR="00D6317A" w:rsidRDefault="00D6317A" w:rsidP="00F72345">
            <w:pPr>
              <w:pStyle w:val="Default"/>
              <w:spacing w:line="360" w:lineRule="auto"/>
              <w:ind w:firstLineChars="200" w:firstLine="480"/>
              <w:jc w:val="both"/>
              <w:rPr>
                <w:rFonts w:hAnsi="宋体" w:cs="Times New Roman" w:hint="eastAsia"/>
                <w:bCs/>
                <w:iCs/>
                <w:kern w:val="2"/>
              </w:rPr>
            </w:pPr>
            <w:r w:rsidRPr="00D6317A">
              <w:rPr>
                <w:rFonts w:hAnsi="宋体" w:cs="Times New Roman" w:hint="eastAsia"/>
                <w:bCs/>
                <w:iCs/>
                <w:kern w:val="2"/>
              </w:rPr>
              <w:t>2020年初爆发的2019新型冠状病毒疫情（以下简称“疫情”）对中国各行各业都带来了重大影响。</w:t>
            </w:r>
            <w:r w:rsidRPr="00F72345">
              <w:rPr>
                <w:rFonts w:hAnsi="宋体" w:cs="Times New Roman" w:hint="eastAsia"/>
                <w:bCs/>
                <w:iCs/>
                <w:kern w:val="2"/>
              </w:rPr>
              <w:t>疫情是一个突发事件，从短期来看对单铺有一定的影响。但随着生活秩序不断的恢复，政府也出</w:t>
            </w:r>
            <w:r w:rsidRPr="00F72345">
              <w:rPr>
                <w:rFonts w:hAnsi="宋体" w:cs="Times New Roman" w:hint="eastAsia"/>
                <w:bCs/>
                <w:iCs/>
                <w:kern w:val="2"/>
              </w:rPr>
              <w:lastRenderedPageBreak/>
              <w:t>台了各项措施，购物中心将合理的规划节奏，一方面严控成本，降低费用。另一方面，将通过大悦城特色的IP进行SP活动，遵循市场规律，逐步推进市场的复苏，加速恢复及发展。此外，由于已开业的大悦城基本位于一线或者二线城市的核心位置，整体经营状况比较良好，所以从长远角度，整体商业估值受影响不大。</w:t>
            </w:r>
          </w:p>
          <w:p w:rsidR="00F72345" w:rsidRDefault="00D6317A" w:rsidP="00F72345">
            <w:pPr>
              <w:pStyle w:val="Default"/>
              <w:spacing w:line="360" w:lineRule="auto"/>
              <w:ind w:firstLineChars="200" w:firstLine="480"/>
              <w:jc w:val="both"/>
              <w:rPr>
                <w:rFonts w:hAnsi="宋体" w:cs="Times New Roman" w:hint="eastAsia"/>
                <w:bCs/>
                <w:iCs/>
                <w:kern w:val="2"/>
              </w:rPr>
            </w:pPr>
            <w:r w:rsidRPr="00D6317A">
              <w:rPr>
                <w:rFonts w:hAnsi="宋体" w:cs="Times New Roman" w:hint="eastAsia"/>
                <w:bCs/>
                <w:iCs/>
                <w:kern w:val="2"/>
              </w:rPr>
              <w:t>为应对疫情影响，公司积极采取各项措施：一方面，通过减免租金、帮扶商户</w:t>
            </w:r>
            <w:proofErr w:type="gramStart"/>
            <w:r w:rsidRPr="00D6317A">
              <w:rPr>
                <w:rFonts w:hAnsi="宋体" w:cs="Times New Roman" w:hint="eastAsia"/>
                <w:bCs/>
                <w:iCs/>
                <w:kern w:val="2"/>
              </w:rPr>
              <w:t>履行央企责任</w:t>
            </w:r>
            <w:proofErr w:type="gramEnd"/>
            <w:r w:rsidRPr="00D6317A">
              <w:rPr>
                <w:rFonts w:hAnsi="宋体" w:cs="Times New Roman" w:hint="eastAsia"/>
                <w:bCs/>
                <w:iCs/>
                <w:kern w:val="2"/>
              </w:rPr>
              <w:t>；另一方面，在做好疫情防控的情况下，通过有序复工、加强成本控制、积极申请政府各项补贴以及开展产品创新、</w:t>
            </w:r>
            <w:proofErr w:type="gramStart"/>
            <w:r w:rsidRPr="00D6317A">
              <w:rPr>
                <w:rFonts w:hAnsi="宋体" w:cs="Times New Roman" w:hint="eastAsia"/>
                <w:bCs/>
                <w:iCs/>
                <w:kern w:val="2"/>
              </w:rPr>
              <w:t>整合线</w:t>
            </w:r>
            <w:proofErr w:type="gramEnd"/>
            <w:r w:rsidRPr="00D6317A">
              <w:rPr>
                <w:rFonts w:hAnsi="宋体" w:cs="Times New Roman" w:hint="eastAsia"/>
                <w:bCs/>
                <w:iCs/>
                <w:kern w:val="2"/>
              </w:rPr>
              <w:t>上营销等多项举措追回业绩。</w:t>
            </w:r>
          </w:p>
          <w:p w:rsidR="00C91BA0" w:rsidRPr="00C91BA0" w:rsidRDefault="00C91BA0" w:rsidP="00EA1268">
            <w:pPr>
              <w:pStyle w:val="Default"/>
              <w:spacing w:line="360" w:lineRule="auto"/>
              <w:jc w:val="both"/>
              <w:rPr>
                <w:rFonts w:hAnsi="宋体" w:cs="Times New Roman" w:hint="eastAsia"/>
                <w:bCs/>
                <w:iCs/>
                <w:kern w:val="2"/>
              </w:rPr>
            </w:pPr>
          </w:p>
          <w:p w:rsidR="00C91BA0" w:rsidRPr="00C91BA0" w:rsidRDefault="00C91BA0" w:rsidP="00C91BA0">
            <w:pPr>
              <w:pStyle w:val="Default"/>
              <w:spacing w:line="360" w:lineRule="auto"/>
              <w:ind w:firstLineChars="200" w:firstLine="482"/>
              <w:jc w:val="both"/>
              <w:rPr>
                <w:rFonts w:hAnsi="宋体" w:cs="Times New Roman" w:hint="eastAsia"/>
                <w:b/>
                <w:bCs/>
                <w:iCs/>
                <w:kern w:val="2"/>
              </w:rPr>
            </w:pPr>
            <w:r w:rsidRPr="00C91BA0">
              <w:rPr>
                <w:rFonts w:hAnsi="宋体" w:cs="Times New Roman" w:hint="eastAsia"/>
                <w:b/>
                <w:bCs/>
                <w:iCs/>
                <w:kern w:val="2"/>
              </w:rPr>
              <w:t>3、</w:t>
            </w:r>
            <w:r w:rsidR="00EA1268" w:rsidRPr="00EA1268">
              <w:rPr>
                <w:rFonts w:hAnsi="宋体" w:cs="Times New Roman" w:hint="eastAsia"/>
                <w:b/>
                <w:bCs/>
                <w:iCs/>
                <w:kern w:val="2"/>
              </w:rPr>
              <w:t>深圳城市更新项目的进展</w:t>
            </w:r>
            <w:r w:rsidRPr="00C91BA0">
              <w:rPr>
                <w:rFonts w:hAnsi="宋体" w:cs="Times New Roman" w:hint="eastAsia"/>
                <w:b/>
                <w:bCs/>
                <w:iCs/>
                <w:kern w:val="2"/>
              </w:rPr>
              <w:t xml:space="preserve"> </w:t>
            </w:r>
          </w:p>
          <w:p w:rsidR="00EA1268" w:rsidRPr="00EE3BBC" w:rsidRDefault="00EA1268" w:rsidP="00EA1268">
            <w:pPr>
              <w:adjustRightInd w:val="0"/>
              <w:snapToGrid w:val="0"/>
              <w:spacing w:before="40" w:after="40" w:line="360" w:lineRule="auto"/>
              <w:ind w:firstLineChars="200" w:firstLine="480"/>
              <w:rPr>
                <w:rFonts w:ascii="宋体" w:cs="宋体"/>
                <w:sz w:val="24"/>
              </w:rPr>
            </w:pPr>
            <w:r w:rsidRPr="00EE3BBC">
              <w:rPr>
                <w:rFonts w:ascii="宋体" w:cs="宋体" w:hint="eastAsia"/>
                <w:sz w:val="24"/>
              </w:rPr>
              <w:t>公司积极参与城市更新，通过城市更新方式获取项目。目前，除在售的深圳中</w:t>
            </w:r>
            <w:proofErr w:type="gramStart"/>
            <w:r w:rsidRPr="00EE3BBC">
              <w:rPr>
                <w:rFonts w:ascii="宋体" w:cs="宋体" w:hint="eastAsia"/>
                <w:sz w:val="24"/>
              </w:rPr>
              <w:t>粮天悦</w:t>
            </w:r>
            <w:proofErr w:type="gramEnd"/>
            <w:r w:rsidRPr="00EE3BBC">
              <w:rPr>
                <w:rFonts w:ascii="宋体" w:cs="宋体" w:hint="eastAsia"/>
                <w:sz w:val="24"/>
              </w:rPr>
              <w:t>壹号、深圳祥云国际、深圳云景国际、</w:t>
            </w:r>
            <w:r w:rsidRPr="00EE3BBC">
              <w:rPr>
                <w:rFonts w:ascii="宋体" w:cs="宋体"/>
                <w:sz w:val="24"/>
              </w:rPr>
              <w:t>69</w:t>
            </w:r>
            <w:proofErr w:type="gramStart"/>
            <w:r w:rsidRPr="00EE3BBC">
              <w:rPr>
                <w:rFonts w:ascii="宋体" w:cs="宋体" w:hint="eastAsia"/>
                <w:sz w:val="24"/>
              </w:rPr>
              <w:t>区创芯研发</w:t>
            </w:r>
            <w:proofErr w:type="gramEnd"/>
            <w:r w:rsidRPr="00EE3BBC">
              <w:rPr>
                <w:rFonts w:ascii="宋体" w:cs="宋体" w:hint="eastAsia"/>
                <w:sz w:val="24"/>
              </w:rPr>
              <w:t>中心等城市更新项目外，公司还申报了深圳宝安</w:t>
            </w:r>
            <w:r w:rsidRPr="00EE3BBC">
              <w:rPr>
                <w:rFonts w:ascii="宋体" w:cs="宋体"/>
                <w:sz w:val="24"/>
              </w:rPr>
              <w:t>25</w:t>
            </w:r>
            <w:r w:rsidRPr="00EE3BBC">
              <w:rPr>
                <w:rFonts w:ascii="宋体" w:cs="宋体" w:hint="eastAsia"/>
                <w:sz w:val="24"/>
              </w:rPr>
              <w:t>区城市更新项目（简称“</w:t>
            </w:r>
            <w:r w:rsidRPr="00EE3BBC">
              <w:rPr>
                <w:rFonts w:ascii="宋体" w:cs="宋体"/>
                <w:sz w:val="24"/>
              </w:rPr>
              <w:t>25</w:t>
            </w:r>
            <w:r w:rsidRPr="00EE3BBC">
              <w:rPr>
                <w:rFonts w:ascii="宋体" w:cs="宋体" w:hint="eastAsia"/>
                <w:sz w:val="24"/>
              </w:rPr>
              <w:t>区项目”）、深圳金帝食品厂城市更新项目（简称“福田大悦中心项目”）、深圳宝安区长营地块城市更新单元</w:t>
            </w:r>
            <w:r>
              <w:rPr>
                <w:rFonts w:ascii="宋体" w:cs="宋体" w:hint="eastAsia"/>
                <w:sz w:val="24"/>
              </w:rPr>
              <w:t>及</w:t>
            </w:r>
            <w:r w:rsidRPr="00EE3BBC">
              <w:rPr>
                <w:rFonts w:ascii="宋体" w:cs="宋体" w:hint="eastAsia"/>
                <w:sz w:val="24"/>
              </w:rPr>
              <w:t>深圳宝安区全一地块城市更新单元（合称</w:t>
            </w:r>
            <w:r w:rsidRPr="00EE3BBC">
              <w:rPr>
                <w:rFonts w:ascii="宋体" w:cs="宋体"/>
                <w:sz w:val="24"/>
              </w:rPr>
              <w:t>“</w:t>
            </w:r>
            <w:r w:rsidRPr="00EE3BBC">
              <w:rPr>
                <w:rFonts w:ascii="宋体" w:cs="宋体" w:hint="eastAsia"/>
                <w:sz w:val="24"/>
              </w:rPr>
              <w:t>固戍项目</w:t>
            </w:r>
            <w:r w:rsidRPr="00EE3BBC">
              <w:rPr>
                <w:rFonts w:ascii="宋体" w:cs="宋体"/>
                <w:sz w:val="24"/>
              </w:rPr>
              <w:t>”</w:t>
            </w:r>
            <w:r w:rsidRPr="00EE3BBC">
              <w:rPr>
                <w:rFonts w:ascii="宋体" w:cs="宋体" w:hint="eastAsia"/>
                <w:sz w:val="24"/>
              </w:rPr>
              <w:t>）、深圳宝安区福海街道的大洋工业统筹片区启动区城市更新项目（简称“大洋工业统筹片区项目”）等项目。</w:t>
            </w:r>
            <w:r w:rsidR="00EE3518">
              <w:rPr>
                <w:rFonts w:ascii="宋体" w:cs="宋体" w:hint="eastAsia"/>
                <w:sz w:val="24"/>
              </w:rPr>
              <w:t>2019年末</w:t>
            </w:r>
            <w:r w:rsidRPr="00EE3BBC">
              <w:rPr>
                <w:rFonts w:ascii="宋体" w:cs="宋体" w:hint="eastAsia"/>
                <w:sz w:val="24"/>
              </w:rPr>
              <w:t>进展如下：</w:t>
            </w:r>
          </w:p>
          <w:p w:rsidR="00EA1268" w:rsidRPr="00EE3BBC" w:rsidRDefault="00EA1268" w:rsidP="00EA1268">
            <w:pPr>
              <w:adjustRightInd w:val="0"/>
              <w:snapToGrid w:val="0"/>
              <w:spacing w:before="40" w:after="40" w:line="360" w:lineRule="auto"/>
              <w:ind w:firstLineChars="200" w:firstLine="482"/>
              <w:rPr>
                <w:rFonts w:ascii="宋体" w:cs="宋体"/>
                <w:sz w:val="24"/>
              </w:rPr>
            </w:pPr>
            <w:r w:rsidRPr="00EE3BBC">
              <w:rPr>
                <w:rFonts w:ascii="宋体" w:cs="宋体"/>
                <w:b/>
                <w:sz w:val="24"/>
              </w:rPr>
              <w:t>25</w:t>
            </w:r>
            <w:r w:rsidRPr="00EE3BBC">
              <w:rPr>
                <w:rFonts w:ascii="宋体" w:cs="宋体" w:hint="eastAsia"/>
                <w:b/>
                <w:sz w:val="24"/>
              </w:rPr>
              <w:t>区项目：</w:t>
            </w:r>
            <w:r w:rsidRPr="00EE3BBC">
              <w:rPr>
                <w:rFonts w:ascii="宋体" w:cs="宋体" w:hint="eastAsia"/>
                <w:sz w:val="24"/>
              </w:rPr>
              <w:t>一期A项目处于开发建设阶段，所有塔楼已封顶，并于2019年10月份开始销售。一期B项目已完成拆迁谈判，目前正在进行建筑物拆除，预计</w:t>
            </w:r>
            <w:r>
              <w:rPr>
                <w:rFonts w:ascii="宋体" w:cs="宋体" w:hint="eastAsia"/>
                <w:sz w:val="24"/>
              </w:rPr>
              <w:t>2020年</w:t>
            </w:r>
            <w:r w:rsidRPr="00EE3BBC">
              <w:rPr>
                <w:rFonts w:ascii="宋体" w:cs="宋体" w:hint="eastAsia"/>
                <w:sz w:val="24"/>
              </w:rPr>
              <w:t>3月中旬进行基坑动工。一期C项目</w:t>
            </w:r>
            <w:r>
              <w:rPr>
                <w:rFonts w:ascii="宋体" w:cs="宋体" w:hint="eastAsia"/>
                <w:sz w:val="24"/>
              </w:rPr>
              <w:t>预计2020年</w:t>
            </w:r>
            <w:r w:rsidRPr="00EE3BBC">
              <w:rPr>
                <w:rFonts w:ascii="宋体" w:cs="宋体" w:hint="eastAsia"/>
                <w:sz w:val="24"/>
              </w:rPr>
              <w:t>6月底完成实施主体确认。</w:t>
            </w:r>
          </w:p>
          <w:p w:rsidR="00EA1268" w:rsidRPr="00EE3BBC" w:rsidRDefault="00EA1268" w:rsidP="00EA1268">
            <w:pPr>
              <w:adjustRightInd w:val="0"/>
              <w:snapToGrid w:val="0"/>
              <w:spacing w:before="40" w:after="40" w:line="360" w:lineRule="auto"/>
              <w:ind w:firstLineChars="200" w:firstLine="482"/>
              <w:rPr>
                <w:rFonts w:ascii="宋体" w:cs="宋体"/>
                <w:sz w:val="24"/>
              </w:rPr>
            </w:pPr>
            <w:r w:rsidRPr="00EE3BBC">
              <w:rPr>
                <w:rFonts w:ascii="宋体" w:cs="宋体" w:hint="eastAsia"/>
                <w:b/>
                <w:sz w:val="24"/>
              </w:rPr>
              <w:t>福田大</w:t>
            </w:r>
            <w:proofErr w:type="gramStart"/>
            <w:r w:rsidRPr="00EE3BBC">
              <w:rPr>
                <w:rFonts w:ascii="宋体" w:cs="宋体" w:hint="eastAsia"/>
                <w:b/>
                <w:sz w:val="24"/>
              </w:rPr>
              <w:t>悦中心</w:t>
            </w:r>
            <w:proofErr w:type="gramEnd"/>
            <w:r w:rsidRPr="00EE3BBC">
              <w:rPr>
                <w:rFonts w:ascii="宋体" w:cs="宋体" w:hint="eastAsia"/>
                <w:b/>
                <w:sz w:val="24"/>
              </w:rPr>
              <w:t>项目（原金帝项目）：</w:t>
            </w:r>
            <w:r w:rsidRPr="00EE3BBC">
              <w:rPr>
                <w:rFonts w:ascii="宋体" w:cs="宋体" w:hint="eastAsia"/>
                <w:sz w:val="24"/>
              </w:rPr>
              <w:t>该项目于</w:t>
            </w:r>
            <w:r w:rsidRPr="00EE3BBC">
              <w:rPr>
                <w:rFonts w:ascii="宋体" w:cs="宋体"/>
                <w:sz w:val="24"/>
              </w:rPr>
              <w:t>2017</w:t>
            </w:r>
            <w:r w:rsidRPr="00EE3BBC">
              <w:rPr>
                <w:rFonts w:ascii="宋体" w:cs="宋体" w:hint="eastAsia"/>
                <w:sz w:val="24"/>
              </w:rPr>
              <w:t>年</w:t>
            </w:r>
            <w:r w:rsidRPr="00EE3BBC">
              <w:rPr>
                <w:rFonts w:ascii="宋体" w:cs="宋体"/>
                <w:sz w:val="24"/>
              </w:rPr>
              <w:t>9</w:t>
            </w:r>
            <w:r w:rsidRPr="00EE3BBC">
              <w:rPr>
                <w:rFonts w:ascii="宋体" w:cs="宋体" w:hint="eastAsia"/>
                <w:sz w:val="24"/>
              </w:rPr>
              <w:t>月规划草案公示，于</w:t>
            </w:r>
            <w:r w:rsidRPr="00EE3BBC">
              <w:rPr>
                <w:rFonts w:ascii="宋体" w:cs="宋体"/>
                <w:sz w:val="24"/>
              </w:rPr>
              <w:t>2017</w:t>
            </w:r>
            <w:r w:rsidRPr="00EE3BBC">
              <w:rPr>
                <w:rFonts w:ascii="宋体" w:cs="宋体" w:hint="eastAsia"/>
                <w:sz w:val="24"/>
              </w:rPr>
              <w:t>年</w:t>
            </w:r>
            <w:r w:rsidRPr="00EE3BBC">
              <w:rPr>
                <w:rFonts w:ascii="宋体" w:cs="宋体"/>
                <w:sz w:val="24"/>
              </w:rPr>
              <w:t>12</w:t>
            </w:r>
            <w:r w:rsidRPr="00EE3BBC">
              <w:rPr>
                <w:rFonts w:ascii="宋体" w:cs="宋体" w:hint="eastAsia"/>
                <w:sz w:val="24"/>
              </w:rPr>
              <w:t>月</w:t>
            </w:r>
            <w:r w:rsidRPr="00EE3BBC">
              <w:rPr>
                <w:rFonts w:ascii="宋体" w:cs="宋体"/>
                <w:sz w:val="24"/>
              </w:rPr>
              <w:t>28</w:t>
            </w:r>
            <w:r w:rsidRPr="00EE3BBC">
              <w:rPr>
                <w:rFonts w:ascii="宋体" w:cs="宋体" w:hint="eastAsia"/>
                <w:sz w:val="24"/>
              </w:rPr>
              <w:t>日取得专项规划批复，于</w:t>
            </w:r>
            <w:r w:rsidRPr="00EE3BBC">
              <w:rPr>
                <w:rFonts w:ascii="宋体" w:hAnsi="宋体"/>
                <w:sz w:val="24"/>
              </w:rPr>
              <w:t>2018</w:t>
            </w:r>
            <w:r w:rsidRPr="00EE3BBC">
              <w:rPr>
                <w:rFonts w:ascii="宋体" w:hAnsi="宋体" w:hint="eastAsia"/>
                <w:sz w:val="24"/>
              </w:rPr>
              <w:t>年</w:t>
            </w:r>
            <w:r w:rsidRPr="00EE3BBC">
              <w:rPr>
                <w:rFonts w:ascii="宋体" w:hAnsi="宋体"/>
                <w:sz w:val="24"/>
              </w:rPr>
              <w:t>4</w:t>
            </w:r>
            <w:r w:rsidRPr="00EE3BBC">
              <w:rPr>
                <w:rFonts w:ascii="宋体" w:hAnsi="宋体" w:hint="eastAsia"/>
                <w:sz w:val="24"/>
              </w:rPr>
              <w:t>月</w:t>
            </w:r>
            <w:r w:rsidRPr="00EE3BBC">
              <w:rPr>
                <w:rFonts w:ascii="宋体" w:hAnsi="宋体"/>
                <w:sz w:val="24"/>
              </w:rPr>
              <w:t>28</w:t>
            </w:r>
            <w:r w:rsidRPr="00EE3BBC">
              <w:rPr>
                <w:rFonts w:ascii="宋体" w:hAnsi="宋体" w:hint="eastAsia"/>
                <w:sz w:val="24"/>
              </w:rPr>
              <w:t>日取得实施主体确认书。</w:t>
            </w:r>
            <w:r w:rsidRPr="00EE3BBC">
              <w:rPr>
                <w:rFonts w:ascii="宋体" w:cs="宋体" w:hint="eastAsia"/>
                <w:sz w:val="24"/>
              </w:rPr>
              <w:t>该项目拟更新方向为新型产业等功能，更新单元用地面积</w:t>
            </w:r>
            <w:r w:rsidRPr="00EE3BBC">
              <w:rPr>
                <w:rFonts w:ascii="宋体" w:cs="宋体"/>
                <w:sz w:val="24"/>
              </w:rPr>
              <w:t xml:space="preserve">28,409.5 </w:t>
            </w:r>
            <w:r w:rsidRPr="00EE3BBC">
              <w:rPr>
                <w:rFonts w:ascii="宋体" w:cs="宋体" w:hint="eastAsia"/>
                <w:sz w:val="24"/>
              </w:rPr>
              <w:t>平方米，拆除用地面积</w:t>
            </w:r>
            <w:r w:rsidRPr="00EE3BBC">
              <w:rPr>
                <w:rFonts w:ascii="宋体" w:cs="宋体"/>
                <w:sz w:val="24"/>
              </w:rPr>
              <w:t xml:space="preserve">28,409.5 </w:t>
            </w:r>
            <w:r w:rsidRPr="00EE3BBC">
              <w:rPr>
                <w:rFonts w:ascii="宋体" w:cs="宋体" w:hint="eastAsia"/>
                <w:sz w:val="24"/>
              </w:rPr>
              <w:t>平方米，其中开发建设用地</w:t>
            </w:r>
            <w:r w:rsidRPr="00EE3BBC">
              <w:rPr>
                <w:rFonts w:ascii="宋体" w:cs="宋体"/>
                <w:sz w:val="24"/>
              </w:rPr>
              <w:t>24,147.5</w:t>
            </w:r>
            <w:r w:rsidRPr="00EE3BBC">
              <w:rPr>
                <w:rFonts w:ascii="宋体" w:cs="宋体" w:hint="eastAsia"/>
                <w:sz w:val="24"/>
              </w:rPr>
              <w:t>平方米，</w:t>
            </w:r>
            <w:proofErr w:type="gramStart"/>
            <w:r w:rsidRPr="00EE3BBC">
              <w:rPr>
                <w:rFonts w:ascii="宋体" w:cs="宋体" w:hint="eastAsia"/>
                <w:sz w:val="24"/>
              </w:rPr>
              <w:t>计容建筑面积</w:t>
            </w:r>
            <w:proofErr w:type="gramEnd"/>
            <w:r w:rsidRPr="00EE3BBC">
              <w:rPr>
                <w:rFonts w:ascii="宋体" w:cs="宋体"/>
                <w:sz w:val="24"/>
              </w:rPr>
              <w:t>144,810</w:t>
            </w:r>
            <w:r w:rsidRPr="00EE3BBC">
              <w:rPr>
                <w:rFonts w:ascii="宋体" w:cs="宋体" w:hint="eastAsia"/>
                <w:sz w:val="24"/>
              </w:rPr>
              <w:t>平方米。</w:t>
            </w:r>
            <w:r w:rsidRPr="00EE3BBC">
              <w:rPr>
                <w:rFonts w:ascii="宋体" w:cs="宋体"/>
                <w:sz w:val="24"/>
              </w:rPr>
              <w:t xml:space="preserve"> </w:t>
            </w:r>
            <w:r w:rsidRPr="00EE3BBC">
              <w:rPr>
                <w:rFonts w:ascii="宋体" w:hAnsi="宋体" w:hint="eastAsia"/>
                <w:sz w:val="24"/>
              </w:rPr>
              <w:t>目前已完成建筑物拆除，正处于设计方案深化</w:t>
            </w:r>
            <w:r w:rsidRPr="00EE3BBC">
              <w:rPr>
                <w:rFonts w:ascii="宋体" w:hAnsi="宋体" w:hint="eastAsia"/>
                <w:sz w:val="24"/>
              </w:rPr>
              <w:lastRenderedPageBreak/>
              <w:t>阶段。</w:t>
            </w:r>
          </w:p>
          <w:p w:rsidR="00EA1268" w:rsidRPr="00EE3BBC" w:rsidRDefault="00EA1268" w:rsidP="00EA1268">
            <w:pPr>
              <w:adjustRightInd w:val="0"/>
              <w:snapToGrid w:val="0"/>
              <w:spacing w:before="40" w:after="40" w:line="360" w:lineRule="auto"/>
              <w:ind w:firstLineChars="200" w:firstLine="482"/>
              <w:rPr>
                <w:rFonts w:ascii="宋体" w:cs="宋体"/>
                <w:sz w:val="24"/>
              </w:rPr>
            </w:pPr>
            <w:r w:rsidRPr="00EE3BBC">
              <w:rPr>
                <w:rFonts w:ascii="宋体" w:cs="宋体" w:hint="eastAsia"/>
                <w:b/>
                <w:sz w:val="24"/>
              </w:rPr>
              <w:t>固</w:t>
            </w:r>
            <w:proofErr w:type="gramStart"/>
            <w:r w:rsidRPr="00EE3BBC">
              <w:rPr>
                <w:rFonts w:ascii="宋体" w:cs="宋体" w:hint="eastAsia"/>
                <w:b/>
                <w:sz w:val="24"/>
              </w:rPr>
              <w:t>戍</w:t>
            </w:r>
            <w:proofErr w:type="gramEnd"/>
            <w:r w:rsidRPr="00EE3BBC">
              <w:rPr>
                <w:rFonts w:ascii="宋体" w:cs="宋体" w:hint="eastAsia"/>
                <w:b/>
                <w:sz w:val="24"/>
              </w:rPr>
              <w:t>项目</w:t>
            </w:r>
            <w:r w:rsidRPr="00EE3BBC">
              <w:rPr>
                <w:rFonts w:ascii="宋体" w:cs="宋体" w:hint="eastAsia"/>
                <w:sz w:val="24"/>
              </w:rPr>
              <w:t>：该项目包含长营地块与全一地块，该项目长</w:t>
            </w:r>
            <w:proofErr w:type="gramStart"/>
            <w:r w:rsidRPr="00EE3BBC">
              <w:rPr>
                <w:rFonts w:ascii="宋体" w:cs="宋体" w:hint="eastAsia"/>
                <w:sz w:val="24"/>
              </w:rPr>
              <w:t>营地块于</w:t>
            </w:r>
            <w:r w:rsidRPr="00EE3BBC">
              <w:rPr>
                <w:rFonts w:ascii="宋体" w:cs="宋体"/>
                <w:sz w:val="24"/>
              </w:rPr>
              <w:t>2018</w:t>
            </w:r>
            <w:r w:rsidRPr="00EE3BBC">
              <w:rPr>
                <w:rFonts w:ascii="宋体" w:cs="宋体" w:hint="eastAsia"/>
                <w:sz w:val="24"/>
              </w:rPr>
              <w:t>年</w:t>
            </w:r>
            <w:r w:rsidRPr="00EE3BBC">
              <w:rPr>
                <w:rFonts w:ascii="宋体" w:cs="宋体"/>
                <w:sz w:val="24"/>
              </w:rPr>
              <w:t>6</w:t>
            </w:r>
            <w:r w:rsidRPr="00EE3BBC">
              <w:rPr>
                <w:rFonts w:ascii="宋体" w:cs="宋体" w:hint="eastAsia"/>
                <w:sz w:val="24"/>
              </w:rPr>
              <w:t>月</w:t>
            </w:r>
            <w:r w:rsidRPr="00EE3BBC">
              <w:rPr>
                <w:rFonts w:ascii="宋体" w:cs="宋体"/>
                <w:sz w:val="24"/>
              </w:rPr>
              <w:t>19</w:t>
            </w:r>
            <w:r w:rsidRPr="00EE3BBC">
              <w:rPr>
                <w:rFonts w:ascii="宋体" w:cs="宋体" w:hint="eastAsia"/>
                <w:sz w:val="24"/>
              </w:rPr>
              <w:t>日</w:t>
            </w:r>
            <w:proofErr w:type="gramEnd"/>
            <w:r w:rsidRPr="00EE3BBC">
              <w:rPr>
                <w:rFonts w:ascii="宋体" w:cs="宋体" w:hint="eastAsia"/>
                <w:sz w:val="24"/>
              </w:rPr>
              <w:t>完成城市更新单元计划公告、全一地块于</w:t>
            </w:r>
            <w:r w:rsidRPr="00EE3BBC">
              <w:rPr>
                <w:rFonts w:ascii="宋体" w:cs="宋体"/>
                <w:sz w:val="24"/>
              </w:rPr>
              <w:t>2019</w:t>
            </w:r>
            <w:r w:rsidRPr="00EE3BBC">
              <w:rPr>
                <w:rFonts w:ascii="宋体" w:cs="宋体" w:hint="eastAsia"/>
                <w:sz w:val="24"/>
              </w:rPr>
              <w:t>年</w:t>
            </w:r>
            <w:r w:rsidRPr="00EE3BBC">
              <w:rPr>
                <w:rFonts w:ascii="宋体" w:cs="宋体"/>
                <w:sz w:val="24"/>
              </w:rPr>
              <w:t>6</w:t>
            </w:r>
            <w:r w:rsidRPr="00EE3BBC">
              <w:rPr>
                <w:rFonts w:ascii="宋体" w:cs="宋体" w:hint="eastAsia"/>
                <w:sz w:val="24"/>
              </w:rPr>
              <w:t>月</w:t>
            </w:r>
            <w:r w:rsidRPr="00EE3BBC">
              <w:rPr>
                <w:rFonts w:ascii="宋体" w:cs="宋体"/>
                <w:sz w:val="24"/>
              </w:rPr>
              <w:t>5</w:t>
            </w:r>
            <w:r w:rsidRPr="00EE3BBC">
              <w:rPr>
                <w:rFonts w:ascii="宋体" w:cs="宋体" w:hint="eastAsia"/>
                <w:sz w:val="24"/>
              </w:rPr>
              <w:t>日完成城市更新单元计划公告，长</w:t>
            </w:r>
            <w:proofErr w:type="gramStart"/>
            <w:r w:rsidRPr="00EE3BBC">
              <w:rPr>
                <w:rFonts w:ascii="宋体" w:cs="宋体" w:hint="eastAsia"/>
                <w:sz w:val="24"/>
              </w:rPr>
              <w:t>营地块于2019年8月13日</w:t>
            </w:r>
            <w:proofErr w:type="gramEnd"/>
            <w:r w:rsidRPr="00EE3BBC">
              <w:rPr>
                <w:rFonts w:ascii="宋体" w:cs="宋体" w:hint="eastAsia"/>
                <w:sz w:val="24"/>
              </w:rPr>
              <w:t>、全一地块于2019年12月3日分别取得产业规划批复。长</w:t>
            </w:r>
            <w:proofErr w:type="gramStart"/>
            <w:r w:rsidRPr="00EE3BBC">
              <w:rPr>
                <w:rFonts w:ascii="宋体" w:cs="宋体" w:hint="eastAsia"/>
                <w:sz w:val="24"/>
              </w:rPr>
              <w:t>营地块拟更新</w:t>
            </w:r>
            <w:proofErr w:type="gramEnd"/>
            <w:r w:rsidRPr="00EE3BBC">
              <w:rPr>
                <w:rFonts w:ascii="宋体" w:cs="宋体" w:hint="eastAsia"/>
                <w:sz w:val="24"/>
              </w:rPr>
              <w:t>方向为普通工业用地、全一地块拟更新方向为普通工业用地+新型产业用地，更新单元用地面积共计</w:t>
            </w:r>
            <w:r w:rsidRPr="00EE3BBC">
              <w:rPr>
                <w:rFonts w:ascii="宋体" w:cs="宋体"/>
                <w:sz w:val="24"/>
              </w:rPr>
              <w:t>141,897</w:t>
            </w:r>
            <w:r w:rsidRPr="00EE3BBC">
              <w:rPr>
                <w:rFonts w:ascii="宋体" w:cs="宋体" w:hint="eastAsia"/>
                <w:sz w:val="24"/>
              </w:rPr>
              <w:t>平方米。</w:t>
            </w:r>
          </w:p>
          <w:p w:rsidR="00F72345" w:rsidRDefault="00EA1268" w:rsidP="00EA1268">
            <w:pPr>
              <w:pStyle w:val="Default"/>
              <w:spacing w:line="360" w:lineRule="auto"/>
              <w:ind w:firstLineChars="200" w:firstLine="482"/>
              <w:jc w:val="both"/>
              <w:rPr>
                <w:rFonts w:hAnsi="宋体" w:cs="Times New Roman" w:hint="eastAsia"/>
                <w:bCs/>
                <w:iCs/>
                <w:kern w:val="2"/>
              </w:rPr>
            </w:pPr>
            <w:r w:rsidRPr="00EE3BBC">
              <w:rPr>
                <w:rFonts w:hint="eastAsia"/>
                <w:b/>
                <w:kern w:val="2"/>
              </w:rPr>
              <w:t>大洋工业统筹片区项目：</w:t>
            </w:r>
            <w:r w:rsidRPr="00EE3BBC">
              <w:rPr>
                <w:rFonts w:hint="eastAsia"/>
                <w:kern w:val="2"/>
              </w:rPr>
              <w:t>该项目于</w:t>
            </w:r>
            <w:r w:rsidRPr="00EE3BBC">
              <w:rPr>
                <w:kern w:val="2"/>
              </w:rPr>
              <w:t>2017</w:t>
            </w:r>
            <w:r w:rsidRPr="00EE3BBC">
              <w:rPr>
                <w:rFonts w:hint="eastAsia"/>
                <w:kern w:val="2"/>
              </w:rPr>
              <w:t>年</w:t>
            </w:r>
            <w:r w:rsidRPr="00EE3BBC">
              <w:rPr>
                <w:kern w:val="2"/>
              </w:rPr>
              <w:t>12</w:t>
            </w:r>
            <w:r w:rsidRPr="00EE3BBC">
              <w:rPr>
                <w:rFonts w:hint="eastAsia"/>
                <w:kern w:val="2"/>
              </w:rPr>
              <w:t>月</w:t>
            </w:r>
            <w:r w:rsidRPr="00EE3BBC">
              <w:rPr>
                <w:kern w:val="2"/>
              </w:rPr>
              <w:t>20</w:t>
            </w:r>
            <w:r w:rsidRPr="00EE3BBC">
              <w:rPr>
                <w:rFonts w:hint="eastAsia"/>
                <w:kern w:val="2"/>
              </w:rPr>
              <w:t>日在《</w:t>
            </w:r>
            <w:r w:rsidRPr="00EE3BBC">
              <w:rPr>
                <w:kern w:val="2"/>
              </w:rPr>
              <w:t>2017</w:t>
            </w:r>
            <w:r w:rsidRPr="00EE3BBC">
              <w:rPr>
                <w:rFonts w:hint="eastAsia"/>
                <w:kern w:val="2"/>
              </w:rPr>
              <w:t>年深圳市宝安区城市更新单元第一批计划》进行了公示，更新方向以普通工业为主，更新单元面积为</w:t>
            </w:r>
            <w:r w:rsidRPr="00EE3BBC">
              <w:rPr>
                <w:kern w:val="2"/>
              </w:rPr>
              <w:t>187,631.2</w:t>
            </w:r>
            <w:r w:rsidRPr="00EE3BBC">
              <w:rPr>
                <w:rFonts w:hint="eastAsia"/>
                <w:kern w:val="2"/>
              </w:rPr>
              <w:t>平方米，拟拆除范围用地面积为</w:t>
            </w:r>
            <w:r w:rsidRPr="00EE3BBC">
              <w:rPr>
                <w:kern w:val="2"/>
              </w:rPr>
              <w:t>166,439.4</w:t>
            </w:r>
            <w:r w:rsidRPr="00EE3BBC">
              <w:rPr>
                <w:rFonts w:hint="eastAsia"/>
                <w:kern w:val="2"/>
              </w:rPr>
              <w:t>平方米。</w:t>
            </w:r>
          </w:p>
          <w:p w:rsidR="00F72345" w:rsidRPr="006557EF" w:rsidRDefault="00F72345" w:rsidP="00F72345">
            <w:pPr>
              <w:pStyle w:val="Default"/>
              <w:spacing w:line="360" w:lineRule="auto"/>
              <w:ind w:firstLineChars="200" w:firstLine="480"/>
              <w:jc w:val="both"/>
            </w:pPr>
          </w:p>
        </w:tc>
        <w:bookmarkStart w:id="0" w:name="_GoBack"/>
        <w:bookmarkEnd w:id="0"/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Pr="006557EF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966F7F" w:rsidRPr="006557EF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66F7F" w:rsidRPr="00280AA5" w:rsidTr="003B6FF8">
        <w:trPr>
          <w:trHeight w:val="33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4C2E23" w:rsidRDefault="00966F7F" w:rsidP="00F723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9C0011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F1A8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72345">
              <w:rPr>
                <w:rFonts w:ascii="宋体" w:hAnsi="宋体" w:hint="eastAsia"/>
                <w:bCs/>
                <w:iCs/>
                <w:color w:val="000000"/>
                <w:sz w:val="24"/>
              </w:rPr>
              <w:t>02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37FB4" w:rsidRDefault="00737FB4" w:rsidP="009607DC"/>
    <w:sectPr w:rsidR="00737FB4" w:rsidSect="000C7468">
      <w:footerReference w:type="default" r:id="rId7"/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F3" w:rsidRDefault="003D13F3" w:rsidP="00966F7F">
      <w:r>
        <w:separator/>
      </w:r>
    </w:p>
  </w:endnote>
  <w:endnote w:type="continuationSeparator" w:id="0">
    <w:p w:rsidR="003D13F3" w:rsidRDefault="003D13F3" w:rsidP="0096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082150"/>
      <w:docPartObj>
        <w:docPartGallery w:val="Page Numbers (Bottom of Page)"/>
        <w:docPartUnique/>
      </w:docPartObj>
    </w:sdtPr>
    <w:sdtContent>
      <w:p w:rsidR="00B43E31" w:rsidRDefault="00306C67" w:rsidP="00B43E31">
        <w:pPr>
          <w:pStyle w:val="a4"/>
          <w:jc w:val="center"/>
        </w:pPr>
        <w:r>
          <w:fldChar w:fldCharType="begin"/>
        </w:r>
        <w:r w:rsidR="00B43E31">
          <w:instrText>PAGE   \* MERGEFORMAT</w:instrText>
        </w:r>
        <w:r>
          <w:fldChar w:fldCharType="separate"/>
        </w:r>
        <w:r w:rsidR="00EE3518" w:rsidRPr="00EE351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F3" w:rsidRDefault="003D13F3" w:rsidP="00966F7F">
      <w:r>
        <w:separator/>
      </w:r>
    </w:p>
  </w:footnote>
  <w:footnote w:type="continuationSeparator" w:id="0">
    <w:p w:rsidR="003D13F3" w:rsidRDefault="003D13F3" w:rsidP="00966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18D"/>
    <w:multiLevelType w:val="hybridMultilevel"/>
    <w:tmpl w:val="B9CE9AE6"/>
    <w:lvl w:ilvl="0" w:tplc="46E2B7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8404D"/>
    <w:multiLevelType w:val="hybridMultilevel"/>
    <w:tmpl w:val="1EB43E46"/>
    <w:lvl w:ilvl="0" w:tplc="60CA9FE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9258C"/>
    <w:multiLevelType w:val="hybridMultilevel"/>
    <w:tmpl w:val="0A76C574"/>
    <w:lvl w:ilvl="0" w:tplc="089800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A4713"/>
    <w:multiLevelType w:val="hybridMultilevel"/>
    <w:tmpl w:val="31D6596A"/>
    <w:lvl w:ilvl="0" w:tplc="67F6C168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B287ED0"/>
    <w:multiLevelType w:val="hybridMultilevel"/>
    <w:tmpl w:val="899498E6"/>
    <w:lvl w:ilvl="0" w:tplc="89B8CF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6403AF"/>
    <w:multiLevelType w:val="hybridMultilevel"/>
    <w:tmpl w:val="914CB8C0"/>
    <w:lvl w:ilvl="0" w:tplc="B27A9EC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F21C8D"/>
    <w:multiLevelType w:val="hybridMultilevel"/>
    <w:tmpl w:val="2BA0ECB8"/>
    <w:lvl w:ilvl="0" w:tplc="1D1E74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4C28B6"/>
    <w:multiLevelType w:val="hybridMultilevel"/>
    <w:tmpl w:val="00F06200"/>
    <w:lvl w:ilvl="0" w:tplc="384AC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7E3497"/>
    <w:multiLevelType w:val="hybridMultilevel"/>
    <w:tmpl w:val="064E3D6C"/>
    <w:lvl w:ilvl="0" w:tplc="4C106EB2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9850649"/>
    <w:multiLevelType w:val="hybridMultilevel"/>
    <w:tmpl w:val="2B2C9B5E"/>
    <w:lvl w:ilvl="0" w:tplc="3020B11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3B7363F4"/>
    <w:multiLevelType w:val="hybridMultilevel"/>
    <w:tmpl w:val="CF9400B2"/>
    <w:lvl w:ilvl="0" w:tplc="F3CEA9F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156C7"/>
    <w:multiLevelType w:val="hybridMultilevel"/>
    <w:tmpl w:val="3444A34A"/>
    <w:lvl w:ilvl="0" w:tplc="21A04292">
      <w:start w:val="1"/>
      <w:numFmt w:val="decimal"/>
      <w:lvlText w:val="%1、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764045"/>
    <w:multiLevelType w:val="hybridMultilevel"/>
    <w:tmpl w:val="0A92EBDE"/>
    <w:lvl w:ilvl="0" w:tplc="282ECEE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5850CC"/>
    <w:multiLevelType w:val="hybridMultilevel"/>
    <w:tmpl w:val="CF3A6AA0"/>
    <w:lvl w:ilvl="0" w:tplc="FDFA13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2D4CF5"/>
    <w:multiLevelType w:val="hybridMultilevel"/>
    <w:tmpl w:val="7D628E3A"/>
    <w:lvl w:ilvl="0" w:tplc="CF4AF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F7F"/>
    <w:rsid w:val="0002335B"/>
    <w:rsid w:val="000234CE"/>
    <w:rsid w:val="000235A5"/>
    <w:rsid w:val="00023DAF"/>
    <w:rsid w:val="0003021A"/>
    <w:rsid w:val="000305F3"/>
    <w:rsid w:val="00030C09"/>
    <w:rsid w:val="00034E07"/>
    <w:rsid w:val="00036000"/>
    <w:rsid w:val="00050C79"/>
    <w:rsid w:val="00051230"/>
    <w:rsid w:val="000637CF"/>
    <w:rsid w:val="000668A4"/>
    <w:rsid w:val="00070D26"/>
    <w:rsid w:val="0007612C"/>
    <w:rsid w:val="00076FC0"/>
    <w:rsid w:val="0008039F"/>
    <w:rsid w:val="0008379E"/>
    <w:rsid w:val="0008463C"/>
    <w:rsid w:val="00087F56"/>
    <w:rsid w:val="00092529"/>
    <w:rsid w:val="000954EF"/>
    <w:rsid w:val="000959A8"/>
    <w:rsid w:val="00095BB7"/>
    <w:rsid w:val="00097E4D"/>
    <w:rsid w:val="000A3E50"/>
    <w:rsid w:val="000A4523"/>
    <w:rsid w:val="000B649D"/>
    <w:rsid w:val="000C32C7"/>
    <w:rsid w:val="000C7468"/>
    <w:rsid w:val="000C7A2F"/>
    <w:rsid w:val="000D73A0"/>
    <w:rsid w:val="000D79DC"/>
    <w:rsid w:val="000E68E0"/>
    <w:rsid w:val="000F11DA"/>
    <w:rsid w:val="000F3A3D"/>
    <w:rsid w:val="000F3E3A"/>
    <w:rsid w:val="000F5493"/>
    <w:rsid w:val="000F7A1D"/>
    <w:rsid w:val="001040E9"/>
    <w:rsid w:val="001051CB"/>
    <w:rsid w:val="001079F8"/>
    <w:rsid w:val="00115E85"/>
    <w:rsid w:val="00136021"/>
    <w:rsid w:val="001423B5"/>
    <w:rsid w:val="0014298F"/>
    <w:rsid w:val="001430C8"/>
    <w:rsid w:val="00143619"/>
    <w:rsid w:val="001507D7"/>
    <w:rsid w:val="00151275"/>
    <w:rsid w:val="001518E3"/>
    <w:rsid w:val="0016033D"/>
    <w:rsid w:val="00162F36"/>
    <w:rsid w:val="00192A44"/>
    <w:rsid w:val="001979AF"/>
    <w:rsid w:val="001A08BA"/>
    <w:rsid w:val="001A1DDA"/>
    <w:rsid w:val="001A3383"/>
    <w:rsid w:val="001A51BC"/>
    <w:rsid w:val="001A63D2"/>
    <w:rsid w:val="001A6B2E"/>
    <w:rsid w:val="001A6EFD"/>
    <w:rsid w:val="001A7E82"/>
    <w:rsid w:val="001B1631"/>
    <w:rsid w:val="001B3FFF"/>
    <w:rsid w:val="001C454D"/>
    <w:rsid w:val="001D7DF1"/>
    <w:rsid w:val="001E36A5"/>
    <w:rsid w:val="001E4008"/>
    <w:rsid w:val="001E4A18"/>
    <w:rsid w:val="001F08AB"/>
    <w:rsid w:val="001F7388"/>
    <w:rsid w:val="00200009"/>
    <w:rsid w:val="00201F58"/>
    <w:rsid w:val="00206805"/>
    <w:rsid w:val="002068E6"/>
    <w:rsid w:val="00206BCA"/>
    <w:rsid w:val="002112A6"/>
    <w:rsid w:val="0021649C"/>
    <w:rsid w:val="00216EE9"/>
    <w:rsid w:val="00224017"/>
    <w:rsid w:val="0022619D"/>
    <w:rsid w:val="00234E69"/>
    <w:rsid w:val="002366A2"/>
    <w:rsid w:val="002371DB"/>
    <w:rsid w:val="00240D47"/>
    <w:rsid w:val="00253992"/>
    <w:rsid w:val="00267B1A"/>
    <w:rsid w:val="00274117"/>
    <w:rsid w:val="00276700"/>
    <w:rsid w:val="002862B0"/>
    <w:rsid w:val="002870CE"/>
    <w:rsid w:val="002A0897"/>
    <w:rsid w:val="002A0DAF"/>
    <w:rsid w:val="002A1D94"/>
    <w:rsid w:val="002A4D7E"/>
    <w:rsid w:val="002B0A23"/>
    <w:rsid w:val="002B2ADC"/>
    <w:rsid w:val="002B5D0D"/>
    <w:rsid w:val="002B606D"/>
    <w:rsid w:val="002B69B1"/>
    <w:rsid w:val="002C46B2"/>
    <w:rsid w:val="002C6111"/>
    <w:rsid w:val="002C6C67"/>
    <w:rsid w:val="002D5CE8"/>
    <w:rsid w:val="002E152D"/>
    <w:rsid w:val="002F38E0"/>
    <w:rsid w:val="002F3F62"/>
    <w:rsid w:val="002F7099"/>
    <w:rsid w:val="003001E7"/>
    <w:rsid w:val="00303028"/>
    <w:rsid w:val="00305762"/>
    <w:rsid w:val="00306C67"/>
    <w:rsid w:val="00315DC1"/>
    <w:rsid w:val="00321050"/>
    <w:rsid w:val="00323B43"/>
    <w:rsid w:val="00324EE0"/>
    <w:rsid w:val="00325E45"/>
    <w:rsid w:val="00331B51"/>
    <w:rsid w:val="00331D38"/>
    <w:rsid w:val="00335CEC"/>
    <w:rsid w:val="00341057"/>
    <w:rsid w:val="00341BFD"/>
    <w:rsid w:val="00346F21"/>
    <w:rsid w:val="003476D9"/>
    <w:rsid w:val="0035002C"/>
    <w:rsid w:val="00355150"/>
    <w:rsid w:val="00360629"/>
    <w:rsid w:val="00363FA1"/>
    <w:rsid w:val="00372319"/>
    <w:rsid w:val="003726BC"/>
    <w:rsid w:val="00386CEB"/>
    <w:rsid w:val="0039237C"/>
    <w:rsid w:val="00395028"/>
    <w:rsid w:val="00396BE6"/>
    <w:rsid w:val="003A6A43"/>
    <w:rsid w:val="003A7DDF"/>
    <w:rsid w:val="003B1516"/>
    <w:rsid w:val="003B6FF8"/>
    <w:rsid w:val="003C1E74"/>
    <w:rsid w:val="003C2C47"/>
    <w:rsid w:val="003D13F3"/>
    <w:rsid w:val="003D37D8"/>
    <w:rsid w:val="003D5A61"/>
    <w:rsid w:val="003D69E4"/>
    <w:rsid w:val="003D7211"/>
    <w:rsid w:val="003E7EB9"/>
    <w:rsid w:val="003F0C30"/>
    <w:rsid w:val="0040110A"/>
    <w:rsid w:val="0040684A"/>
    <w:rsid w:val="00407571"/>
    <w:rsid w:val="00411261"/>
    <w:rsid w:val="00421F75"/>
    <w:rsid w:val="00426426"/>
    <w:rsid w:val="00427202"/>
    <w:rsid w:val="004356C4"/>
    <w:rsid w:val="004358AB"/>
    <w:rsid w:val="0043676E"/>
    <w:rsid w:val="0045041F"/>
    <w:rsid w:val="004508BF"/>
    <w:rsid w:val="00455325"/>
    <w:rsid w:val="00460521"/>
    <w:rsid w:val="004626B3"/>
    <w:rsid w:val="004667AB"/>
    <w:rsid w:val="00472D2B"/>
    <w:rsid w:val="00484E0C"/>
    <w:rsid w:val="00487A08"/>
    <w:rsid w:val="004953B5"/>
    <w:rsid w:val="004A6DBE"/>
    <w:rsid w:val="004A712E"/>
    <w:rsid w:val="004B6E42"/>
    <w:rsid w:val="004C3D5D"/>
    <w:rsid w:val="004D35CF"/>
    <w:rsid w:val="004D3998"/>
    <w:rsid w:val="004D5AC9"/>
    <w:rsid w:val="004E2650"/>
    <w:rsid w:val="004E4BFE"/>
    <w:rsid w:val="004F13F0"/>
    <w:rsid w:val="005026FF"/>
    <w:rsid w:val="0050639F"/>
    <w:rsid w:val="005103CE"/>
    <w:rsid w:val="00521412"/>
    <w:rsid w:val="00523749"/>
    <w:rsid w:val="00530144"/>
    <w:rsid w:val="00535B00"/>
    <w:rsid w:val="00536F52"/>
    <w:rsid w:val="005414C0"/>
    <w:rsid w:val="00551281"/>
    <w:rsid w:val="00553F85"/>
    <w:rsid w:val="00554512"/>
    <w:rsid w:val="00563AE6"/>
    <w:rsid w:val="00563AF2"/>
    <w:rsid w:val="00564F99"/>
    <w:rsid w:val="00567211"/>
    <w:rsid w:val="0057177C"/>
    <w:rsid w:val="005740F6"/>
    <w:rsid w:val="00574510"/>
    <w:rsid w:val="00577817"/>
    <w:rsid w:val="00581E0D"/>
    <w:rsid w:val="00590225"/>
    <w:rsid w:val="00592330"/>
    <w:rsid w:val="00595811"/>
    <w:rsid w:val="00596BD9"/>
    <w:rsid w:val="005971A3"/>
    <w:rsid w:val="005A17AE"/>
    <w:rsid w:val="005A1C71"/>
    <w:rsid w:val="005A2D21"/>
    <w:rsid w:val="005A6B89"/>
    <w:rsid w:val="005B2209"/>
    <w:rsid w:val="005B28F4"/>
    <w:rsid w:val="005C19E8"/>
    <w:rsid w:val="005C3383"/>
    <w:rsid w:val="005C463C"/>
    <w:rsid w:val="005C7CBB"/>
    <w:rsid w:val="005D03DE"/>
    <w:rsid w:val="005D100F"/>
    <w:rsid w:val="005D2EDB"/>
    <w:rsid w:val="005D35B3"/>
    <w:rsid w:val="005E0C1A"/>
    <w:rsid w:val="005E4177"/>
    <w:rsid w:val="005E49C7"/>
    <w:rsid w:val="005F32B9"/>
    <w:rsid w:val="005F4378"/>
    <w:rsid w:val="005F61A4"/>
    <w:rsid w:val="0060667A"/>
    <w:rsid w:val="006106D7"/>
    <w:rsid w:val="00611D81"/>
    <w:rsid w:val="00611F06"/>
    <w:rsid w:val="00621A43"/>
    <w:rsid w:val="0062535A"/>
    <w:rsid w:val="00626409"/>
    <w:rsid w:val="00633B7C"/>
    <w:rsid w:val="006341BC"/>
    <w:rsid w:val="00641160"/>
    <w:rsid w:val="00643E61"/>
    <w:rsid w:val="00651D48"/>
    <w:rsid w:val="00651DDF"/>
    <w:rsid w:val="00655293"/>
    <w:rsid w:val="006557EF"/>
    <w:rsid w:val="00656171"/>
    <w:rsid w:val="00661DC6"/>
    <w:rsid w:val="00663101"/>
    <w:rsid w:val="00672DA5"/>
    <w:rsid w:val="0067381F"/>
    <w:rsid w:val="00673C39"/>
    <w:rsid w:val="006831C9"/>
    <w:rsid w:val="00692572"/>
    <w:rsid w:val="006A26C7"/>
    <w:rsid w:val="006B3140"/>
    <w:rsid w:val="006C0CAF"/>
    <w:rsid w:val="006D07FC"/>
    <w:rsid w:val="006D1518"/>
    <w:rsid w:val="006D253A"/>
    <w:rsid w:val="006E50D2"/>
    <w:rsid w:val="006F6695"/>
    <w:rsid w:val="006F71DC"/>
    <w:rsid w:val="00707230"/>
    <w:rsid w:val="00710754"/>
    <w:rsid w:val="00730EB2"/>
    <w:rsid w:val="00731D9F"/>
    <w:rsid w:val="00736808"/>
    <w:rsid w:val="00737FB4"/>
    <w:rsid w:val="00743FE6"/>
    <w:rsid w:val="007460E3"/>
    <w:rsid w:val="007474FF"/>
    <w:rsid w:val="00747F52"/>
    <w:rsid w:val="007544CE"/>
    <w:rsid w:val="007635A9"/>
    <w:rsid w:val="00764DC6"/>
    <w:rsid w:val="0077194C"/>
    <w:rsid w:val="00774357"/>
    <w:rsid w:val="00780B1B"/>
    <w:rsid w:val="0078217F"/>
    <w:rsid w:val="007858BF"/>
    <w:rsid w:val="0079036B"/>
    <w:rsid w:val="007931A5"/>
    <w:rsid w:val="00793EC8"/>
    <w:rsid w:val="007B1201"/>
    <w:rsid w:val="007C1EFC"/>
    <w:rsid w:val="007D0C56"/>
    <w:rsid w:val="007D3587"/>
    <w:rsid w:val="007E5FE6"/>
    <w:rsid w:val="007E648F"/>
    <w:rsid w:val="007F6F3D"/>
    <w:rsid w:val="00800D3A"/>
    <w:rsid w:val="00803B9A"/>
    <w:rsid w:val="00803F30"/>
    <w:rsid w:val="00804922"/>
    <w:rsid w:val="00814A96"/>
    <w:rsid w:val="00816C32"/>
    <w:rsid w:val="008176FD"/>
    <w:rsid w:val="00820723"/>
    <w:rsid w:val="0082088F"/>
    <w:rsid w:val="00821CB8"/>
    <w:rsid w:val="0082444C"/>
    <w:rsid w:val="00824824"/>
    <w:rsid w:val="00833193"/>
    <w:rsid w:val="008346E1"/>
    <w:rsid w:val="0083565E"/>
    <w:rsid w:val="008365AE"/>
    <w:rsid w:val="008421B6"/>
    <w:rsid w:val="00856B3B"/>
    <w:rsid w:val="00860F53"/>
    <w:rsid w:val="008665C0"/>
    <w:rsid w:val="0087199A"/>
    <w:rsid w:val="00872DC3"/>
    <w:rsid w:val="00873A39"/>
    <w:rsid w:val="0087515F"/>
    <w:rsid w:val="00877220"/>
    <w:rsid w:val="00881B89"/>
    <w:rsid w:val="008837C4"/>
    <w:rsid w:val="00886A27"/>
    <w:rsid w:val="00890CE9"/>
    <w:rsid w:val="008A2339"/>
    <w:rsid w:val="008A3FFB"/>
    <w:rsid w:val="008A6037"/>
    <w:rsid w:val="008B7726"/>
    <w:rsid w:val="008C488E"/>
    <w:rsid w:val="008D0573"/>
    <w:rsid w:val="008E075B"/>
    <w:rsid w:val="008E2FBC"/>
    <w:rsid w:val="008F2479"/>
    <w:rsid w:val="008F4960"/>
    <w:rsid w:val="008F508F"/>
    <w:rsid w:val="008F5238"/>
    <w:rsid w:val="009060AF"/>
    <w:rsid w:val="009079F3"/>
    <w:rsid w:val="00912628"/>
    <w:rsid w:val="009156EA"/>
    <w:rsid w:val="00917768"/>
    <w:rsid w:val="0092067E"/>
    <w:rsid w:val="00931158"/>
    <w:rsid w:val="00933B1C"/>
    <w:rsid w:val="00934430"/>
    <w:rsid w:val="00940281"/>
    <w:rsid w:val="0094068E"/>
    <w:rsid w:val="0094679F"/>
    <w:rsid w:val="00951877"/>
    <w:rsid w:val="00951E64"/>
    <w:rsid w:val="009541D7"/>
    <w:rsid w:val="009607DC"/>
    <w:rsid w:val="00962DAD"/>
    <w:rsid w:val="00966F7F"/>
    <w:rsid w:val="0097048C"/>
    <w:rsid w:val="0097691C"/>
    <w:rsid w:val="00983062"/>
    <w:rsid w:val="00985450"/>
    <w:rsid w:val="009941A4"/>
    <w:rsid w:val="009A260F"/>
    <w:rsid w:val="009A31FF"/>
    <w:rsid w:val="009A3434"/>
    <w:rsid w:val="009A3A29"/>
    <w:rsid w:val="009B2D4E"/>
    <w:rsid w:val="009B6E22"/>
    <w:rsid w:val="009C0011"/>
    <w:rsid w:val="009C23DD"/>
    <w:rsid w:val="009C6FFE"/>
    <w:rsid w:val="009D0835"/>
    <w:rsid w:val="009D7583"/>
    <w:rsid w:val="009E017F"/>
    <w:rsid w:val="009E2BD4"/>
    <w:rsid w:val="009E5E44"/>
    <w:rsid w:val="009F0979"/>
    <w:rsid w:val="009F107F"/>
    <w:rsid w:val="009F1A88"/>
    <w:rsid w:val="009F4C49"/>
    <w:rsid w:val="009F724D"/>
    <w:rsid w:val="00A040E3"/>
    <w:rsid w:val="00A145C7"/>
    <w:rsid w:val="00A30F53"/>
    <w:rsid w:val="00A31A84"/>
    <w:rsid w:val="00A3451F"/>
    <w:rsid w:val="00A370A8"/>
    <w:rsid w:val="00A458E9"/>
    <w:rsid w:val="00A510B3"/>
    <w:rsid w:val="00A6297C"/>
    <w:rsid w:val="00A633EA"/>
    <w:rsid w:val="00A665D7"/>
    <w:rsid w:val="00A7253D"/>
    <w:rsid w:val="00A725B6"/>
    <w:rsid w:val="00A75390"/>
    <w:rsid w:val="00A75962"/>
    <w:rsid w:val="00A82B42"/>
    <w:rsid w:val="00A8584C"/>
    <w:rsid w:val="00A94F81"/>
    <w:rsid w:val="00A97BF5"/>
    <w:rsid w:val="00AA1363"/>
    <w:rsid w:val="00AA416E"/>
    <w:rsid w:val="00AA5303"/>
    <w:rsid w:val="00AA62AB"/>
    <w:rsid w:val="00AA7E4E"/>
    <w:rsid w:val="00AB220C"/>
    <w:rsid w:val="00AB3A44"/>
    <w:rsid w:val="00AB45E1"/>
    <w:rsid w:val="00AB6187"/>
    <w:rsid w:val="00AC013F"/>
    <w:rsid w:val="00AC1865"/>
    <w:rsid w:val="00AC21EB"/>
    <w:rsid w:val="00AC5360"/>
    <w:rsid w:val="00AC5F59"/>
    <w:rsid w:val="00AD01C4"/>
    <w:rsid w:val="00AD1623"/>
    <w:rsid w:val="00AE10BB"/>
    <w:rsid w:val="00AE26AC"/>
    <w:rsid w:val="00AE2C8B"/>
    <w:rsid w:val="00AE4EB9"/>
    <w:rsid w:val="00AE536A"/>
    <w:rsid w:val="00AE6DDC"/>
    <w:rsid w:val="00AF1C34"/>
    <w:rsid w:val="00B12FED"/>
    <w:rsid w:val="00B1397A"/>
    <w:rsid w:val="00B20092"/>
    <w:rsid w:val="00B228C3"/>
    <w:rsid w:val="00B323DD"/>
    <w:rsid w:val="00B33438"/>
    <w:rsid w:val="00B36F45"/>
    <w:rsid w:val="00B400A4"/>
    <w:rsid w:val="00B413B9"/>
    <w:rsid w:val="00B43E31"/>
    <w:rsid w:val="00B452E9"/>
    <w:rsid w:val="00B45E75"/>
    <w:rsid w:val="00B47804"/>
    <w:rsid w:val="00B54F07"/>
    <w:rsid w:val="00B6574A"/>
    <w:rsid w:val="00B70C6B"/>
    <w:rsid w:val="00B723D3"/>
    <w:rsid w:val="00B73027"/>
    <w:rsid w:val="00B766F8"/>
    <w:rsid w:val="00B818B3"/>
    <w:rsid w:val="00B86359"/>
    <w:rsid w:val="00B86D44"/>
    <w:rsid w:val="00B952A1"/>
    <w:rsid w:val="00B962E0"/>
    <w:rsid w:val="00B964AA"/>
    <w:rsid w:val="00BA3C30"/>
    <w:rsid w:val="00BA41EA"/>
    <w:rsid w:val="00BA4356"/>
    <w:rsid w:val="00BA4569"/>
    <w:rsid w:val="00BB2BDE"/>
    <w:rsid w:val="00BB3C05"/>
    <w:rsid w:val="00BB4916"/>
    <w:rsid w:val="00BB4B5D"/>
    <w:rsid w:val="00BB5D3F"/>
    <w:rsid w:val="00BB767F"/>
    <w:rsid w:val="00BC0E9B"/>
    <w:rsid w:val="00BC47A2"/>
    <w:rsid w:val="00BC6C08"/>
    <w:rsid w:val="00BD1E5E"/>
    <w:rsid w:val="00BD21BB"/>
    <w:rsid w:val="00BD61FA"/>
    <w:rsid w:val="00BF0C1C"/>
    <w:rsid w:val="00BF2D39"/>
    <w:rsid w:val="00BF52D5"/>
    <w:rsid w:val="00BF5AE1"/>
    <w:rsid w:val="00C11442"/>
    <w:rsid w:val="00C1434A"/>
    <w:rsid w:val="00C2295F"/>
    <w:rsid w:val="00C23DFD"/>
    <w:rsid w:val="00C324B7"/>
    <w:rsid w:val="00C33D03"/>
    <w:rsid w:val="00C3666D"/>
    <w:rsid w:val="00C36C29"/>
    <w:rsid w:val="00C37846"/>
    <w:rsid w:val="00C379D7"/>
    <w:rsid w:val="00C37AF8"/>
    <w:rsid w:val="00C44266"/>
    <w:rsid w:val="00C54530"/>
    <w:rsid w:val="00C677A4"/>
    <w:rsid w:val="00C72292"/>
    <w:rsid w:val="00C74153"/>
    <w:rsid w:val="00C75592"/>
    <w:rsid w:val="00C777E7"/>
    <w:rsid w:val="00C80499"/>
    <w:rsid w:val="00C873CC"/>
    <w:rsid w:val="00C91BA0"/>
    <w:rsid w:val="00C94705"/>
    <w:rsid w:val="00CA351A"/>
    <w:rsid w:val="00CA7C79"/>
    <w:rsid w:val="00CB6D5A"/>
    <w:rsid w:val="00CC1402"/>
    <w:rsid w:val="00CD52B2"/>
    <w:rsid w:val="00CE25B7"/>
    <w:rsid w:val="00CE7698"/>
    <w:rsid w:val="00CF3E6B"/>
    <w:rsid w:val="00D03EDA"/>
    <w:rsid w:val="00D05AF9"/>
    <w:rsid w:val="00D06315"/>
    <w:rsid w:val="00D0686C"/>
    <w:rsid w:val="00D153B9"/>
    <w:rsid w:val="00D15B01"/>
    <w:rsid w:val="00D364DD"/>
    <w:rsid w:val="00D407E0"/>
    <w:rsid w:val="00D4316D"/>
    <w:rsid w:val="00D43ECA"/>
    <w:rsid w:val="00D47431"/>
    <w:rsid w:val="00D47FFE"/>
    <w:rsid w:val="00D52057"/>
    <w:rsid w:val="00D545C0"/>
    <w:rsid w:val="00D6317A"/>
    <w:rsid w:val="00D637EC"/>
    <w:rsid w:val="00D674DE"/>
    <w:rsid w:val="00D70C5E"/>
    <w:rsid w:val="00D823DA"/>
    <w:rsid w:val="00D85094"/>
    <w:rsid w:val="00D964D3"/>
    <w:rsid w:val="00DA0A0F"/>
    <w:rsid w:val="00DA2FA7"/>
    <w:rsid w:val="00DA58F2"/>
    <w:rsid w:val="00DB7D16"/>
    <w:rsid w:val="00DC6CF0"/>
    <w:rsid w:val="00DD34B8"/>
    <w:rsid w:val="00DE4277"/>
    <w:rsid w:val="00DF3E78"/>
    <w:rsid w:val="00DF672D"/>
    <w:rsid w:val="00E04A48"/>
    <w:rsid w:val="00E05DA2"/>
    <w:rsid w:val="00E06913"/>
    <w:rsid w:val="00E11004"/>
    <w:rsid w:val="00E23CBC"/>
    <w:rsid w:val="00E270D7"/>
    <w:rsid w:val="00E320CD"/>
    <w:rsid w:val="00E36243"/>
    <w:rsid w:val="00E36DD8"/>
    <w:rsid w:val="00E3726D"/>
    <w:rsid w:val="00E432C1"/>
    <w:rsid w:val="00E43E0C"/>
    <w:rsid w:val="00E45CCD"/>
    <w:rsid w:val="00E47849"/>
    <w:rsid w:val="00E4792D"/>
    <w:rsid w:val="00E5135F"/>
    <w:rsid w:val="00E537D4"/>
    <w:rsid w:val="00E62096"/>
    <w:rsid w:val="00E70118"/>
    <w:rsid w:val="00E71EC5"/>
    <w:rsid w:val="00E8623B"/>
    <w:rsid w:val="00E90AA7"/>
    <w:rsid w:val="00E927A7"/>
    <w:rsid w:val="00E96435"/>
    <w:rsid w:val="00EA1268"/>
    <w:rsid w:val="00EA5A39"/>
    <w:rsid w:val="00EB2B55"/>
    <w:rsid w:val="00EB463D"/>
    <w:rsid w:val="00EB5FF5"/>
    <w:rsid w:val="00EC1473"/>
    <w:rsid w:val="00EC7902"/>
    <w:rsid w:val="00EC7AEB"/>
    <w:rsid w:val="00ED5761"/>
    <w:rsid w:val="00EE3518"/>
    <w:rsid w:val="00EE4BBF"/>
    <w:rsid w:val="00EF2EE3"/>
    <w:rsid w:val="00EF5F2E"/>
    <w:rsid w:val="00F00C19"/>
    <w:rsid w:val="00F04461"/>
    <w:rsid w:val="00F052DE"/>
    <w:rsid w:val="00F063A4"/>
    <w:rsid w:val="00F07A0F"/>
    <w:rsid w:val="00F10408"/>
    <w:rsid w:val="00F10C89"/>
    <w:rsid w:val="00F115AF"/>
    <w:rsid w:val="00F13F38"/>
    <w:rsid w:val="00F15DDE"/>
    <w:rsid w:val="00F162E8"/>
    <w:rsid w:val="00F2716F"/>
    <w:rsid w:val="00F33239"/>
    <w:rsid w:val="00F40035"/>
    <w:rsid w:val="00F40BEA"/>
    <w:rsid w:val="00F43C24"/>
    <w:rsid w:val="00F46500"/>
    <w:rsid w:val="00F53D22"/>
    <w:rsid w:val="00F62262"/>
    <w:rsid w:val="00F67277"/>
    <w:rsid w:val="00F7002B"/>
    <w:rsid w:val="00F71BD4"/>
    <w:rsid w:val="00F72345"/>
    <w:rsid w:val="00F72C02"/>
    <w:rsid w:val="00F73617"/>
    <w:rsid w:val="00F7613D"/>
    <w:rsid w:val="00F81A8C"/>
    <w:rsid w:val="00F956EF"/>
    <w:rsid w:val="00FA0B97"/>
    <w:rsid w:val="00FA322C"/>
    <w:rsid w:val="00FA57BC"/>
    <w:rsid w:val="00FC1072"/>
    <w:rsid w:val="00FD1DF6"/>
    <w:rsid w:val="00FD594F"/>
    <w:rsid w:val="00FD6402"/>
    <w:rsid w:val="00FE052B"/>
    <w:rsid w:val="00FE4D79"/>
    <w:rsid w:val="00FE5AF7"/>
    <w:rsid w:val="00FE7179"/>
    <w:rsid w:val="00FF07F4"/>
    <w:rsid w:val="00FF30AB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16E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EF5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EF5F2E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541D7"/>
    <w:rPr>
      <w:color w:val="0000FF" w:themeColor="hyperlink"/>
      <w:u w:val="single"/>
    </w:rPr>
  </w:style>
  <w:style w:type="paragraph" w:customStyle="1" w:styleId="Default">
    <w:name w:val="Default"/>
    <w:rsid w:val="00372319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customStyle="1" w:styleId="005">
    <w:name w:val="005正文"/>
    <w:basedOn w:val="a"/>
    <w:link w:val="005Char"/>
    <w:rsid w:val="00360629"/>
    <w:pPr>
      <w:spacing w:beforeLines="50" w:afterLines="50" w:line="360" w:lineRule="auto"/>
      <w:ind w:firstLineChars="200" w:firstLine="200"/>
    </w:pPr>
    <w:rPr>
      <w:sz w:val="24"/>
      <w:szCs w:val="22"/>
    </w:rPr>
  </w:style>
  <w:style w:type="character" w:customStyle="1" w:styleId="005Char">
    <w:name w:val="005正文 Char"/>
    <w:link w:val="005"/>
    <w:rsid w:val="00360629"/>
    <w:rPr>
      <w:rFonts w:ascii="Times New Roman" w:eastAsia="宋体" w:hAnsi="Times New Roman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</dc:creator>
  <cp:lastModifiedBy>COFCO\zhaodongya</cp:lastModifiedBy>
  <cp:revision>2</cp:revision>
  <cp:lastPrinted>2019-07-24T08:24:00Z</cp:lastPrinted>
  <dcterms:created xsi:type="dcterms:W3CDTF">2020-06-02T09:38:00Z</dcterms:created>
  <dcterms:modified xsi:type="dcterms:W3CDTF">2020-06-02T09:38:00Z</dcterms:modified>
</cp:coreProperties>
</file>