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证券代码：000795                                    证券简称：英洛华</w:t>
      </w:r>
    </w:p>
    <w:p>
      <w:pPr>
        <w:spacing w:before="312" w:beforeLines="100" w:after="312" w:afterLines="100" w:line="400" w:lineRule="exact"/>
        <w:jc w:val="center"/>
        <w:rPr>
          <w:rFonts w:ascii="宋体" w:hAnsi="宋体"/>
          <w:b/>
          <w:bCs/>
          <w:iCs/>
          <w:color w:val="000000"/>
          <w:sz w:val="32"/>
          <w:szCs w:val="32"/>
        </w:rPr>
      </w:pPr>
      <w:r>
        <w:rPr>
          <w:rFonts w:hint="eastAsia" w:ascii="宋体" w:hAnsi="宋体"/>
          <w:b/>
          <w:bCs/>
          <w:iCs/>
          <w:color w:val="000000"/>
          <w:sz w:val="32"/>
          <w:szCs w:val="32"/>
        </w:rPr>
        <w:t>2020年6月9日投资者关系活动记录表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编号：2020-04</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投资者关系活动类别</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cs="宋体"/>
                <w:bCs/>
                <w:iCs/>
                <w:color w:val="000000"/>
                <w:sz w:val="24"/>
              </w:rPr>
            </w:pPr>
            <w:r>
              <w:rPr>
                <w:rFonts w:hint="eastAsia" w:ascii="宋体" w:hAnsi="宋体" w:cs="宋体"/>
                <w:bCs/>
                <w:iCs/>
                <w:color w:val="000000"/>
                <w:sz w:val="24"/>
              </w:rPr>
              <w:t>√</w:t>
            </w:r>
            <w:r>
              <w:rPr>
                <w:rFonts w:hint="eastAsia" w:ascii="宋体" w:hAnsi="宋体" w:cs="宋体"/>
                <w:color w:val="000000"/>
                <w:sz w:val="24"/>
              </w:rPr>
              <w:t xml:space="preserve">特定对象调研        </w:t>
            </w:r>
            <w:r>
              <w:rPr>
                <w:rFonts w:hint="eastAsia" w:ascii="宋体" w:hAnsi="宋体" w:cs="宋体"/>
                <w:bCs/>
                <w:iCs/>
                <w:color w:val="000000"/>
                <w:sz w:val="24"/>
              </w:rPr>
              <w:t>□</w:t>
            </w:r>
            <w:r>
              <w:rPr>
                <w:rFonts w:hint="eastAsia" w:ascii="宋体" w:hAnsi="宋体" w:cs="宋体"/>
                <w:color w:val="000000"/>
                <w:sz w:val="24"/>
              </w:rPr>
              <w:t>分析师会议</w:t>
            </w:r>
          </w:p>
          <w:p>
            <w:pPr>
              <w:spacing w:line="480" w:lineRule="atLeast"/>
              <w:rPr>
                <w:rFonts w:ascii="宋体" w:hAnsi="宋体" w:cs="宋体"/>
                <w:bCs/>
                <w:iCs/>
                <w:color w:val="000000"/>
                <w:sz w:val="24"/>
              </w:rPr>
            </w:pPr>
            <w:r>
              <w:rPr>
                <w:rFonts w:hint="eastAsia" w:ascii="宋体" w:hAnsi="宋体" w:cs="宋体"/>
                <w:bCs/>
                <w:iCs/>
                <w:color w:val="000000"/>
                <w:sz w:val="24"/>
              </w:rPr>
              <w:t>□</w:t>
            </w:r>
            <w:r>
              <w:rPr>
                <w:rFonts w:hint="eastAsia" w:ascii="宋体" w:hAnsi="宋体" w:cs="宋体"/>
                <w:color w:val="000000"/>
                <w:sz w:val="24"/>
              </w:rPr>
              <w:t xml:space="preserve">媒体采访            </w:t>
            </w:r>
            <w:r>
              <w:rPr>
                <w:rFonts w:hint="eastAsia" w:ascii="宋体" w:hAnsi="宋体" w:cs="宋体"/>
                <w:bCs/>
                <w:iCs/>
                <w:color w:val="000000"/>
                <w:sz w:val="24"/>
              </w:rPr>
              <w:t>□</w:t>
            </w:r>
            <w:r>
              <w:rPr>
                <w:rFonts w:hint="eastAsia" w:ascii="宋体" w:hAnsi="宋体" w:cs="宋体"/>
                <w:color w:val="000000"/>
                <w:sz w:val="24"/>
              </w:rPr>
              <w:t>业绩说明会</w:t>
            </w:r>
          </w:p>
          <w:p>
            <w:pPr>
              <w:spacing w:line="480" w:lineRule="atLeast"/>
              <w:rPr>
                <w:rFonts w:ascii="宋体" w:hAnsi="宋体" w:cs="宋体"/>
                <w:bCs/>
                <w:iCs/>
                <w:color w:val="000000"/>
                <w:sz w:val="24"/>
              </w:rPr>
            </w:pPr>
            <w:r>
              <w:rPr>
                <w:rFonts w:hint="eastAsia" w:ascii="宋体" w:hAnsi="宋体" w:cs="宋体"/>
                <w:bCs/>
                <w:iCs/>
                <w:color w:val="000000"/>
                <w:sz w:val="24"/>
              </w:rPr>
              <w:t>□</w:t>
            </w:r>
            <w:r>
              <w:rPr>
                <w:rFonts w:hint="eastAsia" w:ascii="宋体" w:hAnsi="宋体" w:cs="宋体"/>
                <w:color w:val="000000"/>
                <w:sz w:val="24"/>
              </w:rPr>
              <w:t xml:space="preserve">新闻发布会          </w:t>
            </w:r>
            <w:r>
              <w:rPr>
                <w:rFonts w:hint="eastAsia" w:ascii="宋体" w:hAnsi="宋体" w:cs="宋体"/>
                <w:bCs/>
                <w:iCs/>
                <w:color w:val="000000"/>
                <w:sz w:val="24"/>
              </w:rPr>
              <w:t>□</w:t>
            </w:r>
            <w:r>
              <w:rPr>
                <w:rFonts w:hint="eastAsia" w:ascii="宋体" w:hAnsi="宋体" w:cs="宋体"/>
                <w:color w:val="000000"/>
                <w:sz w:val="24"/>
              </w:rPr>
              <w:t>路演活动</w:t>
            </w:r>
          </w:p>
          <w:p>
            <w:pPr>
              <w:tabs>
                <w:tab w:val="left" w:pos="3045"/>
                <w:tab w:val="center" w:pos="3199"/>
              </w:tabs>
              <w:spacing w:line="480" w:lineRule="atLeast"/>
              <w:rPr>
                <w:rFonts w:ascii="宋体" w:hAnsi="宋体" w:cs="宋体"/>
                <w:bCs/>
                <w:iCs/>
                <w:color w:val="000000"/>
                <w:sz w:val="24"/>
              </w:rPr>
            </w:pPr>
            <w:r>
              <w:rPr>
                <w:rFonts w:hint="eastAsia" w:ascii="宋体" w:hAnsi="宋体" w:cs="宋体"/>
                <w:bCs/>
                <w:iCs/>
                <w:color w:val="000000"/>
                <w:sz w:val="24"/>
              </w:rPr>
              <w:t>□</w:t>
            </w:r>
            <w:r>
              <w:rPr>
                <w:rFonts w:hint="eastAsia" w:ascii="宋体" w:hAnsi="宋体" w:cs="宋体"/>
                <w:color w:val="000000"/>
                <w:sz w:val="24"/>
              </w:rPr>
              <w:t>现场参观</w:t>
            </w:r>
            <w:r>
              <w:rPr>
                <w:rFonts w:hint="eastAsia" w:ascii="宋体" w:hAnsi="宋体" w:cs="宋体"/>
                <w:bCs/>
                <w:iCs/>
                <w:color w:val="000000"/>
                <w:sz w:val="24"/>
              </w:rPr>
              <w:tab/>
            </w:r>
          </w:p>
          <w:p>
            <w:pPr>
              <w:tabs>
                <w:tab w:val="center" w:pos="3199"/>
              </w:tabs>
              <w:spacing w:line="480" w:lineRule="atLeast"/>
              <w:rPr>
                <w:rFonts w:ascii="宋体" w:hAnsi="宋体" w:cs="宋体"/>
                <w:bCs/>
                <w:iCs/>
                <w:color w:val="000000"/>
                <w:sz w:val="24"/>
              </w:rPr>
            </w:pPr>
            <w:r>
              <w:rPr>
                <w:rFonts w:hint="eastAsia" w:ascii="宋体" w:hAnsi="宋体" w:cs="宋体"/>
                <w:bCs/>
                <w:iCs/>
                <w:color w:val="000000"/>
                <w:sz w:val="24"/>
              </w:rPr>
              <w:t>□</w:t>
            </w:r>
            <w:r>
              <w:rPr>
                <w:rFonts w:hint="eastAsia" w:ascii="宋体" w:hAnsi="宋体" w:cs="宋体"/>
                <w:color w:val="000000"/>
                <w:sz w:val="24"/>
              </w:rPr>
              <w:t>其他 （</w:t>
            </w:r>
            <w:r>
              <w:rPr>
                <w:rFonts w:hint="eastAsia" w:ascii="宋体" w:hAnsi="宋体" w:cs="宋体"/>
                <w:color w:val="00000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cs="宋体"/>
                <w:color w:val="000000"/>
                <w:sz w:val="24"/>
              </w:rPr>
            </w:pPr>
            <w:r>
              <w:rPr>
                <w:rFonts w:hint="eastAsia" w:ascii="宋体" w:hAnsi="宋体" w:cs="宋体"/>
                <w:color w:val="000000"/>
                <w:sz w:val="24"/>
                <w:lang w:val="en-US" w:eastAsia="zh-CN"/>
              </w:rPr>
              <w:t>财</w:t>
            </w:r>
            <w:r>
              <w:rPr>
                <w:rFonts w:hint="eastAsia" w:ascii="宋体" w:hAnsi="宋体" w:cs="宋体"/>
                <w:color w:val="000000"/>
                <w:sz w:val="24"/>
              </w:rPr>
              <w:t>通证券                         李帅华</w:t>
            </w:r>
          </w:p>
          <w:p>
            <w:pPr>
              <w:spacing w:line="480" w:lineRule="atLeast"/>
              <w:rPr>
                <w:rFonts w:ascii="宋体" w:hAnsi="宋体" w:cs="宋体"/>
                <w:color w:val="000000"/>
                <w:sz w:val="24"/>
              </w:rPr>
            </w:pPr>
            <w:r>
              <w:rPr>
                <w:rFonts w:hint="eastAsia" w:ascii="宋体" w:hAnsi="宋体" w:cs="宋体"/>
                <w:color w:val="000000"/>
                <w:sz w:val="24"/>
              </w:rPr>
              <w:t>卜元投资                         赵求实</w:t>
            </w:r>
          </w:p>
          <w:p>
            <w:pPr>
              <w:spacing w:line="480" w:lineRule="atLeast"/>
              <w:rPr>
                <w:rFonts w:ascii="宋体" w:hAnsi="宋体" w:cs="宋体"/>
                <w:color w:val="000000"/>
                <w:sz w:val="24"/>
              </w:rPr>
            </w:pPr>
            <w:r>
              <w:rPr>
                <w:rFonts w:hint="eastAsia" w:ascii="宋体" w:hAnsi="宋体" w:cs="宋体"/>
                <w:color w:val="000000"/>
                <w:sz w:val="24"/>
              </w:rPr>
              <w:t xml:space="preserve">浙江昆源    </w:t>
            </w:r>
            <w:bookmarkStart w:id="0" w:name="_GoBack"/>
            <w:bookmarkEnd w:id="0"/>
            <w:r>
              <w:rPr>
                <w:rFonts w:hint="eastAsia" w:ascii="宋体" w:hAnsi="宋体" w:cs="宋体"/>
                <w:color w:val="000000"/>
                <w:sz w:val="24"/>
              </w:rPr>
              <w:t xml:space="preserve">                     张  瑜</w:t>
            </w:r>
          </w:p>
          <w:p>
            <w:pPr>
              <w:spacing w:line="480" w:lineRule="atLeast"/>
              <w:rPr>
                <w:rFonts w:ascii="宋体" w:hAnsi="宋体" w:cs="宋体"/>
                <w:color w:val="000000"/>
                <w:sz w:val="24"/>
              </w:rPr>
            </w:pPr>
            <w:r>
              <w:rPr>
                <w:rFonts w:hint="eastAsia" w:ascii="宋体" w:hAnsi="宋体" w:cs="宋体"/>
                <w:color w:val="000000"/>
                <w:sz w:val="24"/>
              </w:rPr>
              <w:t>浙江昆源                         陈庆特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cs="宋体"/>
                <w:bCs/>
                <w:iCs/>
                <w:color w:val="000000"/>
                <w:sz w:val="24"/>
              </w:rPr>
            </w:pPr>
            <w:r>
              <w:rPr>
                <w:rFonts w:hint="eastAsia" w:ascii="宋体" w:hAnsi="宋体" w:cs="宋体"/>
                <w:bCs/>
                <w:iCs/>
                <w:color w:val="000000"/>
                <w:sz w:val="24"/>
              </w:rPr>
              <w:t>2020年6月9日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cs="宋体"/>
                <w:bCs/>
                <w:iCs/>
                <w:color w:val="000000"/>
                <w:sz w:val="24"/>
              </w:rPr>
            </w:pPr>
            <w:r>
              <w:rPr>
                <w:rFonts w:hint="eastAsia" w:ascii="宋体" w:hAnsi="宋体" w:cs="宋体"/>
                <w:color w:val="000000"/>
                <w:spacing w:val="16"/>
                <w:sz w:val="24"/>
              </w:rPr>
              <w:t>浙江省东阳市横店电子产业园区工业大道196号公司办公楼一号会议室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cs="宋体"/>
                <w:bCs/>
                <w:iCs/>
                <w:color w:val="000000"/>
                <w:sz w:val="24"/>
              </w:rPr>
            </w:pPr>
            <w:r>
              <w:rPr>
                <w:rFonts w:hint="eastAsia" w:ascii="宋体" w:hAnsi="宋体" w:cs="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董事会秘书：钱英红</w:t>
            </w:r>
          </w:p>
          <w:p>
            <w:pPr>
              <w:spacing w:line="480" w:lineRule="atLeast"/>
              <w:rPr>
                <w:rFonts w:ascii="宋体" w:hAnsi="宋体" w:cs="宋体"/>
                <w:bCs/>
                <w:iCs/>
                <w:color w:val="000000"/>
                <w:sz w:val="24"/>
              </w:rPr>
            </w:pPr>
            <w:r>
              <w:rPr>
                <w:rFonts w:hint="eastAsia" w:ascii="宋体" w:hAnsi="宋体" w:cs="宋体"/>
                <w:bCs/>
                <w:iCs/>
                <w:color w:val="000000"/>
                <w:sz w:val="24"/>
              </w:rPr>
              <w:t>英洛华财务总监：刘江元</w:t>
            </w:r>
          </w:p>
          <w:p>
            <w:pPr>
              <w:spacing w:line="480" w:lineRule="atLeast"/>
              <w:rPr>
                <w:rFonts w:ascii="宋体" w:hAnsi="宋体" w:cs="宋体"/>
                <w:bCs/>
                <w:iCs/>
                <w:color w:val="000000"/>
                <w:sz w:val="24"/>
              </w:rPr>
            </w:pPr>
            <w:r>
              <w:rPr>
                <w:rFonts w:hint="eastAsia" w:ascii="宋体" w:hAnsi="宋体" w:cs="宋体"/>
                <w:bCs/>
                <w:iCs/>
                <w:color w:val="000000"/>
                <w:sz w:val="24"/>
              </w:rPr>
              <w:t>英洛华财务副总监：楼荣福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投资者关系活动主要内容介绍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cs="宋体"/>
                <w:b/>
                <w:iCs/>
                <w:color w:val="000000"/>
                <w:sz w:val="24"/>
              </w:rPr>
            </w:pPr>
          </w:p>
          <w:p>
            <w:pPr>
              <w:adjustRightInd w:val="0"/>
              <w:snapToGrid w:val="0"/>
              <w:spacing w:line="500" w:lineRule="exact"/>
              <w:rPr>
                <w:rFonts w:ascii="宋体" w:hAnsi="宋体"/>
                <w:bCs/>
                <w:iCs/>
                <w:color w:val="000000"/>
                <w:sz w:val="24"/>
              </w:rPr>
            </w:pPr>
            <w:r>
              <w:rPr>
                <w:rFonts w:hint="eastAsia" w:ascii="宋体" w:hAnsi="宋体"/>
                <w:bCs/>
                <w:iCs/>
                <w:color w:val="000000"/>
                <w:sz w:val="24"/>
              </w:rPr>
              <w:t xml:space="preserve">    </w:t>
            </w:r>
            <w:r>
              <w:rPr>
                <w:rFonts w:hint="eastAsia" w:ascii="宋体" w:hAnsi="宋体" w:cs="宋体"/>
                <w:color w:val="000000"/>
                <w:sz w:val="24"/>
              </w:rPr>
              <w:t>投资者主要针对钕铁硼磁性材料及电机业务与公司相关人员互动交流</w:t>
            </w:r>
            <w:r>
              <w:rPr>
                <w:rFonts w:hint="eastAsia" w:ascii="宋体" w:hAnsi="宋体"/>
                <w:bCs/>
                <w:iCs/>
                <w:color w:val="000000"/>
                <w:sz w:val="24"/>
              </w:rPr>
              <w:t>（互动问题见附件）。</w:t>
            </w:r>
          </w:p>
          <w:p>
            <w:pPr>
              <w:spacing w:line="480" w:lineRule="atLeast"/>
              <w:rPr>
                <w:rFonts w:ascii="宋体" w:hAnsi="宋体" w:cs="宋体"/>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cs="宋体"/>
                <w:bCs/>
                <w:iCs/>
                <w:color w:val="000000"/>
                <w:sz w:val="24"/>
              </w:rPr>
            </w:pPr>
            <w:r>
              <w:rPr>
                <w:rFonts w:hint="eastAsia" w:ascii="宋体" w:hAnsi="宋体" w:cs="宋体"/>
                <w:bCs/>
                <w:iCs/>
                <w:color w:val="000000"/>
                <w:sz w:val="24"/>
              </w:rPr>
              <w:t>2020年6月9日</w:t>
            </w:r>
          </w:p>
        </w:tc>
      </w:tr>
    </w:tbl>
    <w:p>
      <w:pPr>
        <w:rPr>
          <w:color w:val="000000"/>
          <w:sz w:val="28"/>
          <w:szCs w:val="28"/>
        </w:rPr>
      </w:pPr>
      <w:r>
        <w:rPr>
          <w:rFonts w:hint="eastAsia"/>
          <w:color w:val="000000"/>
          <w:sz w:val="28"/>
          <w:szCs w:val="28"/>
        </w:rPr>
        <w:t>附件：</w:t>
      </w:r>
    </w:p>
    <w:p>
      <w:pPr>
        <w:spacing w:before="156" w:beforeLines="50" w:after="312" w:afterLines="100"/>
        <w:jc w:val="center"/>
        <w:rPr>
          <w:rFonts w:ascii="宋体" w:hAnsi="宋体" w:cs="宋体"/>
          <w:color w:val="000000"/>
          <w:sz w:val="28"/>
          <w:szCs w:val="28"/>
        </w:rPr>
      </w:pPr>
      <w:r>
        <w:rPr>
          <w:rFonts w:hint="eastAsia" w:ascii="宋体" w:hAnsi="宋体" w:cs="宋体"/>
          <w:color w:val="000000"/>
          <w:sz w:val="32"/>
          <w:szCs w:val="32"/>
        </w:rPr>
        <w:t>2020年6月9日调研活动附件之互动问题</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浙江联宜电机有限公司销售的电机系列产品中，哪一种类电机占比最大？</w:t>
      </w:r>
    </w:p>
    <w:p>
      <w:pPr>
        <w:spacing w:before="156"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答：浙江联宜电机有限公司（以下简称“联宜电机”）生产的电机系列产品种类较多，应用于不同的细分行业。根据细分行业的市场需求，公司生产的电机主要可分为工业和民用两大类，目前应用于民用领域的电机占比较大，如智能家电、电动轮椅和代步车等。</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公司电动轮椅和代步车的销售模式？</w:t>
      </w:r>
    </w:p>
    <w:p>
      <w:pPr>
        <w:spacing w:before="156"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答：公司生产销售的电动轮椅和代步车一部分在国内销售，另一部分出口国外。销售渠道是公司直销与经销商代理销售相结合。</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公司电机产业未来的发展规划是什么？</w:t>
      </w:r>
    </w:p>
    <w:p>
      <w:pPr>
        <w:numPr>
          <w:ilvl w:val="255"/>
          <w:numId w:val="0"/>
        </w:numPr>
        <w:spacing w:before="156"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答：公司电机产业将逐步增加高端产品的市场份额，进一步开拓新产品应用领域。</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公司磁性材料产品运用于哪些消费电子类产品？</w:t>
      </w:r>
    </w:p>
    <w:p>
      <w:pPr>
        <w:spacing w:before="156"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答：公司钕铁硼磁性材料产品主要用于计算机、手机等消费电子类以及新能源汽车、风力发电、高性能电机等产品。</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国家稀土收储政策对公司的影响有多大？</w:t>
      </w:r>
    </w:p>
    <w:p>
      <w:pPr>
        <w:numPr>
          <w:ilvl w:val="255"/>
          <w:numId w:val="0"/>
        </w:numPr>
        <w:spacing w:before="156"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答:稀土属于钕铁硼磁性材料的上游产业。国家对稀土进行收储是战略储备，对稀土材料价格短期</w:t>
      </w:r>
      <w:r>
        <w:rPr>
          <w:rFonts w:hint="eastAsia" w:ascii="宋体" w:hAnsi="宋体" w:cs="宋体"/>
          <w:color w:val="000000"/>
          <w:sz w:val="28"/>
          <w:szCs w:val="28"/>
          <w:lang w:val="en-US" w:eastAsia="zh-CN"/>
        </w:rPr>
        <w:t>内可能</w:t>
      </w:r>
      <w:r>
        <w:rPr>
          <w:rFonts w:hint="eastAsia" w:ascii="宋体" w:hAnsi="宋体" w:cs="宋体"/>
          <w:color w:val="000000"/>
          <w:sz w:val="28"/>
          <w:szCs w:val="28"/>
        </w:rPr>
        <w:t>会有一定影响。</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新冠疫情对公司磁性材料业务和电机业务有何影响？</w:t>
      </w:r>
    </w:p>
    <w:p>
      <w:pPr>
        <w:spacing w:before="156"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答：春节之后虽受到新冠疫情的影响，但公司整体复工较早，客户对公司产品又有较高的信赖度，磁性材料和电机业务一季度整体影响不是很大。二季度以来，国外疫情持续发酵，因公司下游某些行业客户的供应链及业务产生连锁反应，公司磁性材料业务受到一定影响。</w:t>
      </w:r>
    </w:p>
    <w:p>
      <w:pPr>
        <w:numPr>
          <w:ilvl w:val="0"/>
          <w:numId w:val="1"/>
        </w:numPr>
        <w:spacing w:before="156" w:beforeLines="50" w:line="52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公司控股子公司浙江英洛华装备制造有限公司未来发展定位？</w:t>
      </w:r>
    </w:p>
    <w:p>
      <w:pPr>
        <w:spacing w:before="156" w:beforeLines="50" w:line="520" w:lineRule="exact"/>
        <w:ind w:firstLine="560" w:firstLineChars="200"/>
        <w:rPr>
          <w:rFonts w:ascii="宋体" w:hAnsi="宋体" w:cs="宋体"/>
          <w:b/>
          <w:bCs/>
          <w:color w:val="000000"/>
          <w:sz w:val="28"/>
          <w:szCs w:val="28"/>
        </w:rPr>
      </w:pPr>
      <w:r>
        <w:rPr>
          <w:rFonts w:hint="eastAsia" w:ascii="宋体" w:hAnsi="宋体" w:cs="宋体"/>
          <w:color w:val="000000"/>
          <w:sz w:val="28"/>
          <w:szCs w:val="28"/>
        </w:rPr>
        <w:t>答：浙江英洛华装备制造有限公司产品未来主要应用于化工阀门、水利阀门、工程机械及核电等行业领域。</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6F9FE"/>
    <w:multiLevelType w:val="singleLevel"/>
    <w:tmpl w:val="C8C6F9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9D1696"/>
    <w:rsid w:val="00030879"/>
    <w:rsid w:val="000F205E"/>
    <w:rsid w:val="00146F6C"/>
    <w:rsid w:val="001B119D"/>
    <w:rsid w:val="001B7CA5"/>
    <w:rsid w:val="00226E31"/>
    <w:rsid w:val="002464A8"/>
    <w:rsid w:val="0024750F"/>
    <w:rsid w:val="002F13F8"/>
    <w:rsid w:val="002F50DC"/>
    <w:rsid w:val="003A425F"/>
    <w:rsid w:val="003E1D6F"/>
    <w:rsid w:val="003E3A34"/>
    <w:rsid w:val="0048750C"/>
    <w:rsid w:val="00597B70"/>
    <w:rsid w:val="00626F2D"/>
    <w:rsid w:val="006A7E6A"/>
    <w:rsid w:val="006C6EFF"/>
    <w:rsid w:val="006D3FF0"/>
    <w:rsid w:val="00747E12"/>
    <w:rsid w:val="007923E9"/>
    <w:rsid w:val="007B3FA8"/>
    <w:rsid w:val="007C51DE"/>
    <w:rsid w:val="00896C7B"/>
    <w:rsid w:val="009D2E5C"/>
    <w:rsid w:val="00AE2CE6"/>
    <w:rsid w:val="00B230E6"/>
    <w:rsid w:val="00B7095A"/>
    <w:rsid w:val="00B8277C"/>
    <w:rsid w:val="00BA744E"/>
    <w:rsid w:val="00C87A6D"/>
    <w:rsid w:val="00CA13F0"/>
    <w:rsid w:val="00D170E7"/>
    <w:rsid w:val="00E33A2B"/>
    <w:rsid w:val="00EC6750"/>
    <w:rsid w:val="00F11FF9"/>
    <w:rsid w:val="00F14484"/>
    <w:rsid w:val="00FB5141"/>
    <w:rsid w:val="00FF42FF"/>
    <w:rsid w:val="015B089A"/>
    <w:rsid w:val="0685170E"/>
    <w:rsid w:val="07084A40"/>
    <w:rsid w:val="077225E9"/>
    <w:rsid w:val="08632B7F"/>
    <w:rsid w:val="09E80661"/>
    <w:rsid w:val="0A966B18"/>
    <w:rsid w:val="0AC108C2"/>
    <w:rsid w:val="1088349D"/>
    <w:rsid w:val="116748AB"/>
    <w:rsid w:val="15B14AC1"/>
    <w:rsid w:val="17584513"/>
    <w:rsid w:val="19736AF5"/>
    <w:rsid w:val="1EC64852"/>
    <w:rsid w:val="1F2369E0"/>
    <w:rsid w:val="1F826201"/>
    <w:rsid w:val="1FA774B7"/>
    <w:rsid w:val="21542E8B"/>
    <w:rsid w:val="23FC63B3"/>
    <w:rsid w:val="25F3773C"/>
    <w:rsid w:val="281F29F4"/>
    <w:rsid w:val="2868165B"/>
    <w:rsid w:val="2D330C71"/>
    <w:rsid w:val="2DE91751"/>
    <w:rsid w:val="2F813E8A"/>
    <w:rsid w:val="2F8D45B2"/>
    <w:rsid w:val="364C7457"/>
    <w:rsid w:val="37D308AC"/>
    <w:rsid w:val="40153EB2"/>
    <w:rsid w:val="417A0575"/>
    <w:rsid w:val="42FB31BC"/>
    <w:rsid w:val="45B60B41"/>
    <w:rsid w:val="471D7EB8"/>
    <w:rsid w:val="48A320CB"/>
    <w:rsid w:val="48AC64E0"/>
    <w:rsid w:val="49CE6D31"/>
    <w:rsid w:val="4AA77700"/>
    <w:rsid w:val="4F4A188F"/>
    <w:rsid w:val="5028526A"/>
    <w:rsid w:val="52F64727"/>
    <w:rsid w:val="54D44841"/>
    <w:rsid w:val="599D1696"/>
    <w:rsid w:val="5DFE2C09"/>
    <w:rsid w:val="5ECC673F"/>
    <w:rsid w:val="60E6697B"/>
    <w:rsid w:val="61FE6CC2"/>
    <w:rsid w:val="642B4D85"/>
    <w:rsid w:val="65AC0925"/>
    <w:rsid w:val="67DC78FC"/>
    <w:rsid w:val="6ACE54E1"/>
    <w:rsid w:val="6EE97305"/>
    <w:rsid w:val="73B81DDF"/>
    <w:rsid w:val="77BD2628"/>
    <w:rsid w:val="78202798"/>
    <w:rsid w:val="7D3C13CE"/>
    <w:rsid w:val="7F47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 w:type="character" w:customStyle="1" w:styleId="10">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1123</Characters>
  <Lines>9</Lines>
  <Paragraphs>2</Paragraphs>
  <TotalTime>7</TotalTime>
  <ScaleCrop>false</ScaleCrop>
  <LinksUpToDate>false</LinksUpToDate>
  <CharactersWithSpaces>1318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2020-06-10T06:40:00Z</dcterms:created>
  <dc:creator>L-A-D-Y</dc:creator>
  <cp:lastModifiedBy>L-A-D-Y</cp:lastModifiedBy>
  <dcterms:modified xsi:type="dcterms:W3CDTF">2020-06-10T09:41:11Z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