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line="400" w:lineRule="exact"/>
        <w:rPr>
          <w:bCs/>
          <w:iCs/>
          <w:sz w:val="24"/>
        </w:rPr>
      </w:pPr>
      <w:r>
        <w:rPr>
          <w:bCs/>
          <w:iCs/>
          <w:sz w:val="24"/>
        </w:rPr>
        <w:t>证券代码：000969                                   证券简称：安泰科技</w:t>
      </w:r>
    </w:p>
    <w:p>
      <w:pPr>
        <w:spacing w:before="156" w:beforeLines="50" w:after="156" w:afterLines="50" w:line="400" w:lineRule="exact"/>
        <w:jc w:val="center"/>
        <w:rPr>
          <w:b/>
          <w:bCs/>
          <w:iCs/>
          <w:sz w:val="32"/>
          <w:szCs w:val="32"/>
        </w:rPr>
      </w:pPr>
      <w:r>
        <w:rPr>
          <w:b/>
          <w:bCs/>
          <w:iCs/>
          <w:sz w:val="32"/>
          <w:szCs w:val="32"/>
        </w:rPr>
        <w:t>安泰科技股份有限公司投资者关系活动记录表</w:t>
      </w:r>
    </w:p>
    <w:p>
      <w:pPr>
        <w:spacing w:line="400" w:lineRule="exact"/>
        <w:rPr>
          <w:bCs/>
          <w:iCs/>
          <w:sz w:val="24"/>
        </w:rPr>
      </w:pPr>
      <w:r>
        <w:rPr>
          <w:bCs/>
          <w:iCs/>
          <w:sz w:val="24"/>
        </w:rPr>
        <w:t xml:space="preserve">                                                        编号：20</w:t>
      </w:r>
      <w:r>
        <w:rPr>
          <w:rFonts w:hint="eastAsia"/>
          <w:bCs/>
          <w:iCs/>
          <w:sz w:val="24"/>
        </w:rPr>
        <w:t>20</w:t>
      </w:r>
      <w:r>
        <w:rPr>
          <w:bCs/>
          <w:iCs/>
          <w:sz w:val="24"/>
        </w:rPr>
        <w:t>-0</w:t>
      </w:r>
      <w:r>
        <w:rPr>
          <w:rFonts w:hint="eastAsia"/>
          <w:bCs/>
          <w:iCs/>
          <w:sz w:val="24"/>
        </w:rPr>
        <w:t>02</w:t>
      </w:r>
    </w:p>
    <w:tbl>
      <w:tblPr>
        <w:tblStyle w:val="9"/>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投资者关系</w:t>
            </w:r>
          </w:p>
          <w:p>
            <w:pPr>
              <w:spacing w:line="360" w:lineRule="auto"/>
              <w:jc w:val="center"/>
              <w:rPr>
                <w:bCs/>
                <w:iCs/>
                <w:sz w:val="24"/>
              </w:rPr>
            </w:pPr>
            <w:r>
              <w:rPr>
                <w:bCs/>
                <w:iCs/>
                <w:sz w:val="24"/>
              </w:rPr>
              <w:t>活动类别</w:t>
            </w:r>
          </w:p>
        </w:tc>
        <w:tc>
          <w:tcPr>
            <w:tcW w:w="7642"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bCs/>
                <w:iCs/>
                <w:sz w:val="24"/>
              </w:rPr>
              <w:t>■</w:t>
            </w:r>
            <w:r>
              <w:rPr>
                <w:sz w:val="24"/>
              </w:rPr>
              <w:t xml:space="preserve">特定对象调研        </w:t>
            </w:r>
            <w:r>
              <w:rPr>
                <w:bCs/>
                <w:iCs/>
                <w:sz w:val="24"/>
              </w:rPr>
              <w:t>□</w:t>
            </w:r>
            <w:r>
              <w:rPr>
                <w:sz w:val="24"/>
              </w:rPr>
              <w:t>分析师会议</w:t>
            </w:r>
          </w:p>
          <w:p>
            <w:pPr>
              <w:spacing w:line="360" w:lineRule="auto"/>
              <w:rPr>
                <w:bCs/>
                <w:iCs/>
                <w:sz w:val="24"/>
              </w:rPr>
            </w:pPr>
            <w:r>
              <w:rPr>
                <w:bCs/>
                <w:iCs/>
                <w:sz w:val="24"/>
              </w:rPr>
              <w:t>□</w:t>
            </w:r>
            <w:r>
              <w:rPr>
                <w:sz w:val="24"/>
              </w:rPr>
              <w:t xml:space="preserve">媒体采访            </w:t>
            </w:r>
            <w:r>
              <w:rPr>
                <w:bCs/>
                <w:iCs/>
                <w:sz w:val="24"/>
              </w:rPr>
              <w:t>□</w:t>
            </w:r>
            <w:r>
              <w:rPr>
                <w:sz w:val="24"/>
              </w:rPr>
              <w:t>业绩说明会</w:t>
            </w:r>
          </w:p>
          <w:p>
            <w:pPr>
              <w:spacing w:line="360" w:lineRule="auto"/>
              <w:rPr>
                <w:bCs/>
                <w:iCs/>
                <w:sz w:val="24"/>
              </w:rPr>
            </w:pPr>
            <w:r>
              <w:rPr>
                <w:bCs/>
                <w:iCs/>
                <w:sz w:val="24"/>
              </w:rPr>
              <w:t>□</w:t>
            </w:r>
            <w:r>
              <w:rPr>
                <w:sz w:val="24"/>
              </w:rPr>
              <w:t xml:space="preserve">新闻发布会          </w:t>
            </w:r>
            <w:r>
              <w:rPr>
                <w:bCs/>
                <w:iCs/>
                <w:sz w:val="24"/>
              </w:rPr>
              <w:t>□</w:t>
            </w:r>
            <w:r>
              <w:rPr>
                <w:sz w:val="24"/>
              </w:rPr>
              <w:t>路演活动</w:t>
            </w:r>
          </w:p>
          <w:p>
            <w:pPr>
              <w:tabs>
                <w:tab w:val="center" w:pos="3199"/>
              </w:tabs>
              <w:spacing w:line="360" w:lineRule="auto"/>
              <w:rPr>
                <w:bCs/>
                <w:iCs/>
                <w:sz w:val="24"/>
              </w:rPr>
            </w:pPr>
            <w:r>
              <w:rPr>
                <w:bCs/>
                <w:iCs/>
                <w:sz w:val="24"/>
              </w:rPr>
              <w:t>□</w:t>
            </w:r>
            <w:r>
              <w:rPr>
                <w:sz w:val="24"/>
              </w:rPr>
              <w:t>现场参观</w:t>
            </w:r>
            <w:r>
              <w:rPr>
                <w:bCs/>
                <w:iCs/>
                <w:sz w:val="24"/>
              </w:rPr>
              <w:t xml:space="preserve">            □</w:t>
            </w:r>
            <w:r>
              <w:rPr>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iCs/>
                <w:sz w:val="24"/>
              </w:rPr>
            </w:pPr>
            <w:r>
              <w:rPr>
                <w:bCs/>
                <w:iCs/>
                <w:sz w:val="24"/>
              </w:rPr>
              <w:t>参与单位名称及人员姓名</w:t>
            </w:r>
          </w:p>
        </w:tc>
        <w:tc>
          <w:tcPr>
            <w:tcW w:w="76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iCs/>
                <w:sz w:val="24"/>
              </w:rPr>
            </w:pPr>
            <w:r>
              <w:rPr>
                <w:rFonts w:hint="eastAsia"/>
                <w:bCs/>
                <w:iCs/>
                <w:sz w:val="24"/>
                <w:highlight w:val="none"/>
              </w:rPr>
              <w:t>安信证券-齐丁、王政</w:t>
            </w:r>
            <w:r>
              <w:rPr>
                <w:rFonts w:hint="eastAsia"/>
                <w:bCs/>
                <w:iCs/>
                <w:sz w:val="24"/>
                <w:highlight w:val="none"/>
                <w:lang w:eastAsia="zh-CN"/>
              </w:rPr>
              <w:t>，国信证券</w:t>
            </w:r>
            <w:r>
              <w:rPr>
                <w:rFonts w:hint="eastAsia"/>
                <w:bCs/>
                <w:iCs/>
                <w:sz w:val="24"/>
                <w:highlight w:val="none"/>
                <w:lang w:val="en-US" w:eastAsia="zh-CN"/>
              </w:rPr>
              <w:t>-商艾华、龚诚，国泰君安证券-魏雨迪、李鹏飞、张树玮，光大证券-刘慨昂、李伟峰，中泰证券-郭中伟、谢鸿鹤，天风证券-王小芃，太平洋证券-杨坤河，长城证券-孙志轩，中信建投证券-胡英粲，平安证券-胡小禹，华泰证券-马晓晨、李斌，银河证券-匡立新，恒泰证券-张诏扬，深圳中和阳光股权投资基金管理有限公司-李敬民，上海御厚投资管理有限公司-陈晓曲、樊政，巨贝资本-周鋐亮，深圳锦洋投资基金管理有限公司-李宏钊等共61家机构投资者报名参与本次线上调研交流活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rFonts w:hint="eastAsia"/>
                <w:bCs/>
                <w:iCs/>
                <w:sz w:val="24"/>
              </w:rPr>
              <w:t>接待</w:t>
            </w:r>
            <w:r>
              <w:rPr>
                <w:bCs/>
                <w:iCs/>
                <w:sz w:val="24"/>
              </w:rPr>
              <w:t>时间</w:t>
            </w:r>
          </w:p>
        </w:tc>
        <w:tc>
          <w:tcPr>
            <w:tcW w:w="7642"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bCs/>
                <w:iCs/>
                <w:sz w:val="24"/>
              </w:rPr>
              <w:t>20</w:t>
            </w:r>
            <w:r>
              <w:rPr>
                <w:rFonts w:hint="eastAsia"/>
                <w:bCs/>
                <w:iCs/>
                <w:sz w:val="24"/>
              </w:rPr>
              <w:t>20</w:t>
            </w:r>
            <w:r>
              <w:rPr>
                <w:bCs/>
                <w:iCs/>
                <w:sz w:val="24"/>
              </w:rPr>
              <w:t>年</w:t>
            </w:r>
            <w:r>
              <w:rPr>
                <w:rFonts w:hint="eastAsia"/>
                <w:bCs/>
                <w:iCs/>
                <w:sz w:val="24"/>
              </w:rPr>
              <w:t>6</w:t>
            </w:r>
            <w:r>
              <w:rPr>
                <w:bCs/>
                <w:iCs/>
                <w:sz w:val="24"/>
              </w:rPr>
              <w:t>月</w:t>
            </w:r>
            <w:r>
              <w:rPr>
                <w:rFonts w:hint="eastAsia"/>
                <w:bCs/>
                <w:iCs/>
                <w:sz w:val="24"/>
              </w:rPr>
              <w:t>22</w:t>
            </w:r>
            <w:r>
              <w:rPr>
                <w:bCs/>
                <w:iCs/>
                <w:sz w:val="24"/>
              </w:rPr>
              <w:t>日</w:t>
            </w:r>
            <w:r>
              <w:rPr>
                <w:rFonts w:hint="eastAsia"/>
                <w:bCs/>
                <w:iCs/>
                <w:sz w:val="24"/>
              </w:rPr>
              <w:t xml:space="preserve"> 下午15:00-17:00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rFonts w:hint="eastAsia"/>
                <w:bCs/>
                <w:iCs/>
                <w:sz w:val="24"/>
              </w:rPr>
              <w:t>接待</w:t>
            </w:r>
            <w:r>
              <w:rPr>
                <w:bCs/>
                <w:iCs/>
                <w:sz w:val="24"/>
              </w:rPr>
              <w:t>地点</w:t>
            </w:r>
          </w:p>
        </w:tc>
        <w:tc>
          <w:tcPr>
            <w:tcW w:w="7642"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bCs/>
                <w:iCs/>
                <w:sz w:val="24"/>
              </w:rPr>
              <w:t>公司</w:t>
            </w:r>
            <w:r>
              <w:rPr>
                <w:rFonts w:hint="eastAsia"/>
                <w:bCs/>
                <w:iCs/>
                <w:sz w:val="24"/>
              </w:rPr>
              <w:t>总部102</w:t>
            </w:r>
            <w:r>
              <w:rPr>
                <w:bCs/>
                <w:iCs/>
                <w:sz w:val="24"/>
              </w:rPr>
              <w:t>会议室</w:t>
            </w:r>
            <w:r>
              <w:rPr>
                <w:rFonts w:hint="eastAsia"/>
                <w:bCs/>
                <w:iCs/>
                <w:sz w:val="24"/>
              </w:rPr>
              <w:t xml:space="preserve">  通讯方式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iCs/>
                <w:sz w:val="24"/>
              </w:rPr>
            </w:pPr>
            <w:r>
              <w:rPr>
                <w:bCs/>
                <w:iCs/>
                <w:sz w:val="24"/>
              </w:rPr>
              <w:t>上市公司接待人员姓名</w:t>
            </w:r>
          </w:p>
        </w:tc>
        <w:tc>
          <w:tcPr>
            <w:tcW w:w="76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iCs/>
                <w:sz w:val="24"/>
              </w:rPr>
            </w:pPr>
            <w:r>
              <w:rPr>
                <w:rFonts w:hint="eastAsia"/>
                <w:bCs/>
                <w:iCs/>
                <w:sz w:val="24"/>
              </w:rPr>
              <w:t>李军风-董事长，陈哲-副总裁、董事会秘书，刘劲松-财务负责人、总裁助理，刘国辉-战略发展部总经理，赵晨—证券事务代表，习志鹏-证券事务</w:t>
            </w:r>
            <w:r>
              <w:rPr>
                <w:rFonts w:hint="eastAsia"/>
                <w:bCs/>
                <w:iCs/>
                <w:sz w:val="24"/>
                <w:lang w:val="en-US" w:eastAsia="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投资者关系活动主要内容介绍</w:t>
            </w:r>
          </w:p>
        </w:tc>
        <w:tc>
          <w:tcPr>
            <w:tcW w:w="7642" w:type="dxa"/>
            <w:tcBorders>
              <w:top w:val="single" w:color="auto" w:sz="4" w:space="0"/>
              <w:left w:val="single" w:color="auto" w:sz="4" w:space="0"/>
              <w:bottom w:val="single" w:color="auto" w:sz="4" w:space="0"/>
              <w:right w:val="single" w:color="auto" w:sz="4" w:space="0"/>
            </w:tcBorders>
          </w:tcPr>
          <w:p>
            <w:pPr>
              <w:spacing w:line="360" w:lineRule="auto"/>
              <w:ind w:firstLine="562" w:firstLineChars="200"/>
              <w:rPr>
                <w:b/>
                <w:bCs/>
                <w:kern w:val="0"/>
                <w:sz w:val="28"/>
                <w:szCs w:val="28"/>
              </w:rPr>
            </w:pPr>
            <w:r>
              <w:rPr>
                <w:rFonts w:hint="eastAsia"/>
                <w:b/>
                <w:bCs/>
                <w:kern w:val="0"/>
                <w:sz w:val="28"/>
                <w:szCs w:val="28"/>
                <w:lang w:val="en-US" w:eastAsia="zh-CN"/>
              </w:rPr>
              <w:t>一</w:t>
            </w:r>
            <w:r>
              <w:rPr>
                <w:b/>
                <w:bCs/>
                <w:kern w:val="0"/>
                <w:sz w:val="28"/>
                <w:szCs w:val="28"/>
              </w:rPr>
              <w:t>、介绍公司</w:t>
            </w:r>
            <w:r>
              <w:rPr>
                <w:rFonts w:hint="eastAsia"/>
                <w:b/>
                <w:bCs/>
                <w:kern w:val="0"/>
                <w:sz w:val="28"/>
                <w:szCs w:val="28"/>
              </w:rPr>
              <w:t>基本情况</w:t>
            </w:r>
          </w:p>
          <w:p>
            <w:pPr>
              <w:spacing w:line="360" w:lineRule="auto"/>
              <w:ind w:firstLine="480" w:firstLineChars="200"/>
              <w:rPr>
                <w:kern w:val="0"/>
                <w:sz w:val="24"/>
              </w:rPr>
            </w:pPr>
            <w:r>
              <w:rPr>
                <w:rFonts w:hint="eastAsia"/>
                <w:kern w:val="0"/>
                <w:sz w:val="24"/>
              </w:rPr>
              <w:t>安泰科技股份有限公司（以下简称“安泰科技”或“公司”）成立于1998年12月，是以中国钢研科技集团有限公司（以下简称“中国钢研”）为主要发起人，联合清华紫光(集团)总公司等单位发起成立的股份有限公司。公司于2000年5月在深圳证券交易所主板上市（股票代码：000969），注册资本10.26亿元，中国钢研持股35.51%，公众持股64.49%。</w:t>
            </w:r>
          </w:p>
          <w:p>
            <w:pPr>
              <w:spacing w:line="360" w:lineRule="auto"/>
              <w:ind w:firstLine="480" w:firstLineChars="200"/>
              <w:rPr>
                <w:rFonts w:hint="eastAsia"/>
                <w:kern w:val="0"/>
                <w:sz w:val="24"/>
              </w:rPr>
            </w:pPr>
            <w:r>
              <w:rPr>
                <w:rFonts w:hint="eastAsia"/>
                <w:kern w:val="0"/>
                <w:sz w:val="24"/>
              </w:rPr>
              <w:t>公司致力于成为先进材料与技术的价值创造者，成立以来一直以先进金属新材料及制品的研发、生产和销售为主业，是国内新材料行业的领军企业之一。公司产品及业务服务于国家战略新兴产业，涵盖先进功能材料及器件、高端粉末冶金材料及制品、高品质特钢及及焊接材料、节能环保与高端科技服务业四大核心领域，广泛应用于新一代信息技术、节能与新能源汽车、海洋工程与高技术船舶、先进轨道交通装备、电力装备、高性能医疗器械及设备、高档数控机床及机器人、环保工程等领域，为全球高端客户提供先进材料、制品及解决方案。</w:t>
            </w:r>
          </w:p>
          <w:p>
            <w:pPr>
              <w:spacing w:line="360" w:lineRule="auto"/>
              <w:ind w:firstLine="480" w:firstLineChars="200"/>
              <w:rPr>
                <w:rFonts w:hint="eastAsia"/>
                <w:kern w:val="0"/>
                <w:sz w:val="24"/>
              </w:rPr>
            </w:pPr>
            <w:r>
              <w:rPr>
                <w:rFonts w:hint="eastAsia"/>
                <w:kern w:val="0"/>
                <w:sz w:val="24"/>
              </w:rPr>
              <w:t>公司连续入选“中关村科技园区海淀园经济二十强企业”，荣登“中关村TOP100实力榜、创新榜”，被授予“中央企业先进集体”、“中央企业先进基层党组织”、“全国文明单位”“首都精神文明单位标兵”等荣誉称号。</w:t>
            </w:r>
          </w:p>
          <w:p>
            <w:pPr>
              <w:spacing w:line="360" w:lineRule="auto"/>
              <w:ind w:firstLine="480" w:firstLineChars="200"/>
              <w:rPr>
                <w:rFonts w:hint="eastAsia"/>
                <w:kern w:val="0"/>
                <w:sz w:val="24"/>
              </w:rPr>
            </w:pPr>
            <w:r>
              <w:rPr>
                <w:rFonts w:hint="eastAsia"/>
                <w:kern w:val="0"/>
                <w:sz w:val="24"/>
              </w:rPr>
              <w:t>公司拥有雄厚的技术和研发实力，建立了完整的技术创新体系，拥有23个科技平台，其中国家级5个；公司被授予国家级企业技术中心、企业博士后科研工作站、中关村先进功能材料技术支撑平台等，并与12个国内外知名院校、科研机构和企业建立了技术创新战略联盟。</w:t>
            </w:r>
          </w:p>
          <w:p>
            <w:pPr>
              <w:spacing w:line="360" w:lineRule="auto"/>
              <w:ind w:firstLine="480" w:firstLineChars="200"/>
              <w:rPr>
                <w:rFonts w:hint="eastAsia"/>
                <w:kern w:val="0"/>
                <w:sz w:val="24"/>
              </w:rPr>
            </w:pPr>
            <w:r>
              <w:rPr>
                <w:rFonts w:hint="eastAsia"/>
                <w:kern w:val="0"/>
                <w:sz w:val="24"/>
              </w:rPr>
              <w:t>公司是我国首批科研院所转制企业之一，也是我国科研体制改革，科技成果与金融资本对接，科研院所向上市公司规范运营转型探索的先锋，开启了我国科研院所转制上市的先河，为国家科研院所改制与科技成转化树立了良好的典范。安泰科技成立伊始即以“科技精英、材料专家、创新典范、产业先锋”为定位</w:t>
            </w:r>
            <w:r>
              <w:rPr>
                <w:rFonts w:hint="eastAsia"/>
                <w:kern w:val="0"/>
                <w:sz w:val="24"/>
                <w:lang w:eastAsia="zh-CN"/>
              </w:rPr>
              <w:t>，</w:t>
            </w:r>
            <w:r>
              <w:rPr>
                <w:rFonts w:hint="eastAsia"/>
                <w:kern w:val="0"/>
                <w:sz w:val="24"/>
                <w:lang w:val="en-US" w:eastAsia="zh-CN"/>
              </w:rPr>
              <w:t>一直以来</w:t>
            </w:r>
            <w:r>
              <w:rPr>
                <w:rFonts w:hint="eastAsia"/>
                <w:kern w:val="0"/>
                <w:sz w:val="24"/>
              </w:rPr>
              <w:t>坚守初心，锐意改革、不断进取、持续创新，致力于自主创新和科技成果转化、探索发展高科技产业之路，为国家航空航天、国防军工、大科学工程、核电、半导体、高端装备等领域的关键材料和部件提供了重要保障。</w:t>
            </w:r>
          </w:p>
          <w:p>
            <w:pPr>
              <w:spacing w:line="360" w:lineRule="auto"/>
              <w:ind w:firstLine="562" w:firstLineChars="200"/>
              <w:rPr>
                <w:rFonts w:hint="eastAsia"/>
                <w:kern w:val="0"/>
                <w:sz w:val="24"/>
                <w:lang w:val="en-US" w:eastAsia="zh-CN"/>
              </w:rPr>
            </w:pPr>
            <w:r>
              <w:rPr>
                <w:rFonts w:hint="eastAsia"/>
                <w:b/>
                <w:bCs/>
                <w:kern w:val="0"/>
                <w:sz w:val="28"/>
                <w:szCs w:val="28"/>
                <w:lang w:val="en-US" w:eastAsia="zh-CN"/>
              </w:rPr>
              <w:t>二、公司“十三五”期间取得的成果</w:t>
            </w:r>
          </w:p>
          <w:p>
            <w:pPr>
              <w:spacing w:line="360" w:lineRule="auto"/>
              <w:ind w:firstLine="480" w:firstLineChars="200"/>
              <w:rPr>
                <w:rFonts w:hint="eastAsia"/>
                <w:kern w:val="0"/>
                <w:sz w:val="24"/>
                <w:lang w:val="en-US" w:eastAsia="zh-CN"/>
              </w:rPr>
            </w:pPr>
            <w:r>
              <w:rPr>
                <w:rFonts w:hint="eastAsia"/>
                <w:kern w:val="0"/>
                <w:sz w:val="24"/>
                <w:lang w:val="en-US" w:eastAsia="zh-CN"/>
              </w:rPr>
              <w:t>“十三五”期间，公司顺应国企改革形势，积极落实国资委和集团公司部署要求，结合公司具体实际，提出了产业经营、资本运作、资产运营“三位一体”的业务发展构想，并确立了以资源整合、转型发展、提质增效为主题的战略目标体系。“十三五”各项工作完成情况如下：</w:t>
            </w:r>
          </w:p>
          <w:p>
            <w:pPr>
              <w:numPr>
                <w:ilvl w:val="0"/>
                <w:numId w:val="1"/>
              </w:numPr>
              <w:spacing w:line="360" w:lineRule="auto"/>
              <w:ind w:firstLine="482" w:firstLineChars="200"/>
              <w:rPr>
                <w:rFonts w:hint="eastAsia"/>
                <w:b/>
                <w:bCs/>
                <w:kern w:val="0"/>
                <w:sz w:val="24"/>
                <w:lang w:val="en-US" w:eastAsia="zh-CN"/>
              </w:rPr>
            </w:pPr>
            <w:r>
              <w:rPr>
                <w:rFonts w:hint="eastAsia"/>
                <w:b/>
                <w:bCs/>
                <w:kern w:val="0"/>
                <w:sz w:val="24"/>
                <w:lang w:val="en-US" w:eastAsia="zh-CN"/>
              </w:rPr>
              <w:t>产业结构调整取得了初步成效</w:t>
            </w:r>
          </w:p>
          <w:p>
            <w:pPr>
              <w:spacing w:line="360" w:lineRule="auto"/>
              <w:ind w:firstLine="480" w:firstLineChars="200"/>
              <w:rPr>
                <w:rFonts w:hint="eastAsia"/>
                <w:kern w:val="0"/>
                <w:sz w:val="24"/>
                <w:lang w:val="en-US" w:eastAsia="zh-CN"/>
              </w:rPr>
            </w:pPr>
            <w:r>
              <w:rPr>
                <w:rFonts w:hint="eastAsia"/>
                <w:kern w:val="0"/>
                <w:sz w:val="24"/>
                <w:lang w:val="en-US" w:eastAsia="zh-CN"/>
              </w:rPr>
              <w:t>“十三五”期间，围绕聚焦核心主业，公司策划实施并完成了一系列重大资产并购项目。</w:t>
            </w:r>
          </w:p>
          <w:p>
            <w:pPr>
              <w:spacing w:line="360" w:lineRule="auto"/>
              <w:ind w:firstLine="480" w:firstLineChars="200"/>
              <w:rPr>
                <w:rFonts w:hint="eastAsia"/>
                <w:kern w:val="0"/>
                <w:sz w:val="24"/>
                <w:lang w:val="en-US" w:eastAsia="zh-CN"/>
              </w:rPr>
            </w:pPr>
            <w:r>
              <w:rPr>
                <w:rFonts w:hint="eastAsia"/>
                <w:kern w:val="0"/>
                <w:sz w:val="24"/>
                <w:lang w:val="en-US" w:eastAsia="zh-CN"/>
              </w:rPr>
              <w:t>2015年，公司通过发行股份配套融资，完成并购北京天龙钨钼科技股份有限公司100%股权，实现行业强强联合、优势资源整合及业务协同效应最大化，为打造具备强大市场竞争力的国际一流水平的钨钼精深加工企业奠定了基础。</w:t>
            </w:r>
          </w:p>
          <w:p>
            <w:pPr>
              <w:spacing w:line="360" w:lineRule="auto"/>
              <w:ind w:firstLine="480" w:firstLineChars="200"/>
              <w:rPr>
                <w:rFonts w:hint="eastAsia"/>
                <w:kern w:val="0"/>
                <w:sz w:val="24"/>
                <w:lang w:val="en-US" w:eastAsia="zh-CN"/>
              </w:rPr>
            </w:pPr>
            <w:r>
              <w:rPr>
                <w:rFonts w:hint="eastAsia"/>
                <w:kern w:val="0"/>
                <w:sz w:val="24"/>
                <w:lang w:val="en-US" w:eastAsia="zh-CN"/>
              </w:rPr>
              <w:t>2015年，公司抓住我国节能环保产业迎来的重大发展机遇，在整合旗下过滤材料分公司和工程技术事业部两业务单元的基础上，全资收购宁波市化工研究设计院，组建了安泰环境，现已成为公司发展活力较强、业绩增长较快、发展潜力较大的业务板块之一。</w:t>
            </w:r>
          </w:p>
          <w:p>
            <w:pPr>
              <w:spacing w:line="360" w:lineRule="auto"/>
              <w:ind w:firstLine="480" w:firstLineChars="200"/>
              <w:rPr>
                <w:rFonts w:hint="eastAsia"/>
                <w:kern w:val="0"/>
                <w:sz w:val="24"/>
                <w:lang w:val="en-US" w:eastAsia="zh-CN"/>
              </w:rPr>
            </w:pPr>
            <w:r>
              <w:rPr>
                <w:rFonts w:hint="eastAsia"/>
                <w:kern w:val="0"/>
                <w:sz w:val="24"/>
                <w:lang w:val="en-US" w:eastAsia="zh-CN"/>
              </w:rPr>
              <w:t>2019年，公司通过股权受让和增资方式，完成并购山东爱科科技有限公司，实现稀土永磁产业高质量扩张，有效解决了产能瓶颈，提高了公司对高端成品客户的供应保障能力，为进入世界一流稀土永磁供应商迈出了关键一步。</w:t>
            </w:r>
          </w:p>
          <w:p>
            <w:pPr>
              <w:spacing w:line="360" w:lineRule="auto"/>
              <w:ind w:firstLine="482" w:firstLineChars="200"/>
              <w:rPr>
                <w:rFonts w:hint="eastAsia"/>
                <w:b/>
                <w:bCs/>
                <w:kern w:val="0"/>
                <w:sz w:val="24"/>
                <w:lang w:val="en-US" w:eastAsia="zh-CN"/>
              </w:rPr>
            </w:pPr>
            <w:r>
              <w:rPr>
                <w:rFonts w:hint="eastAsia"/>
                <w:b/>
                <w:bCs/>
                <w:kern w:val="0"/>
                <w:sz w:val="24"/>
                <w:lang w:val="en-US" w:eastAsia="zh-CN"/>
              </w:rPr>
              <w:t>2、有序推进混合所有制改革</w:t>
            </w:r>
          </w:p>
          <w:p>
            <w:pPr>
              <w:spacing w:line="360" w:lineRule="auto"/>
              <w:ind w:firstLine="480" w:firstLineChars="200"/>
              <w:rPr>
                <w:rFonts w:hint="eastAsia"/>
                <w:kern w:val="0"/>
                <w:sz w:val="24"/>
                <w:lang w:val="en-US" w:eastAsia="zh-CN"/>
              </w:rPr>
            </w:pPr>
            <w:r>
              <w:rPr>
                <w:rFonts w:hint="eastAsia"/>
                <w:kern w:val="0"/>
                <w:sz w:val="24"/>
                <w:lang w:val="en-US" w:eastAsia="zh-CN"/>
              </w:rPr>
              <w:t>“十三五”期间，公司在推进“业务板块化、资产股权化、股权证券化”的改革过程中，顺应国企改革形势，在下属多家控股子企业进行了混合所有制改革尝试。</w:t>
            </w:r>
          </w:p>
          <w:p>
            <w:pPr>
              <w:spacing w:line="360" w:lineRule="auto"/>
              <w:ind w:firstLine="480" w:firstLineChars="200"/>
              <w:rPr>
                <w:rFonts w:hint="eastAsia"/>
                <w:kern w:val="0"/>
                <w:sz w:val="24"/>
                <w:lang w:val="en-US" w:eastAsia="zh-CN"/>
              </w:rPr>
            </w:pPr>
            <w:r>
              <w:rPr>
                <w:rFonts w:hint="eastAsia"/>
                <w:kern w:val="0"/>
                <w:sz w:val="24"/>
                <w:lang w:val="en-US" w:eastAsia="zh-CN"/>
              </w:rPr>
              <w:t>2015年，在组建了安泰环境的同时，实施混合所有制改革，引入民营资本和员工持股，其中安泰科技持股60%，民营企业持股10%，核心骨干持股30%；</w:t>
            </w:r>
          </w:p>
          <w:p>
            <w:pPr>
              <w:spacing w:line="360" w:lineRule="auto"/>
              <w:ind w:firstLine="480" w:firstLineChars="200"/>
              <w:rPr>
                <w:rFonts w:hint="eastAsia"/>
                <w:kern w:val="0"/>
                <w:sz w:val="24"/>
                <w:lang w:val="en-US" w:eastAsia="zh-CN"/>
              </w:rPr>
            </w:pPr>
            <w:r>
              <w:rPr>
                <w:rFonts w:hint="eastAsia"/>
                <w:kern w:val="0"/>
                <w:sz w:val="24"/>
                <w:lang w:val="en-US" w:eastAsia="zh-CN"/>
              </w:rPr>
              <w:t>2016年7月，公司整合社会资源，对雾化制粉业务重新布局，在河北霸州成立设立安泰（霸州）特种粉业有限公司，嫁接民营资本，同时引入核心骨干持股。混改完成后，安泰科技持股50%，民营企业持股40%，核心骨干持股10%；</w:t>
            </w:r>
          </w:p>
          <w:p>
            <w:pPr>
              <w:spacing w:line="360" w:lineRule="auto"/>
              <w:ind w:firstLine="480" w:firstLineChars="200"/>
              <w:rPr>
                <w:rFonts w:hint="eastAsia"/>
                <w:kern w:val="0"/>
                <w:sz w:val="24"/>
                <w:lang w:val="en-US" w:eastAsia="zh-CN"/>
              </w:rPr>
            </w:pPr>
            <w:r>
              <w:rPr>
                <w:rFonts w:hint="eastAsia"/>
                <w:kern w:val="0"/>
                <w:sz w:val="24"/>
                <w:lang w:val="en-US" w:eastAsia="zh-CN"/>
              </w:rPr>
              <w:t>2016年，公司完成对注射成型（MIM）业务板块的整合，对主要从事MIM产业的两个控股子公司海美格磁石及昆山美科进行股权整合，一并纳入海美格磁石业务平台，同时引入员工持股。至2018年底整合完成，安泰科技持有安泰海美格磁石55.58%股份，管理团队合计持股3.51%。</w:t>
            </w:r>
          </w:p>
          <w:p>
            <w:pPr>
              <w:spacing w:line="360" w:lineRule="auto"/>
              <w:ind w:firstLine="480" w:firstLineChars="200"/>
              <w:rPr>
                <w:rFonts w:hint="eastAsia"/>
                <w:kern w:val="0"/>
                <w:sz w:val="24"/>
                <w:lang w:val="en-US" w:eastAsia="zh-CN"/>
              </w:rPr>
            </w:pPr>
            <w:r>
              <w:rPr>
                <w:rFonts w:hint="eastAsia"/>
                <w:kern w:val="0"/>
                <w:sz w:val="24"/>
                <w:lang w:val="en-US" w:eastAsia="zh-CN"/>
              </w:rPr>
              <w:t>2016年7月，为进一步调动核心骨干的积极性，建立和完善公司与员工的利益共享机制，安泰中科完成混改，安泰科技持股51%，核心团队持股14%。</w:t>
            </w:r>
          </w:p>
          <w:p>
            <w:pPr>
              <w:spacing w:line="360" w:lineRule="auto"/>
              <w:ind w:firstLine="480" w:firstLineChars="200"/>
              <w:rPr>
                <w:rFonts w:hint="eastAsia"/>
                <w:kern w:val="0"/>
                <w:sz w:val="24"/>
                <w:lang w:val="en-US" w:eastAsia="zh-CN"/>
              </w:rPr>
            </w:pPr>
            <w:r>
              <w:rPr>
                <w:rFonts w:hint="eastAsia"/>
                <w:kern w:val="0"/>
                <w:sz w:val="24"/>
                <w:lang w:val="en-US" w:eastAsia="zh-CN"/>
              </w:rPr>
              <w:t>2017年，超硬泰国工厂引入美国客户SANC Materials LLC公司（美国主要客户与销售渠道）作为战略投资者，安泰超硬持股70%，Materials LLC公司持股30%。</w:t>
            </w:r>
          </w:p>
          <w:p>
            <w:pPr>
              <w:spacing w:line="360" w:lineRule="auto"/>
              <w:ind w:firstLine="480" w:firstLineChars="200"/>
              <w:rPr>
                <w:rFonts w:hint="eastAsia"/>
                <w:kern w:val="0"/>
                <w:sz w:val="24"/>
                <w:lang w:val="en-US" w:eastAsia="zh-CN"/>
              </w:rPr>
            </w:pPr>
            <w:r>
              <w:rPr>
                <w:rFonts w:hint="eastAsia"/>
                <w:kern w:val="0"/>
                <w:sz w:val="24"/>
                <w:lang w:val="en-US" w:eastAsia="zh-CN"/>
              </w:rPr>
              <w:t>通过混合所有制改革，各公司的内部活力和产业发展驱动力显著增强，部分混改企业业绩快速增长，改革成效开始初步显现。</w:t>
            </w:r>
          </w:p>
          <w:p>
            <w:pPr>
              <w:spacing w:line="360" w:lineRule="auto"/>
              <w:ind w:firstLine="482" w:firstLineChars="200"/>
              <w:rPr>
                <w:rFonts w:hint="eastAsia"/>
                <w:b/>
                <w:bCs/>
                <w:kern w:val="0"/>
                <w:sz w:val="24"/>
                <w:lang w:val="en-US" w:eastAsia="zh-CN"/>
              </w:rPr>
            </w:pPr>
            <w:r>
              <w:rPr>
                <w:rFonts w:hint="eastAsia"/>
                <w:b/>
                <w:bCs/>
                <w:kern w:val="0"/>
                <w:sz w:val="24"/>
                <w:lang w:val="en-US" w:eastAsia="zh-CN"/>
              </w:rPr>
              <w:t>3、全面解决历史遗留问题，实现轻装上阵</w:t>
            </w:r>
          </w:p>
          <w:p>
            <w:pPr>
              <w:spacing w:line="360" w:lineRule="auto"/>
              <w:ind w:firstLine="480" w:firstLineChars="200"/>
              <w:rPr>
                <w:rFonts w:hint="eastAsia"/>
                <w:kern w:val="0"/>
                <w:sz w:val="24"/>
                <w:lang w:val="en-US" w:eastAsia="zh-CN"/>
              </w:rPr>
            </w:pPr>
            <w:r>
              <w:rPr>
                <w:rFonts w:hint="eastAsia"/>
                <w:kern w:val="0"/>
                <w:sz w:val="24"/>
                <w:lang w:val="en-US" w:eastAsia="zh-CN"/>
              </w:rPr>
              <w:t>“十三五”期间，公司直面困难、统筹策划、分类施策、逐一化解，基本上解决了以往发展过程中遗留的历史包袱和多年悬而未决的重点、难点问题，为公司下一步发展创造了有利条件。</w:t>
            </w:r>
          </w:p>
          <w:p>
            <w:pPr>
              <w:spacing w:line="360" w:lineRule="auto"/>
              <w:ind w:firstLine="480" w:firstLineChars="200"/>
              <w:rPr>
                <w:rFonts w:hint="eastAsia"/>
                <w:kern w:val="0"/>
                <w:sz w:val="24"/>
                <w:lang w:val="en-US" w:eastAsia="zh-CN"/>
              </w:rPr>
            </w:pPr>
            <w:r>
              <w:rPr>
                <w:rFonts w:hint="eastAsia"/>
                <w:kern w:val="0"/>
                <w:sz w:val="24"/>
                <w:lang w:val="en-US" w:eastAsia="zh-CN"/>
              </w:rPr>
              <w:t>公司开展了处僵治困专项工作，对长其亏损的焊接业务和非晶业务分别进行了剥离退出和股权优化、业务调整，基本止住了“出血点”；结合国资委和集团法人“压减”要求，公司共完成8家子企业压减，部分低效无效资产得以盘活，累计安置员工1200余人，人员规模显著精简，实现了进一步瘦体强身。以上这些都为公司“十四五”轻装上阵奠定了基础。</w:t>
            </w:r>
          </w:p>
          <w:p>
            <w:pPr>
              <w:spacing w:line="360" w:lineRule="auto"/>
              <w:ind w:firstLine="482" w:firstLineChars="200"/>
              <w:rPr>
                <w:rFonts w:hint="eastAsia"/>
                <w:b/>
                <w:bCs/>
                <w:kern w:val="0"/>
                <w:sz w:val="24"/>
                <w:lang w:val="en-US" w:eastAsia="zh-CN"/>
              </w:rPr>
            </w:pPr>
            <w:r>
              <w:rPr>
                <w:rFonts w:hint="eastAsia"/>
                <w:b/>
                <w:bCs/>
                <w:kern w:val="0"/>
                <w:sz w:val="24"/>
                <w:lang w:val="en-US" w:eastAsia="zh-CN"/>
              </w:rPr>
              <w:t>4、技术创新成绩斐然，期待厚积薄发</w:t>
            </w:r>
          </w:p>
          <w:p>
            <w:pPr>
              <w:spacing w:line="360" w:lineRule="auto"/>
              <w:ind w:firstLine="480" w:firstLineChars="200"/>
              <w:rPr>
                <w:rFonts w:hint="eastAsia"/>
                <w:kern w:val="0"/>
                <w:sz w:val="24"/>
                <w:lang w:val="en-US" w:eastAsia="zh-CN"/>
              </w:rPr>
            </w:pPr>
            <w:r>
              <w:rPr>
                <w:rFonts w:hint="eastAsia"/>
                <w:kern w:val="0"/>
                <w:sz w:val="24"/>
                <w:lang w:val="en-US" w:eastAsia="zh-CN"/>
              </w:rPr>
              <w:t>“十三五”期间，公司研发投入总额90,668.48万元，完成公司自主研发项目165项；技术创新成绩斐然，为公司未来实现高质量发展奠定了坚实的基础；</w:t>
            </w:r>
          </w:p>
          <w:p>
            <w:pPr>
              <w:spacing w:line="360" w:lineRule="auto"/>
              <w:ind w:firstLine="480" w:firstLineChars="200"/>
              <w:rPr>
                <w:rFonts w:hint="eastAsia"/>
                <w:kern w:val="0"/>
                <w:sz w:val="24"/>
                <w:lang w:val="en-US" w:eastAsia="zh-CN"/>
              </w:rPr>
            </w:pPr>
            <w:r>
              <w:rPr>
                <w:rFonts w:hint="eastAsia"/>
                <w:kern w:val="0"/>
                <w:sz w:val="24"/>
                <w:lang w:val="en-US" w:eastAsia="zh-CN"/>
              </w:rPr>
              <w:t>完成纵向课题31项，解决系列国家和行业重大科技需求和“卡脖子”问题，在完成国家使命的同时，为公司经济发展和利润增长提供了新的动能。</w:t>
            </w:r>
          </w:p>
          <w:p>
            <w:pPr>
              <w:spacing w:line="360" w:lineRule="auto"/>
              <w:ind w:firstLine="562" w:firstLineChars="200"/>
              <w:rPr>
                <w:b/>
                <w:bCs/>
                <w:kern w:val="0"/>
                <w:sz w:val="28"/>
                <w:szCs w:val="28"/>
              </w:rPr>
            </w:pPr>
            <w:r>
              <w:rPr>
                <w:rFonts w:hint="eastAsia"/>
                <w:b/>
                <w:bCs/>
                <w:kern w:val="0"/>
                <w:sz w:val="28"/>
                <w:szCs w:val="28"/>
                <w:lang w:val="en-US" w:eastAsia="zh-CN"/>
              </w:rPr>
              <w:t>三</w:t>
            </w:r>
            <w:r>
              <w:rPr>
                <w:rFonts w:hint="eastAsia"/>
                <w:b/>
                <w:bCs/>
                <w:kern w:val="0"/>
                <w:sz w:val="28"/>
                <w:szCs w:val="28"/>
              </w:rPr>
              <w:t>、互动交流</w:t>
            </w:r>
            <w:r>
              <w:rPr>
                <w:rFonts w:hint="eastAsia"/>
                <w:b/>
                <w:bCs/>
                <w:kern w:val="0"/>
                <w:sz w:val="28"/>
                <w:szCs w:val="28"/>
                <w:lang w:val="en-US" w:eastAsia="zh-CN"/>
              </w:rPr>
              <w:t>情况</w:t>
            </w:r>
          </w:p>
          <w:p>
            <w:pPr>
              <w:spacing w:line="360" w:lineRule="auto"/>
              <w:ind w:firstLine="482" w:firstLineChars="200"/>
              <w:rPr>
                <w:rFonts w:hint="eastAsia"/>
                <w:b/>
                <w:bCs/>
                <w:kern w:val="0"/>
                <w:sz w:val="24"/>
                <w:lang w:val="en-US" w:eastAsia="zh-CN"/>
              </w:rPr>
            </w:pPr>
            <w:r>
              <w:rPr>
                <w:rFonts w:hint="eastAsia"/>
                <w:b/>
                <w:bCs/>
                <w:kern w:val="0"/>
                <w:sz w:val="24"/>
                <w:lang w:val="en-US" w:eastAsia="zh-CN"/>
              </w:rPr>
              <w:t>1、公司在国内产业升级和国产替代加速的背景下，有什么针对性的战略规划；</w:t>
            </w:r>
          </w:p>
          <w:p>
            <w:pPr>
              <w:spacing w:line="360" w:lineRule="auto"/>
              <w:ind w:firstLine="480" w:firstLineChars="200"/>
              <w:rPr>
                <w:rFonts w:hint="eastAsia"/>
                <w:kern w:val="0"/>
                <w:sz w:val="24"/>
                <w:lang w:val="en-US" w:eastAsia="zh-CN"/>
              </w:rPr>
            </w:pPr>
            <w:r>
              <w:rPr>
                <w:rFonts w:hint="eastAsia"/>
                <w:kern w:val="0"/>
                <w:sz w:val="24"/>
                <w:lang w:val="en-US" w:eastAsia="zh-CN"/>
              </w:rPr>
              <w:t>安泰科技一直以弥补国内短板、解决进口替代、服务国家战略新兴产业为立足之本，在诸多材料领域都实现了国内率先开发、部分或全部替代进口的先例。</w:t>
            </w:r>
          </w:p>
          <w:p>
            <w:pPr>
              <w:spacing w:line="360" w:lineRule="auto"/>
              <w:ind w:firstLine="480" w:firstLineChars="200"/>
              <w:rPr>
                <w:rFonts w:hint="eastAsia"/>
                <w:kern w:val="0"/>
                <w:sz w:val="24"/>
                <w:lang w:val="en-US" w:eastAsia="zh-CN"/>
              </w:rPr>
            </w:pPr>
            <w:r>
              <w:rPr>
                <w:rFonts w:hint="eastAsia"/>
                <w:kern w:val="0"/>
                <w:sz w:val="24"/>
                <w:lang w:val="en-US" w:eastAsia="zh-CN"/>
              </w:rPr>
              <w:t>中国目前正在迈入由跟踪仿制到原创引领的关键战略转折期，尤其在当前中美贸易摩擦加剧的背景下，我国高端制造业的短板凸显，多数受制于人、被卡脖子的领域背后其实是基础材料的竞争，关键材料自主化、国产化是大势所趋，这为我国材料行业和企业发展提供了巨大机遇。在这一背景下，安泰科技将在前期改革调整取得的成果基础上，积极对接我国制造业转型升级需求，抓住进口替代加速机遇，乘势而上，推动公司“十四五”步入稳定和高质量发展的新阶段。主要举措如下：</w:t>
            </w:r>
          </w:p>
          <w:p>
            <w:pPr>
              <w:spacing w:line="360" w:lineRule="auto"/>
              <w:ind w:firstLine="480" w:firstLineChars="200"/>
              <w:rPr>
                <w:rFonts w:hint="eastAsia"/>
                <w:kern w:val="0"/>
                <w:sz w:val="24"/>
                <w:lang w:val="en-US" w:eastAsia="zh-CN"/>
              </w:rPr>
            </w:pPr>
            <w:r>
              <w:rPr>
                <w:rFonts w:hint="eastAsia"/>
                <w:kern w:val="0"/>
                <w:sz w:val="24"/>
                <w:lang w:val="en-US" w:eastAsia="zh-CN"/>
              </w:rPr>
              <w:t>（1）聚焦优势领域、做强核心产业。对接国家战略和关键材料瓶颈，聚焦资源，择优扶强，打造行业单项冠军，推动核心产业进入国内领先、世界先进地位，夯实公司产业基石；</w:t>
            </w:r>
          </w:p>
          <w:p>
            <w:pPr>
              <w:spacing w:line="360" w:lineRule="auto"/>
              <w:ind w:firstLine="480" w:firstLineChars="200"/>
              <w:rPr>
                <w:rFonts w:hint="eastAsia"/>
                <w:kern w:val="0"/>
                <w:sz w:val="24"/>
                <w:lang w:val="en-US" w:eastAsia="zh-CN"/>
              </w:rPr>
            </w:pPr>
            <w:r>
              <w:rPr>
                <w:rFonts w:hint="eastAsia"/>
                <w:kern w:val="0"/>
                <w:sz w:val="24"/>
                <w:lang w:val="en-US" w:eastAsia="zh-CN"/>
              </w:rPr>
              <w:t>（2）全面盘活资源、优化资产结构。在聚焦核心产业的同时，对公司部分已进入充分竞争和产能过剩的业务实施混合所有制改革和进行股权优化，择机兑现业务价值，反哺核心主业发展，实现业务聚焦和资产结构优化；</w:t>
            </w:r>
          </w:p>
          <w:p>
            <w:pPr>
              <w:spacing w:line="360" w:lineRule="auto"/>
              <w:ind w:firstLine="480" w:firstLineChars="200"/>
              <w:rPr>
                <w:rFonts w:hint="eastAsia"/>
                <w:kern w:val="0"/>
                <w:sz w:val="24"/>
                <w:lang w:val="en-US" w:eastAsia="zh-CN"/>
              </w:rPr>
            </w:pPr>
            <w:r>
              <w:rPr>
                <w:rFonts w:hint="eastAsia"/>
                <w:kern w:val="0"/>
                <w:sz w:val="24"/>
                <w:lang w:val="en-US" w:eastAsia="zh-CN"/>
              </w:rPr>
              <w:t>（3）加强体制机制创新、激发内部活力。抓住国企改革政策红利窗口期，以落实“双百行动”、“科改示范行动”为契机，全面推进市场化、契约化改革，完善中长期激励体系，实施“增量共享”、“成果共享”，激发科技创新活力，增强内生发展动力。</w:t>
            </w:r>
          </w:p>
          <w:p>
            <w:pPr>
              <w:spacing w:line="360" w:lineRule="auto"/>
              <w:ind w:firstLine="482" w:firstLineChars="200"/>
              <w:rPr>
                <w:rFonts w:hint="eastAsia"/>
                <w:b/>
                <w:bCs/>
                <w:kern w:val="0"/>
                <w:sz w:val="24"/>
              </w:rPr>
            </w:pPr>
            <w:r>
              <w:rPr>
                <w:rFonts w:hint="eastAsia"/>
                <w:b/>
                <w:bCs/>
                <w:kern w:val="0"/>
                <w:sz w:val="24"/>
                <w:lang w:val="en-US" w:eastAsia="zh-CN"/>
              </w:rPr>
              <w:t>2、公司控股子公司</w:t>
            </w:r>
            <w:r>
              <w:rPr>
                <w:rFonts w:hint="eastAsia"/>
                <w:b/>
                <w:bCs/>
                <w:kern w:val="0"/>
                <w:sz w:val="24"/>
              </w:rPr>
              <w:t>安泰环境在氢燃料电池领域的研发情况及产业布局</w:t>
            </w:r>
            <w:r>
              <w:rPr>
                <w:rFonts w:hint="eastAsia"/>
                <w:b/>
                <w:bCs/>
                <w:kern w:val="0"/>
                <w:sz w:val="24"/>
                <w:lang w:val="en-US" w:eastAsia="zh-CN"/>
              </w:rPr>
              <w:t>情况；</w:t>
            </w:r>
          </w:p>
          <w:p>
            <w:pPr>
              <w:spacing w:line="360" w:lineRule="auto"/>
              <w:ind w:firstLine="480" w:firstLineChars="200"/>
              <w:rPr>
                <w:rFonts w:hint="eastAsia"/>
                <w:kern w:val="0"/>
                <w:sz w:val="24"/>
              </w:rPr>
            </w:pPr>
            <w:r>
              <w:rPr>
                <w:rFonts w:hint="eastAsia"/>
                <w:kern w:val="0"/>
                <w:sz w:val="24"/>
              </w:rPr>
              <w:t>安泰环境致力于成为“国际一流、国内领先”的工业过滤净化行业的科技创新型龙头企业、高端过滤材料细分市场领域的“单项冠军”。工业过滤净化是目前安泰环境的核心主业，清洁能源业务是安泰环境的重点孵化业务，包括煤炭清洁化利用开发和氢能。</w:t>
            </w:r>
          </w:p>
          <w:p>
            <w:pPr>
              <w:spacing w:line="360" w:lineRule="auto"/>
              <w:ind w:firstLine="480" w:firstLineChars="200"/>
              <w:rPr>
                <w:rFonts w:hint="eastAsia"/>
                <w:kern w:val="0"/>
                <w:sz w:val="24"/>
              </w:rPr>
            </w:pPr>
            <w:r>
              <w:rPr>
                <w:rFonts w:hint="eastAsia"/>
                <w:kern w:val="0"/>
                <w:sz w:val="24"/>
              </w:rPr>
              <w:t>安泰环境在氢能领域主要聚焦于加氢站成套装备、氢燃料电池系统和电堆及关键材料，致力于成为具有国际先进水平的氢能及氢燃料电池系统、电堆和关键材料一体化解决方案供应商。通过搭建综合性氢燃料电池研发实验室，结合产品开发进程和市场情况，逐步形成氢能关键设备技术、建设金属极板产线、金属膜气体扩散层产线、燃料电池电堆组装线和燃料电池系统产线，形成从研发到产品的转化和商业化应用结合氢能发展规划。目前，公司气体扩散层、金属双极板等材料已进入批量生产销售；结合国家课题已完成60KW以下电堆开发测试；围绕供氢，成功中标河钢集团邯郸钢铁及唐山钢铁35/70MPa加氢站示范EPC工程项目，作为安泰环境承接的加氢示范项目，正在有条不紊的推进过程中。与此同时，安泰环境作为中国氢能联盟的主要依托单位，正在参与国家氢能研究院组建和氢能标准体系的制定，并已、主导、参与完成多个省、市、地、企氢能规划制定，为安泰科技氢能产业未来正式布局创造了有利条件。</w:t>
            </w:r>
          </w:p>
          <w:p>
            <w:pPr>
              <w:numPr>
                <w:ilvl w:val="0"/>
                <w:numId w:val="2"/>
              </w:numPr>
              <w:spacing w:line="360" w:lineRule="auto"/>
              <w:ind w:firstLine="482" w:firstLineChars="200"/>
              <w:rPr>
                <w:rFonts w:hint="eastAsia"/>
                <w:b/>
                <w:bCs/>
                <w:kern w:val="0"/>
                <w:sz w:val="24"/>
              </w:rPr>
            </w:pPr>
            <w:r>
              <w:rPr>
                <w:rFonts w:hint="eastAsia"/>
                <w:b/>
                <w:bCs/>
                <w:kern w:val="0"/>
                <w:sz w:val="24"/>
              </w:rPr>
              <w:t>公司未来的重点发力领域是什么，对此有什么布局和计划。</w:t>
            </w:r>
          </w:p>
          <w:p>
            <w:pPr>
              <w:spacing w:line="360" w:lineRule="auto"/>
              <w:ind w:firstLine="480" w:firstLineChars="200"/>
              <w:rPr>
                <w:rFonts w:hint="eastAsia"/>
                <w:kern w:val="0"/>
                <w:sz w:val="24"/>
              </w:rPr>
            </w:pPr>
            <w:r>
              <w:rPr>
                <w:rFonts w:hint="eastAsia"/>
                <w:kern w:val="0"/>
                <w:sz w:val="24"/>
              </w:rPr>
              <w:t>公司未来将以“难熔钨钼为核心的高端粉末冶金及制品、稀土永磁为核心的先进功能材料及器件”为两个核心产业，深化调整，聚焦深耕，通过纵向延伸向下游制品、器件、系统及工程应用领域延伸，增厚产业价值；其他业务领域重点发展在细分领域领先的产业和产品；</w:t>
            </w:r>
          </w:p>
          <w:p>
            <w:pPr>
              <w:spacing w:line="360" w:lineRule="auto"/>
              <w:ind w:firstLine="480" w:firstLineChars="200"/>
              <w:rPr>
                <w:rFonts w:hint="eastAsia"/>
                <w:kern w:val="0"/>
                <w:sz w:val="24"/>
              </w:rPr>
            </w:pPr>
            <w:r>
              <w:rPr>
                <w:rFonts w:hint="eastAsia"/>
                <w:kern w:val="0"/>
                <w:sz w:val="24"/>
              </w:rPr>
              <w:t>钨钼精深加工业务板块聚焦全球高端市场，围绕国家和行业重大需求，尤其是航空航天，半导体，新能源，高端医疗装备，5G等领域聚焦深耕，整体产品实现转型升级，实现高端产品市场占据80%以上市场份额，在钨钼精深加工领域实现进入全球前2名的战略目标。下一步要解决的重点问题是投资项目尽快实现装备、工艺、技术的融汇贯通，快速达产达效。</w:t>
            </w:r>
          </w:p>
          <w:p>
            <w:pPr>
              <w:spacing w:line="360" w:lineRule="auto"/>
              <w:ind w:firstLine="480" w:firstLineChars="200"/>
              <w:rPr>
                <w:rFonts w:hint="eastAsia"/>
                <w:kern w:val="0"/>
                <w:sz w:val="24"/>
              </w:rPr>
            </w:pPr>
            <w:r>
              <w:rPr>
                <w:rFonts w:hint="eastAsia"/>
                <w:kern w:val="0"/>
                <w:sz w:val="24"/>
              </w:rPr>
              <w:t>稀土永磁领域保持现有优势领域的竞争地位，瞄准新能源汽车、工业电机、高端消费电子等领域及先进轨道交通、智能家电、物联网等国内外变量市场和新兴应用增量市场，进一步扩大市场占有率。强化产业链（重点是稀土原料）优势、探索产业链向下延伸；加速两个生产基地(北京空港、山东淄博)的产业一体化；依托稀土新材料国创中心打造技术创新优势，建立起更高水平的市场、生产、制造、质量、技术服务能力；坚持“绿色工厂”“先进制造”，通过“高质量”发展模式推动转型升级，树立国际一流的“安泰磁材”品牌，实现行业单项冠军的目标。下一步要解决的重点问题是如何快速进行产能扩张，以满足快速发展的高端市场的需求。</w:t>
            </w:r>
          </w:p>
          <w:p>
            <w:pPr>
              <w:spacing w:line="360" w:lineRule="auto"/>
              <w:ind w:firstLine="482" w:firstLineChars="200"/>
              <w:rPr>
                <w:b/>
                <w:bCs/>
                <w:kern w:val="0"/>
                <w:sz w:val="24"/>
              </w:rPr>
            </w:pPr>
            <w:r>
              <w:rPr>
                <w:rFonts w:hint="eastAsia"/>
                <w:b/>
                <w:bCs/>
                <w:kern w:val="0"/>
                <w:sz w:val="24"/>
                <w:lang w:val="en-US" w:eastAsia="zh-CN"/>
              </w:rPr>
              <w:t>4、新冠</w:t>
            </w:r>
            <w:r>
              <w:rPr>
                <w:rFonts w:hint="eastAsia"/>
                <w:b/>
                <w:bCs/>
                <w:kern w:val="0"/>
                <w:sz w:val="24"/>
              </w:rPr>
              <w:t>疫情</w:t>
            </w:r>
            <w:r>
              <w:rPr>
                <w:rFonts w:hint="eastAsia"/>
                <w:b/>
                <w:bCs/>
                <w:kern w:val="0"/>
                <w:sz w:val="24"/>
                <w:lang w:val="en-US" w:eastAsia="zh-CN"/>
              </w:rPr>
              <w:t>对公司的</w:t>
            </w:r>
            <w:r>
              <w:rPr>
                <w:rFonts w:hint="eastAsia"/>
                <w:b/>
                <w:bCs/>
                <w:kern w:val="0"/>
                <w:sz w:val="24"/>
              </w:rPr>
              <w:t>影响如何？</w:t>
            </w:r>
          </w:p>
          <w:p>
            <w:pPr>
              <w:spacing w:line="360" w:lineRule="auto"/>
              <w:ind w:firstLine="480" w:firstLineChars="200"/>
              <w:rPr>
                <w:rFonts w:hint="eastAsia"/>
                <w:kern w:val="0"/>
                <w:sz w:val="24"/>
              </w:rPr>
            </w:pPr>
            <w:r>
              <w:rPr>
                <w:rFonts w:hint="eastAsia"/>
                <w:kern w:val="0"/>
                <w:sz w:val="24"/>
              </w:rPr>
              <w:t>自疫情发生以来，公司经营经历了两个阶段：第一阶段主要抓疫情防控，第二阶段，一手抓疫情防控，一手抓复工复产。自2月10日以来，公司各级管理人员陆续返工返岗，由于春节前绝大部分生产一线员工返乡过节，春节后受疫情防控要求，各地严控人员流动且有隔离十四天的要求，一线员工实际返岗返工时间到3月底才基本完成。所以，一季度公司受疫情影响比较严重。</w:t>
            </w:r>
          </w:p>
          <w:p>
            <w:pPr>
              <w:spacing w:line="360" w:lineRule="auto"/>
              <w:ind w:firstLine="480" w:firstLineChars="200"/>
              <w:rPr>
                <w:rFonts w:hint="eastAsia"/>
                <w:kern w:val="0"/>
                <w:sz w:val="24"/>
              </w:rPr>
            </w:pPr>
            <w:r>
              <w:rPr>
                <w:rFonts w:hint="eastAsia"/>
                <w:kern w:val="0"/>
                <w:sz w:val="24"/>
              </w:rPr>
              <w:t>3月底生产一线员工已经全部到岗，尽管目前疫情时有反复，但公司复工复产基本不受影响，二季度公司整体情况较一季度有显著改善。二季度主要是海外疫情蔓延导致出口业务订单受到一定的影响。但目前看，公司基本面稳定，公司现金流充足，公司整体情况好于宏观经济状况。</w:t>
            </w:r>
          </w:p>
          <w:p>
            <w:pPr>
              <w:spacing w:line="360" w:lineRule="auto"/>
              <w:ind w:firstLine="480" w:firstLineChars="200"/>
              <w:rPr>
                <w:kern w:val="0"/>
                <w:sz w:val="24"/>
              </w:rPr>
            </w:pPr>
            <w:r>
              <w:rPr>
                <w:rFonts w:hint="eastAsia"/>
                <w:kern w:val="0"/>
                <w:sz w:val="24"/>
              </w:rPr>
              <w:t>新冠疫情对公司全年经营的影响程度，还要看疫情防控的发展趋势。</w:t>
            </w:r>
          </w:p>
          <w:p>
            <w:pPr>
              <w:spacing w:line="360" w:lineRule="auto"/>
              <w:ind w:firstLine="482" w:firstLineChars="200"/>
              <w:rPr>
                <w:b/>
                <w:bCs/>
                <w:kern w:val="0"/>
                <w:sz w:val="24"/>
              </w:rPr>
            </w:pPr>
            <w:r>
              <w:rPr>
                <w:rFonts w:hint="eastAsia"/>
                <w:b/>
                <w:bCs/>
                <w:kern w:val="0"/>
                <w:sz w:val="24"/>
                <w:lang w:val="en-US" w:eastAsia="zh-CN"/>
              </w:rPr>
              <w:t>5、</w:t>
            </w:r>
            <w:r>
              <w:rPr>
                <w:rFonts w:hint="eastAsia"/>
                <w:b/>
                <w:bCs/>
                <w:kern w:val="0"/>
                <w:sz w:val="24"/>
              </w:rPr>
              <w:t>公司业务调整的进展和成果，哪些</w:t>
            </w:r>
            <w:r>
              <w:rPr>
                <w:rFonts w:hint="eastAsia"/>
                <w:b/>
                <w:bCs/>
                <w:kern w:val="0"/>
                <w:sz w:val="24"/>
                <w:lang w:val="en-US" w:eastAsia="zh-CN"/>
              </w:rPr>
              <w:t>业务</w:t>
            </w:r>
            <w:r>
              <w:rPr>
                <w:rFonts w:hint="eastAsia"/>
                <w:b/>
                <w:bCs/>
                <w:kern w:val="0"/>
                <w:sz w:val="24"/>
              </w:rPr>
              <w:t>已</w:t>
            </w:r>
            <w:r>
              <w:rPr>
                <w:rFonts w:hint="eastAsia"/>
                <w:b/>
                <w:bCs/>
                <w:kern w:val="0"/>
                <w:sz w:val="24"/>
                <w:lang w:val="en-US" w:eastAsia="zh-CN"/>
              </w:rPr>
              <w:t>完成</w:t>
            </w:r>
            <w:r>
              <w:rPr>
                <w:rFonts w:hint="eastAsia"/>
                <w:b/>
                <w:bCs/>
                <w:kern w:val="0"/>
                <w:sz w:val="24"/>
              </w:rPr>
              <w:t>剥离</w:t>
            </w:r>
            <w:r>
              <w:rPr>
                <w:rFonts w:hint="eastAsia"/>
                <w:b/>
                <w:bCs/>
                <w:kern w:val="0"/>
                <w:sz w:val="24"/>
                <w:lang w:eastAsia="zh-CN"/>
              </w:rPr>
              <w:t>、</w:t>
            </w:r>
            <w:r>
              <w:rPr>
                <w:rFonts w:hint="eastAsia"/>
                <w:b/>
                <w:bCs/>
                <w:kern w:val="0"/>
                <w:sz w:val="24"/>
                <w:lang w:val="en-US" w:eastAsia="zh-CN"/>
              </w:rPr>
              <w:t>调整</w:t>
            </w:r>
            <w:r>
              <w:rPr>
                <w:rFonts w:hint="eastAsia"/>
                <w:b/>
                <w:bCs/>
                <w:kern w:val="0"/>
                <w:sz w:val="24"/>
              </w:rPr>
              <w:t>，未来预计还会剥离哪些业务？钨钼是不是还是现在公司的主要盈利来源？</w:t>
            </w:r>
          </w:p>
          <w:p>
            <w:pPr>
              <w:spacing w:line="360" w:lineRule="auto"/>
              <w:ind w:firstLine="480" w:firstLineChars="200"/>
              <w:rPr>
                <w:rFonts w:hint="eastAsia"/>
                <w:kern w:val="0"/>
                <w:sz w:val="24"/>
              </w:rPr>
            </w:pPr>
            <w:r>
              <w:rPr>
                <w:rFonts w:hint="eastAsia"/>
                <w:kern w:val="0"/>
                <w:sz w:val="24"/>
              </w:rPr>
              <w:t>“十三五”期间，公司持续积极推进业务结构调整和产业聚焦，公司产业结构、资产结构得到一定优化。</w:t>
            </w:r>
          </w:p>
          <w:p>
            <w:pPr>
              <w:spacing w:line="360" w:lineRule="auto"/>
              <w:ind w:firstLine="480" w:firstLineChars="200"/>
              <w:rPr>
                <w:rFonts w:hint="eastAsia"/>
                <w:kern w:val="0"/>
                <w:sz w:val="24"/>
              </w:rPr>
            </w:pPr>
            <w:r>
              <w:rPr>
                <w:rFonts w:hint="eastAsia"/>
                <w:kern w:val="0"/>
                <w:sz w:val="24"/>
              </w:rPr>
              <w:t>增量业务成效显著，核心主业得到加强。“高端粉末冶金材料及制品”板块销售收入由“十三五”初期的10亿元增长到突破20亿元，占整体业务比重达到41%，钨钼精深加工业务收入达到15亿，核心产业地位凸显；“先进功能材料及器件”中稀土永磁业务取得快速发展，销售收入增长达到12亿，核心产业地位加强；新设“环保与高端科技服务业”板块销售收入由不足1亿增长到4.1亿元，增幅356%，收入占比提高到8.5%，表现出良好成长性。“高品质特钢及焊接材料”板块调整初见成效，河冶科技经营业绩明显改善。</w:t>
            </w:r>
          </w:p>
          <w:p>
            <w:pPr>
              <w:spacing w:line="360" w:lineRule="auto"/>
              <w:ind w:firstLine="480" w:firstLineChars="200"/>
              <w:rPr>
                <w:rFonts w:hint="eastAsia"/>
                <w:kern w:val="0"/>
                <w:sz w:val="24"/>
              </w:rPr>
            </w:pPr>
            <w:r>
              <w:rPr>
                <w:rFonts w:hint="eastAsia"/>
                <w:kern w:val="0"/>
                <w:sz w:val="24"/>
              </w:rPr>
              <w:t>公司先后完成焊接、非晶、热等静压等经营困业务和重资产业务的剥离和调整，非核心业务资产显著下降，降幅超过60%，公司资产逐步向优势产业集中。</w:t>
            </w:r>
          </w:p>
          <w:p>
            <w:pPr>
              <w:spacing w:line="360" w:lineRule="auto"/>
              <w:ind w:firstLine="480" w:firstLineChars="200"/>
              <w:rPr>
                <w:rFonts w:hint="eastAsia"/>
                <w:kern w:val="0"/>
                <w:sz w:val="24"/>
              </w:rPr>
            </w:pPr>
            <w:r>
              <w:rPr>
                <w:rFonts w:hint="eastAsia"/>
                <w:kern w:val="0"/>
                <w:sz w:val="24"/>
              </w:rPr>
              <w:t>“十四五”公司将进一步推进产业聚焦，对非核心业务实施混合所有制、股权多元化等措施激发活力，择机兑现产业价值，反哺核心主业发展。</w:t>
            </w:r>
          </w:p>
          <w:p>
            <w:pPr>
              <w:spacing w:line="360" w:lineRule="auto"/>
              <w:ind w:firstLine="480" w:firstLineChars="200"/>
              <w:rPr>
                <w:rFonts w:hint="eastAsia"/>
                <w:kern w:val="0"/>
                <w:sz w:val="24"/>
              </w:rPr>
            </w:pPr>
            <w:r>
              <w:rPr>
                <w:rFonts w:hint="eastAsia"/>
                <w:kern w:val="0"/>
                <w:sz w:val="24"/>
              </w:rPr>
              <w:t>钨钼难熔金属领域是公司核心业务板块，也是未来公司聚焦深耕的领域之一。该领域受疫情影响，复工复产较晚，也是公司在一季度受疫情影响最大的板块，但二季度业务实现了快速的恢复。安泰科技钨钼业务是中国钨钼材料精深加工领域公认的领导者，综合实力位列全球前三名；是中国钨钼材料精深加工领域规模最大、品种最全、装备最强、技术最高的企业；产品主要用于国家安全、国民经济命脉的重要行业和关键领域；在中美贸易摩擦，“创新驱动”、“新基建”等国家战略背景下，该领域在十四五期间迎来了难得的快速发展机遇，也是公司十四五发展的支柱产业。</w:t>
            </w:r>
          </w:p>
          <w:p>
            <w:pPr>
              <w:spacing w:line="360" w:lineRule="auto"/>
              <w:ind w:firstLine="482" w:firstLineChars="200"/>
              <w:rPr>
                <w:b/>
                <w:bCs/>
                <w:kern w:val="0"/>
                <w:sz w:val="24"/>
              </w:rPr>
            </w:pPr>
            <w:r>
              <w:rPr>
                <w:rFonts w:hint="eastAsia"/>
                <w:b/>
                <w:bCs/>
                <w:kern w:val="0"/>
                <w:sz w:val="24"/>
                <w:lang w:val="en-US" w:eastAsia="zh-CN"/>
              </w:rPr>
              <w:t>6、</w:t>
            </w:r>
            <w:r>
              <w:rPr>
                <w:rFonts w:hint="eastAsia"/>
                <w:b/>
                <w:bCs/>
                <w:kern w:val="0"/>
                <w:sz w:val="24"/>
              </w:rPr>
              <w:t>公司未来的发展规划？</w:t>
            </w:r>
          </w:p>
          <w:p>
            <w:pPr>
              <w:spacing w:line="360" w:lineRule="auto"/>
              <w:ind w:firstLine="480" w:firstLineChars="200"/>
              <w:rPr>
                <w:rFonts w:hint="eastAsia"/>
                <w:kern w:val="0"/>
                <w:sz w:val="24"/>
              </w:rPr>
            </w:pPr>
            <w:r>
              <w:rPr>
                <w:rFonts w:hint="eastAsia"/>
                <w:kern w:val="0"/>
                <w:sz w:val="24"/>
                <w:lang w:eastAsia="zh-CN"/>
              </w:rPr>
              <w:t>（</w:t>
            </w:r>
            <w:r>
              <w:rPr>
                <w:rFonts w:hint="eastAsia"/>
                <w:kern w:val="0"/>
                <w:sz w:val="24"/>
                <w:lang w:val="en-US" w:eastAsia="zh-CN"/>
              </w:rPr>
              <w:t>1</w:t>
            </w:r>
            <w:r>
              <w:rPr>
                <w:rFonts w:hint="eastAsia"/>
                <w:kern w:val="0"/>
                <w:sz w:val="24"/>
                <w:lang w:eastAsia="zh-CN"/>
              </w:rPr>
              <w:t>）</w:t>
            </w:r>
            <w:r>
              <w:rPr>
                <w:rFonts w:hint="eastAsia"/>
                <w:kern w:val="0"/>
                <w:sz w:val="24"/>
              </w:rPr>
              <w:t>根植于金属新材料行业，服务国家战略，以关键材料与核心工艺技术为产业立足点，向下游制品、器件、系统及工程应用领域延伸，增厚产业价值。</w:t>
            </w:r>
          </w:p>
          <w:p>
            <w:pPr>
              <w:spacing w:line="360" w:lineRule="auto"/>
              <w:ind w:firstLine="480" w:firstLineChars="200"/>
              <w:rPr>
                <w:rFonts w:hint="eastAsia"/>
                <w:kern w:val="0"/>
                <w:sz w:val="24"/>
              </w:rPr>
            </w:pPr>
            <w:r>
              <w:rPr>
                <w:rFonts w:hint="eastAsia"/>
                <w:kern w:val="0"/>
                <w:sz w:val="24"/>
                <w:lang w:eastAsia="zh-CN"/>
              </w:rPr>
              <w:t>（</w:t>
            </w:r>
            <w:r>
              <w:rPr>
                <w:rFonts w:hint="eastAsia"/>
                <w:kern w:val="0"/>
                <w:sz w:val="24"/>
                <w:lang w:val="en-US" w:eastAsia="zh-CN"/>
              </w:rPr>
              <w:t>2</w:t>
            </w:r>
            <w:r>
              <w:rPr>
                <w:rFonts w:hint="eastAsia"/>
                <w:kern w:val="0"/>
                <w:sz w:val="24"/>
                <w:lang w:eastAsia="zh-CN"/>
              </w:rPr>
              <w:t>）</w:t>
            </w:r>
            <w:r>
              <w:rPr>
                <w:rFonts w:hint="eastAsia"/>
                <w:kern w:val="0"/>
                <w:sz w:val="24"/>
              </w:rPr>
              <w:t>“坚持以产业经营为生命线，以技术创新和产融结合为推动</w:t>
            </w:r>
          </w:p>
          <w:p>
            <w:pPr>
              <w:spacing w:line="360" w:lineRule="auto"/>
              <w:rPr>
                <w:rFonts w:hint="eastAsia"/>
                <w:kern w:val="0"/>
                <w:sz w:val="24"/>
              </w:rPr>
            </w:pPr>
            <w:r>
              <w:rPr>
                <w:rFonts w:hint="eastAsia"/>
                <w:kern w:val="0"/>
                <w:sz w:val="24"/>
              </w:rPr>
              <w:t>力，以落实高质量发展为首要目标，以体制机制创新突破为主要手段”，持续推进“转换方式、调整结构、聚焦深耕”，实现转型升级。</w:t>
            </w:r>
          </w:p>
          <w:p>
            <w:pPr>
              <w:spacing w:line="360" w:lineRule="auto"/>
              <w:ind w:firstLine="480" w:firstLineChars="200"/>
              <w:rPr>
                <w:rFonts w:hint="eastAsia"/>
                <w:kern w:val="0"/>
                <w:sz w:val="24"/>
              </w:rPr>
            </w:pPr>
            <w:r>
              <w:rPr>
                <w:rFonts w:hint="eastAsia"/>
                <w:kern w:val="0"/>
                <w:sz w:val="24"/>
                <w:lang w:eastAsia="zh-CN"/>
              </w:rPr>
              <w:t>（</w:t>
            </w:r>
            <w:r>
              <w:rPr>
                <w:rFonts w:hint="eastAsia"/>
                <w:kern w:val="0"/>
                <w:sz w:val="24"/>
                <w:lang w:val="en-US" w:eastAsia="zh-CN"/>
              </w:rPr>
              <w:t>3</w:t>
            </w:r>
            <w:r>
              <w:rPr>
                <w:rFonts w:hint="eastAsia"/>
                <w:kern w:val="0"/>
                <w:sz w:val="24"/>
                <w:lang w:eastAsia="zh-CN"/>
              </w:rPr>
              <w:t>）</w:t>
            </w:r>
            <w:r>
              <w:rPr>
                <w:rFonts w:hint="eastAsia"/>
                <w:kern w:val="0"/>
                <w:sz w:val="24"/>
              </w:rPr>
              <w:t>以市场协同和技术协同为导向，集中资源“择优扶强”，推</w:t>
            </w:r>
          </w:p>
          <w:p>
            <w:pPr>
              <w:spacing w:line="360" w:lineRule="auto"/>
              <w:rPr>
                <w:rFonts w:hint="eastAsia"/>
                <w:kern w:val="0"/>
                <w:sz w:val="24"/>
              </w:rPr>
            </w:pPr>
            <w:r>
              <w:rPr>
                <w:rFonts w:hint="eastAsia"/>
                <w:kern w:val="0"/>
                <w:sz w:val="24"/>
              </w:rPr>
              <w:t>进产业聚焦与取舍，培育核心主业，打造单项冠军；推进核心主业聚焦深耕，进入世界一流企业行列，最终实现“主业特征鲜明、核心竞争力强、质量效益明显改善、行业影响力显著提高、企业价值充分体现”的战略目标。</w:t>
            </w:r>
          </w:p>
          <w:p>
            <w:pPr>
              <w:spacing w:line="360" w:lineRule="auto"/>
              <w:ind w:firstLine="480" w:firstLineChars="200"/>
              <w:rPr>
                <w:rFonts w:hint="eastAsia"/>
                <w:kern w:val="0"/>
                <w:sz w:val="24"/>
              </w:rPr>
            </w:pPr>
            <w:r>
              <w:rPr>
                <w:kern w:val="0"/>
                <w:sz w:val="24"/>
              </w:rPr>
              <w:t>本次</w:t>
            </w:r>
            <w:r>
              <w:rPr>
                <w:rFonts w:hint="eastAsia"/>
                <w:kern w:val="0"/>
                <w:sz w:val="24"/>
                <w:lang w:val="en-US" w:eastAsia="zh-CN"/>
              </w:rPr>
              <w:t>调研交流会以通讯方式召开，</w:t>
            </w:r>
            <w:r>
              <w:rPr>
                <w:kern w:val="0"/>
                <w:sz w:val="24"/>
              </w:rPr>
              <w:t>接待过程中，公司与投资者进行了交流与沟通，严格依照《信息披露管理制度》等规定执行，保证信息披露的真实、准确、完整、及时、公平，未出现未公开重大信息泄露等情况。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rPr>
                <w:bCs/>
                <w:iCs/>
                <w:sz w:val="24"/>
              </w:rPr>
            </w:pPr>
            <w:r>
              <w:rPr>
                <w:bCs/>
                <w:iCs/>
                <w:sz w:val="24"/>
              </w:rPr>
              <w:t>附件清单（如有）</w:t>
            </w:r>
          </w:p>
        </w:tc>
        <w:tc>
          <w:tcPr>
            <w:tcW w:w="76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iCs/>
                <w:sz w:val="24"/>
              </w:rPr>
            </w:pPr>
            <w:r>
              <w:rPr>
                <w:bCs/>
                <w:iCs/>
                <w:sz w:val="24"/>
              </w:rPr>
              <w:t>公司简介（</w:t>
            </w:r>
            <w:r>
              <w:rPr>
                <w:rFonts w:hint="eastAsia"/>
                <w:bCs/>
                <w:iCs/>
                <w:sz w:val="24"/>
              </w:rPr>
              <w:t>摘自</w:t>
            </w:r>
            <w:r>
              <w:rPr>
                <w:bCs/>
                <w:iCs/>
                <w:sz w:val="24"/>
              </w:rPr>
              <w:t>公司网站</w:t>
            </w:r>
            <w:r>
              <w:fldChar w:fldCharType="begin"/>
            </w:r>
            <w:r>
              <w:instrText xml:space="preserve"> HYPERLINK "http://www.atmcn.com" </w:instrText>
            </w:r>
            <w:r>
              <w:fldChar w:fldCharType="separate"/>
            </w:r>
            <w:r>
              <w:rPr>
                <w:rStyle w:val="8"/>
                <w:bCs/>
                <w:iCs/>
                <w:color w:val="auto"/>
                <w:sz w:val="24"/>
              </w:rPr>
              <w:t>www.atmcn.com</w:t>
            </w:r>
            <w:r>
              <w:rPr>
                <w:rStyle w:val="8"/>
                <w:bCs/>
                <w:iCs/>
                <w:color w:val="auto"/>
                <w:sz w:val="24"/>
              </w:rPr>
              <w:fldChar w:fldCharType="end"/>
            </w:r>
            <w:r>
              <w:rPr>
                <w:rFonts w:hint="eastAsia"/>
                <w:bCs/>
                <w:iCs/>
                <w:sz w:val="24"/>
              </w:rPr>
              <w:t>的相关业务介绍</w:t>
            </w:r>
            <w:r>
              <w:rPr>
                <w:bCs/>
                <w:i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rPr>
                <w:bCs/>
                <w:iCs/>
                <w:sz w:val="24"/>
              </w:rPr>
            </w:pPr>
            <w:r>
              <w:rPr>
                <w:rFonts w:hint="eastAsia"/>
                <w:bCs/>
                <w:iCs/>
                <w:sz w:val="24"/>
              </w:rPr>
              <w:t>披露</w:t>
            </w:r>
            <w:r>
              <w:rPr>
                <w:bCs/>
                <w:iCs/>
                <w:sz w:val="24"/>
              </w:rPr>
              <w:t>日期</w:t>
            </w:r>
          </w:p>
        </w:tc>
        <w:tc>
          <w:tcPr>
            <w:tcW w:w="7642"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bCs/>
                <w:iCs/>
                <w:sz w:val="24"/>
              </w:rPr>
              <w:t>20</w:t>
            </w:r>
            <w:r>
              <w:rPr>
                <w:rFonts w:hint="eastAsia"/>
                <w:bCs/>
                <w:iCs/>
                <w:sz w:val="24"/>
              </w:rPr>
              <w:t>20</w:t>
            </w:r>
            <w:r>
              <w:rPr>
                <w:bCs/>
                <w:iCs/>
                <w:sz w:val="24"/>
              </w:rPr>
              <w:t>年</w:t>
            </w:r>
            <w:r>
              <w:rPr>
                <w:rFonts w:hint="eastAsia"/>
                <w:bCs/>
                <w:iCs/>
                <w:sz w:val="24"/>
                <w:lang w:val="en-US" w:eastAsia="zh-CN"/>
              </w:rPr>
              <w:t>6</w:t>
            </w:r>
            <w:r>
              <w:rPr>
                <w:bCs/>
                <w:iCs/>
                <w:sz w:val="24"/>
              </w:rPr>
              <w:t>月</w:t>
            </w:r>
            <w:r>
              <w:rPr>
                <w:rFonts w:hint="eastAsia"/>
                <w:bCs/>
                <w:iCs/>
                <w:sz w:val="24"/>
                <w:lang w:val="en-US" w:eastAsia="zh-CN"/>
              </w:rPr>
              <w:t>23</w:t>
            </w:r>
            <w:r>
              <w:rPr>
                <w:bCs/>
                <w:iCs/>
                <w:sz w:val="24"/>
              </w:rPr>
              <w:t>日</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Arial"/>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16D95"/>
    <w:multiLevelType w:val="singleLevel"/>
    <w:tmpl w:val="5EF16D95"/>
    <w:lvl w:ilvl="0" w:tentative="0">
      <w:start w:val="3"/>
      <w:numFmt w:val="decimal"/>
      <w:suff w:val="nothing"/>
      <w:lvlText w:val="%1、"/>
      <w:lvlJc w:val="left"/>
    </w:lvl>
  </w:abstractNum>
  <w:abstractNum w:abstractNumId="1">
    <w:nsid w:val="5EF1746D"/>
    <w:multiLevelType w:val="singleLevel"/>
    <w:tmpl w:val="5EF1746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4E5F82"/>
    <w:rsid w:val="000269A4"/>
    <w:rsid w:val="002742E5"/>
    <w:rsid w:val="004C67AD"/>
    <w:rsid w:val="00881203"/>
    <w:rsid w:val="00B60001"/>
    <w:rsid w:val="00D8446C"/>
    <w:rsid w:val="00E4332A"/>
    <w:rsid w:val="0247309C"/>
    <w:rsid w:val="028909BA"/>
    <w:rsid w:val="02D817A3"/>
    <w:rsid w:val="03055D87"/>
    <w:rsid w:val="035D650A"/>
    <w:rsid w:val="038F2C36"/>
    <w:rsid w:val="044F12AB"/>
    <w:rsid w:val="081D450A"/>
    <w:rsid w:val="08D54CF5"/>
    <w:rsid w:val="09333F26"/>
    <w:rsid w:val="0CAA4C53"/>
    <w:rsid w:val="0DF56D05"/>
    <w:rsid w:val="10D34D09"/>
    <w:rsid w:val="115B10E7"/>
    <w:rsid w:val="134C65D3"/>
    <w:rsid w:val="146B3373"/>
    <w:rsid w:val="14814475"/>
    <w:rsid w:val="156A2A07"/>
    <w:rsid w:val="17C32106"/>
    <w:rsid w:val="1DDC5758"/>
    <w:rsid w:val="1E737FB1"/>
    <w:rsid w:val="205040CE"/>
    <w:rsid w:val="2068067E"/>
    <w:rsid w:val="211F3DFC"/>
    <w:rsid w:val="24252CEB"/>
    <w:rsid w:val="244850FE"/>
    <w:rsid w:val="254C054F"/>
    <w:rsid w:val="270A3F93"/>
    <w:rsid w:val="274069CE"/>
    <w:rsid w:val="274E5F82"/>
    <w:rsid w:val="28A97DB0"/>
    <w:rsid w:val="293621FD"/>
    <w:rsid w:val="2A813F8A"/>
    <w:rsid w:val="2C763504"/>
    <w:rsid w:val="2C8809FB"/>
    <w:rsid w:val="2E522C15"/>
    <w:rsid w:val="2EBA41E4"/>
    <w:rsid w:val="30CB277C"/>
    <w:rsid w:val="30DD2369"/>
    <w:rsid w:val="30ED3589"/>
    <w:rsid w:val="325A2AFD"/>
    <w:rsid w:val="348727E4"/>
    <w:rsid w:val="35DE3E2F"/>
    <w:rsid w:val="38E81805"/>
    <w:rsid w:val="3C822C00"/>
    <w:rsid w:val="3DAF1992"/>
    <w:rsid w:val="3FAE04E1"/>
    <w:rsid w:val="401C0D0B"/>
    <w:rsid w:val="405E7822"/>
    <w:rsid w:val="41741B70"/>
    <w:rsid w:val="43B1661B"/>
    <w:rsid w:val="43EB53CA"/>
    <w:rsid w:val="46DC592E"/>
    <w:rsid w:val="474A6FD5"/>
    <w:rsid w:val="47B65234"/>
    <w:rsid w:val="4A957F38"/>
    <w:rsid w:val="4AD5306B"/>
    <w:rsid w:val="4BFF143B"/>
    <w:rsid w:val="4C242847"/>
    <w:rsid w:val="4C605035"/>
    <w:rsid w:val="4D0E6C0E"/>
    <w:rsid w:val="4E8673BB"/>
    <w:rsid w:val="54291DD1"/>
    <w:rsid w:val="54F655AE"/>
    <w:rsid w:val="5543531D"/>
    <w:rsid w:val="573C5734"/>
    <w:rsid w:val="576E0A01"/>
    <w:rsid w:val="57733A20"/>
    <w:rsid w:val="590E2397"/>
    <w:rsid w:val="593F4B04"/>
    <w:rsid w:val="5B1F5247"/>
    <w:rsid w:val="5CA23B87"/>
    <w:rsid w:val="5D0F5A4C"/>
    <w:rsid w:val="60EC62F9"/>
    <w:rsid w:val="62762D19"/>
    <w:rsid w:val="632C764E"/>
    <w:rsid w:val="672C74D4"/>
    <w:rsid w:val="672E23DB"/>
    <w:rsid w:val="6B110397"/>
    <w:rsid w:val="6B7C318A"/>
    <w:rsid w:val="6C300228"/>
    <w:rsid w:val="6CA72073"/>
    <w:rsid w:val="6CDF413F"/>
    <w:rsid w:val="6CF73EBD"/>
    <w:rsid w:val="6E233647"/>
    <w:rsid w:val="6E2470AB"/>
    <w:rsid w:val="70DF18E1"/>
    <w:rsid w:val="70F36C2A"/>
    <w:rsid w:val="7150505B"/>
    <w:rsid w:val="71DD6F7F"/>
    <w:rsid w:val="72DC5AFA"/>
    <w:rsid w:val="73271377"/>
    <w:rsid w:val="73576A2D"/>
    <w:rsid w:val="73602F73"/>
    <w:rsid w:val="740C6D85"/>
    <w:rsid w:val="76F903A0"/>
    <w:rsid w:val="79DF2D2C"/>
    <w:rsid w:val="7AB95EB1"/>
    <w:rsid w:val="7BC635A1"/>
    <w:rsid w:val="7C747371"/>
    <w:rsid w:val="7D2677F3"/>
    <w:rsid w:val="7DDC2A32"/>
    <w:rsid w:val="7F0A6E0D"/>
    <w:rsid w:val="7F17259D"/>
    <w:rsid w:val="7FE22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kern w:val="0"/>
      <w:sz w:val="24"/>
    </w:rPr>
  </w:style>
  <w:style w:type="character" w:styleId="6">
    <w:name w:val="page number"/>
    <w:basedOn w:val="5"/>
    <w:qFormat/>
    <w:uiPriority w:val="0"/>
  </w:style>
  <w:style w:type="character" w:styleId="7">
    <w:name w:val="FollowedHyperlink"/>
    <w:basedOn w:val="5"/>
    <w:qFormat/>
    <w:uiPriority w:val="0"/>
    <w:rPr>
      <w:color w:val="000000"/>
      <w:u w:val="none"/>
    </w:rPr>
  </w:style>
  <w:style w:type="character" w:styleId="8">
    <w:name w:val="Hyperlink"/>
    <w:basedOn w:val="5"/>
    <w:qFormat/>
    <w:uiPriority w:val="0"/>
    <w:rPr>
      <w:color w:val="000000"/>
      <w:u w:val="none"/>
    </w:rPr>
  </w:style>
  <w:style w:type="paragraph" w:customStyle="1" w:styleId="10">
    <w:name w:val="Char Char5"/>
    <w:basedOn w:val="1"/>
    <w:qFormat/>
    <w:uiPriority w:val="0"/>
    <w:pPr>
      <w:tabs>
        <w:tab w:val="left" w:pos="1320"/>
      </w:tabs>
      <w:ind w:left="425" w:hanging="425"/>
    </w:pPr>
    <w:rPr>
      <w:sz w:val="18"/>
      <w:szCs w:val="20"/>
    </w:rPr>
  </w:style>
  <w:style w:type="character" w:customStyle="1" w:styleId="11">
    <w:name w:val="black"/>
    <w:basedOn w:val="5"/>
    <w:qFormat/>
    <w:uiPriority w:val="0"/>
    <w:rPr>
      <w:color w:val="000000"/>
      <w:u w:val="single"/>
    </w:rPr>
  </w:style>
  <w:style w:type="character" w:customStyle="1" w:styleId="12">
    <w:name w:val="blue"/>
    <w:basedOn w:val="5"/>
    <w:qFormat/>
    <w:uiPriority w:val="0"/>
    <w:rPr>
      <w:color w:val="173EE8"/>
      <w:u w:val="single"/>
    </w:rPr>
  </w:style>
  <w:style w:type="character" w:customStyle="1" w:styleId="13">
    <w:name w:val="blue-n"/>
    <w:basedOn w:val="5"/>
    <w:qFormat/>
    <w:uiPriority w:val="0"/>
    <w:rPr>
      <w:color w:val="173EE8"/>
      <w:u w:val="none"/>
    </w:rPr>
  </w:style>
  <w:style w:type="character" w:customStyle="1" w:styleId="14">
    <w:name w:val="blue-n1"/>
    <w:basedOn w:val="5"/>
    <w:qFormat/>
    <w:uiPriority w:val="0"/>
    <w:rPr>
      <w:color w:val="000000"/>
      <w:u w:val="single"/>
    </w:rPr>
  </w:style>
  <w:style w:type="character" w:customStyle="1" w:styleId="15">
    <w:name w:val="red-n"/>
    <w:basedOn w:val="5"/>
    <w:qFormat/>
    <w:uiPriority w:val="0"/>
    <w:rPr>
      <w:color w:val="CC0000"/>
      <w:u w:val="none"/>
    </w:rPr>
  </w:style>
  <w:style w:type="character" w:customStyle="1" w:styleId="16">
    <w:name w:val="red-n1"/>
    <w:basedOn w:val="5"/>
    <w:qFormat/>
    <w:uiPriority w:val="0"/>
    <w:rPr>
      <w:color w:val="CC0000"/>
    </w:rPr>
  </w:style>
  <w:style w:type="character" w:customStyle="1" w:styleId="17">
    <w:name w:val="black-n"/>
    <w:basedOn w:val="5"/>
    <w:qFormat/>
    <w:uiPriority w:val="0"/>
    <w:rPr>
      <w:color w:val="000000"/>
      <w:u w:val="none"/>
    </w:rPr>
  </w:style>
  <w:style w:type="character" w:customStyle="1" w:styleId="18">
    <w:name w:val="black-n1"/>
    <w:basedOn w:val="5"/>
    <w:qFormat/>
    <w:uiPriority w:val="0"/>
    <w:rPr>
      <w:color w:val="000000"/>
    </w:rPr>
  </w:style>
  <w:style w:type="character" w:customStyle="1" w:styleId="19">
    <w:name w:val="red"/>
    <w:basedOn w:val="5"/>
    <w:qFormat/>
    <w:uiPriority w:val="0"/>
    <w:rPr>
      <w:color w:val="CC0000"/>
      <w:u w:val="single"/>
    </w:rPr>
  </w:style>
  <w:style w:type="character" w:customStyle="1" w:styleId="20">
    <w:name w:val="red1"/>
    <w:basedOn w:val="5"/>
    <w:qFormat/>
    <w:uiPriority w:val="0"/>
    <w:rPr>
      <w:color w:val="CC0000"/>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478</Words>
  <Characters>2727</Characters>
  <Lines>22</Lines>
  <Paragraphs>6</Paragraphs>
  <ScaleCrop>false</ScaleCrop>
  <LinksUpToDate>false</LinksUpToDate>
  <CharactersWithSpaces>3199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2020-06-23T01:31:00Z</dcterms:created>
  <dc:creator>Rico Nie</dc:creator>
  <cp:lastModifiedBy>xizhipeng</cp:lastModifiedBy>
  <dcterms:modified xsi:type="dcterms:W3CDTF">2020-06-23T05:41:27Z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