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64" w:rsidRDefault="00F87B64" w:rsidP="00D373F8">
      <w:pPr>
        <w:spacing w:beforeLines="50" w:afterLines="50" w:line="400" w:lineRule="exact"/>
        <w:rPr>
          <w:rFonts w:ascii="宋体" w:hAnsi="宋体"/>
          <w:bCs/>
          <w:iCs/>
          <w:color w:val="000000"/>
          <w:sz w:val="24"/>
        </w:rPr>
      </w:pPr>
      <w:r>
        <w:rPr>
          <w:rFonts w:ascii="宋体" w:hAnsi="宋体" w:hint="eastAsia"/>
          <w:bCs/>
          <w:iCs/>
          <w:color w:val="000000"/>
          <w:sz w:val="24"/>
        </w:rPr>
        <w:t>证券代码：002544                                  证券简称：杰赛科技</w:t>
      </w:r>
    </w:p>
    <w:p w:rsidR="00260EEB" w:rsidRPr="00260EEB" w:rsidRDefault="00260EEB" w:rsidP="00D373F8">
      <w:pPr>
        <w:spacing w:beforeLines="50" w:afterLines="50" w:line="400" w:lineRule="exact"/>
        <w:rPr>
          <w:rFonts w:ascii="宋体" w:hAnsi="宋体"/>
          <w:bCs/>
          <w:iCs/>
          <w:color w:val="000000"/>
          <w:sz w:val="24"/>
        </w:rPr>
      </w:pPr>
    </w:p>
    <w:p w:rsidR="00260EEB" w:rsidRPr="00260EEB" w:rsidRDefault="00260EEB" w:rsidP="00260EEB">
      <w:pPr>
        <w:spacing w:line="400" w:lineRule="exact"/>
        <w:ind w:rightChars="-44" w:right="-92" w:firstLineChars="400" w:firstLine="1285"/>
        <w:rPr>
          <w:rFonts w:asciiTheme="majorEastAsia" w:eastAsiaTheme="majorEastAsia" w:hAnsiTheme="majorEastAsia"/>
          <w:b/>
          <w:bCs/>
          <w:iCs/>
          <w:color w:val="000000"/>
          <w:sz w:val="32"/>
          <w:szCs w:val="32"/>
        </w:rPr>
      </w:pPr>
      <w:r w:rsidRPr="00260EEB">
        <w:rPr>
          <w:rFonts w:asciiTheme="majorEastAsia" w:eastAsiaTheme="majorEastAsia" w:hAnsiTheme="majorEastAsia" w:hint="eastAsia"/>
          <w:b/>
          <w:sz w:val="32"/>
          <w:szCs w:val="32"/>
        </w:rPr>
        <w:t>20</w:t>
      </w:r>
      <w:r w:rsidR="009C45D0">
        <w:rPr>
          <w:rFonts w:asciiTheme="majorEastAsia" w:eastAsiaTheme="majorEastAsia" w:hAnsiTheme="majorEastAsia"/>
          <w:b/>
          <w:sz w:val="32"/>
          <w:szCs w:val="32"/>
        </w:rPr>
        <w:t>20</w:t>
      </w:r>
      <w:r w:rsidRPr="00260EEB">
        <w:rPr>
          <w:rFonts w:asciiTheme="majorEastAsia" w:eastAsiaTheme="majorEastAsia" w:hAnsiTheme="majorEastAsia" w:cs="仿宋" w:hint="eastAsia"/>
          <w:b/>
          <w:sz w:val="32"/>
          <w:szCs w:val="32"/>
        </w:rPr>
        <w:t>年</w:t>
      </w:r>
      <w:r w:rsidR="00F06E03">
        <w:rPr>
          <w:rFonts w:asciiTheme="majorEastAsia" w:eastAsiaTheme="majorEastAsia" w:hAnsiTheme="majorEastAsia" w:hint="eastAsia"/>
          <w:b/>
          <w:sz w:val="32"/>
          <w:szCs w:val="32"/>
        </w:rPr>
        <w:t>7</w:t>
      </w:r>
      <w:r w:rsidRPr="00260EEB">
        <w:rPr>
          <w:rFonts w:asciiTheme="majorEastAsia" w:eastAsiaTheme="majorEastAsia" w:hAnsiTheme="majorEastAsia" w:cs="仿宋" w:hint="eastAsia"/>
          <w:b/>
          <w:sz w:val="32"/>
          <w:szCs w:val="32"/>
        </w:rPr>
        <w:t>月</w:t>
      </w:r>
      <w:r w:rsidR="00F06E03">
        <w:rPr>
          <w:rFonts w:asciiTheme="majorEastAsia" w:eastAsiaTheme="majorEastAsia" w:hAnsiTheme="majorEastAsia" w:hint="eastAsia"/>
          <w:b/>
          <w:sz w:val="32"/>
          <w:szCs w:val="32"/>
        </w:rPr>
        <w:t>2</w:t>
      </w:r>
      <w:r w:rsidRPr="00260EEB">
        <w:rPr>
          <w:rFonts w:asciiTheme="majorEastAsia" w:eastAsiaTheme="majorEastAsia" w:hAnsiTheme="majorEastAsia" w:cs="仿宋" w:hint="eastAsia"/>
          <w:b/>
          <w:sz w:val="32"/>
          <w:szCs w:val="32"/>
        </w:rPr>
        <w:t>日投资者关系活动记录表</w:t>
      </w:r>
    </w:p>
    <w:p w:rsidR="00F87B64" w:rsidRDefault="00F87B64">
      <w:pPr>
        <w:spacing w:line="400" w:lineRule="exact"/>
        <w:ind w:rightChars="-44" w:right="-92"/>
        <w:rPr>
          <w:rFonts w:ascii="宋体" w:hAnsi="宋体"/>
          <w:bCs/>
          <w:iCs/>
          <w:color w:val="000000"/>
          <w:sz w:val="24"/>
        </w:rPr>
      </w:pPr>
      <w:r>
        <w:rPr>
          <w:rFonts w:ascii="宋体" w:hAnsi="宋体" w:hint="eastAsia"/>
          <w:bCs/>
          <w:iCs/>
          <w:color w:val="000000"/>
          <w:sz w:val="24"/>
        </w:rPr>
        <w:t>编号：</w:t>
      </w:r>
      <w:r w:rsidR="008E14AD">
        <w:rPr>
          <w:rFonts w:ascii="宋体" w:hAnsi="宋体" w:hint="eastAsia"/>
          <w:bCs/>
          <w:iCs/>
          <w:color w:val="000000"/>
          <w:sz w:val="24"/>
        </w:rPr>
        <w:t>20</w:t>
      </w:r>
      <w:r w:rsidR="000C45A6">
        <w:rPr>
          <w:rFonts w:ascii="宋体" w:hAnsi="宋体"/>
          <w:bCs/>
          <w:iCs/>
          <w:color w:val="000000"/>
          <w:sz w:val="24"/>
        </w:rPr>
        <w:t>20</w:t>
      </w:r>
      <w:r w:rsidRPr="002B4D35">
        <w:rPr>
          <w:rFonts w:ascii="宋体" w:hAnsi="宋体" w:hint="eastAsia"/>
          <w:bCs/>
          <w:iCs/>
          <w:color w:val="000000"/>
          <w:sz w:val="24"/>
        </w:rPr>
        <w:t>-</w:t>
      </w:r>
      <w:r w:rsidR="00D10243">
        <w:rPr>
          <w:rFonts w:ascii="宋体" w:hAnsi="宋体" w:hint="eastAsia"/>
          <w:bCs/>
          <w:iCs/>
          <w:color w:val="000000"/>
          <w:sz w:val="24"/>
        </w:rPr>
        <w:t>0</w:t>
      </w:r>
      <w:r w:rsidR="00F06E03">
        <w:rPr>
          <w:rFonts w:ascii="宋体" w:hAnsi="宋体" w:hint="eastAsia"/>
          <w:bCs/>
          <w:iCs/>
          <w:color w:val="000000"/>
          <w:sz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F87B64">
        <w:tc>
          <w:tcPr>
            <w:tcW w:w="1908" w:type="dxa"/>
            <w:vAlign w:val="center"/>
          </w:tcPr>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投资者关系</w:t>
            </w:r>
          </w:p>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活动类别</w:t>
            </w:r>
          </w:p>
          <w:p w:rsidR="00F87B64" w:rsidRPr="00934ED7" w:rsidRDefault="00F87B64">
            <w:pPr>
              <w:spacing w:line="480" w:lineRule="atLeast"/>
              <w:jc w:val="center"/>
              <w:rPr>
                <w:rFonts w:ascii="宋体" w:hAnsi="宋体"/>
                <w:b/>
                <w:bCs/>
                <w:iCs/>
                <w:color w:val="000000"/>
                <w:kern w:val="0"/>
                <w:sz w:val="24"/>
              </w:rPr>
            </w:pPr>
          </w:p>
        </w:tc>
        <w:tc>
          <w:tcPr>
            <w:tcW w:w="6614" w:type="dxa"/>
          </w:tcPr>
          <w:p w:rsidR="00F87B64" w:rsidRPr="00934ED7" w:rsidRDefault="005974E4">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00F87B64" w:rsidRPr="00934ED7">
              <w:rPr>
                <w:rFonts w:ascii="宋体" w:hAnsi="宋体" w:hint="eastAsia"/>
                <w:kern w:val="0"/>
                <w:sz w:val="28"/>
                <w:szCs w:val="28"/>
              </w:rPr>
              <w:t xml:space="preserve">特定对象调研        </w:t>
            </w:r>
            <w:r w:rsidRPr="00934ED7">
              <w:rPr>
                <w:rFonts w:ascii="宋体" w:hAnsi="宋体" w:hint="eastAsia"/>
                <w:bCs/>
                <w:iCs/>
                <w:color w:val="000000"/>
                <w:kern w:val="0"/>
                <w:sz w:val="24"/>
              </w:rPr>
              <w:t>□</w:t>
            </w:r>
            <w:r w:rsidR="00F87B64" w:rsidRPr="00934ED7">
              <w:rPr>
                <w:rFonts w:ascii="宋体" w:hAnsi="宋体" w:hint="eastAsia"/>
                <w:kern w:val="0"/>
                <w:sz w:val="28"/>
                <w:szCs w:val="28"/>
              </w:rPr>
              <w:t>分析师会议</w:t>
            </w:r>
          </w:p>
          <w:p w:rsidR="00F87B64" w:rsidRPr="00934ED7" w:rsidRDefault="00F87B64">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媒体采访            </w:t>
            </w:r>
            <w:r w:rsidRPr="00934ED7">
              <w:rPr>
                <w:rFonts w:ascii="宋体" w:hAnsi="宋体" w:hint="eastAsia"/>
                <w:bCs/>
                <w:iCs/>
                <w:color w:val="000000"/>
                <w:kern w:val="0"/>
                <w:sz w:val="24"/>
              </w:rPr>
              <w:t>□</w:t>
            </w:r>
            <w:r w:rsidRPr="00934ED7">
              <w:rPr>
                <w:rFonts w:ascii="宋体" w:hAnsi="宋体" w:hint="eastAsia"/>
                <w:kern w:val="0"/>
                <w:sz w:val="28"/>
                <w:szCs w:val="28"/>
              </w:rPr>
              <w:t>业绩说明会</w:t>
            </w:r>
          </w:p>
          <w:p w:rsidR="00F87B64" w:rsidRPr="00934ED7" w:rsidRDefault="00F87B64">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新闻发布会          </w:t>
            </w:r>
            <w:r w:rsidRPr="00934ED7">
              <w:rPr>
                <w:rFonts w:ascii="宋体" w:hAnsi="宋体" w:hint="eastAsia"/>
                <w:bCs/>
                <w:iCs/>
                <w:color w:val="000000"/>
                <w:kern w:val="0"/>
                <w:sz w:val="24"/>
              </w:rPr>
              <w:t>□</w:t>
            </w:r>
            <w:r w:rsidRPr="00934ED7">
              <w:rPr>
                <w:rFonts w:ascii="宋体" w:hAnsi="宋体" w:hint="eastAsia"/>
                <w:kern w:val="0"/>
                <w:sz w:val="28"/>
                <w:szCs w:val="28"/>
              </w:rPr>
              <w:t>路演活动</w:t>
            </w:r>
          </w:p>
          <w:p w:rsidR="00F87B64" w:rsidRPr="00934ED7" w:rsidRDefault="00F87B64">
            <w:pPr>
              <w:tabs>
                <w:tab w:val="left" w:pos="3045"/>
                <w:tab w:val="center" w:pos="3199"/>
              </w:tabs>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现场参观</w:t>
            </w:r>
            <w:r w:rsidRPr="00934ED7">
              <w:rPr>
                <w:rFonts w:ascii="宋体" w:hAnsi="宋体"/>
                <w:bCs/>
                <w:iCs/>
                <w:color w:val="000000"/>
                <w:kern w:val="0"/>
                <w:sz w:val="24"/>
              </w:rPr>
              <w:tab/>
            </w:r>
          </w:p>
          <w:p w:rsidR="00F87B64" w:rsidRPr="00934ED7" w:rsidRDefault="00F87B64">
            <w:pPr>
              <w:tabs>
                <w:tab w:val="center" w:pos="3199"/>
              </w:tabs>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其他 </w:t>
            </w:r>
          </w:p>
        </w:tc>
      </w:tr>
      <w:tr w:rsidR="00F87B64" w:rsidRPr="00673D37" w:rsidTr="00066383">
        <w:tc>
          <w:tcPr>
            <w:tcW w:w="1908" w:type="dxa"/>
            <w:vAlign w:val="center"/>
          </w:tcPr>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参与单位</w:t>
            </w:r>
          </w:p>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名称及人员姓名</w:t>
            </w:r>
          </w:p>
        </w:tc>
        <w:tc>
          <w:tcPr>
            <w:tcW w:w="6614" w:type="dxa"/>
            <w:vAlign w:val="center"/>
          </w:tcPr>
          <w:p w:rsidR="00E6776E" w:rsidRPr="00D65685" w:rsidRDefault="003526CC" w:rsidP="00E6776E">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长城证券股份有限公司  胡浩淼</w:t>
            </w:r>
          </w:p>
          <w:p w:rsidR="00BC4258" w:rsidRPr="00D65685" w:rsidRDefault="003526CC" w:rsidP="00BC4258">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国金证券股份有限公司  翟炜</w:t>
            </w:r>
          </w:p>
          <w:p w:rsidR="00A653F0" w:rsidRDefault="003526CC" w:rsidP="00BC4258">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方正证券 唐航</w:t>
            </w:r>
          </w:p>
          <w:p w:rsidR="003526CC" w:rsidRDefault="003526CC" w:rsidP="00BC4258">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深圳市榕树投资管理有限公司 雍国铁</w:t>
            </w:r>
          </w:p>
          <w:p w:rsidR="003526CC" w:rsidRDefault="003526CC" w:rsidP="00BC4258">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深圳华夏融亿公司  谢波</w:t>
            </w:r>
          </w:p>
          <w:p w:rsidR="003526CC" w:rsidRPr="00D65685" w:rsidRDefault="003526CC" w:rsidP="003526CC">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深圳龙腾资产管理有限公司 吴险峰</w:t>
            </w:r>
          </w:p>
          <w:p w:rsidR="003526CC" w:rsidRDefault="003526CC" w:rsidP="00BC4258">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深圳市和沣资产管理有限公司 叶欣</w:t>
            </w:r>
          </w:p>
          <w:p w:rsidR="003526CC" w:rsidRPr="003526CC" w:rsidRDefault="003526CC" w:rsidP="003526CC">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深圳龙腾资产管理有限公司 吴丽莎</w:t>
            </w:r>
          </w:p>
        </w:tc>
      </w:tr>
      <w:tr w:rsidR="00F87B64" w:rsidTr="00066383">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时  间</w:t>
            </w:r>
          </w:p>
        </w:tc>
        <w:tc>
          <w:tcPr>
            <w:tcW w:w="6614" w:type="dxa"/>
            <w:vAlign w:val="center"/>
          </w:tcPr>
          <w:p w:rsidR="008878C4" w:rsidRDefault="004715C2" w:rsidP="00032089">
            <w:pPr>
              <w:spacing w:line="480" w:lineRule="atLeast"/>
              <w:rPr>
                <w:rFonts w:ascii="宋体" w:hAnsi="宋体"/>
                <w:bCs/>
                <w:iCs/>
                <w:color w:val="000000"/>
                <w:kern w:val="0"/>
                <w:sz w:val="24"/>
              </w:rPr>
            </w:pPr>
            <w:r>
              <w:rPr>
                <w:rFonts w:ascii="宋体" w:hAnsi="宋体" w:hint="eastAsia"/>
                <w:bCs/>
                <w:iCs/>
                <w:color w:val="000000"/>
                <w:kern w:val="0"/>
                <w:sz w:val="24"/>
              </w:rPr>
              <w:t>20</w:t>
            </w:r>
            <w:r w:rsidR="009C45D0">
              <w:rPr>
                <w:rFonts w:ascii="宋体" w:hAnsi="宋体"/>
                <w:bCs/>
                <w:iCs/>
                <w:color w:val="000000"/>
                <w:kern w:val="0"/>
                <w:sz w:val="24"/>
              </w:rPr>
              <w:t>20</w:t>
            </w:r>
            <w:r>
              <w:rPr>
                <w:rFonts w:ascii="宋体" w:hAnsi="宋体" w:hint="eastAsia"/>
                <w:bCs/>
                <w:iCs/>
                <w:color w:val="000000"/>
                <w:kern w:val="0"/>
                <w:sz w:val="24"/>
              </w:rPr>
              <w:t>年</w:t>
            </w:r>
            <w:r w:rsidR="00032089">
              <w:rPr>
                <w:rFonts w:ascii="宋体" w:hAnsi="宋体" w:hint="eastAsia"/>
                <w:bCs/>
                <w:iCs/>
                <w:color w:val="000000"/>
                <w:kern w:val="0"/>
                <w:sz w:val="24"/>
              </w:rPr>
              <w:t>7</w:t>
            </w:r>
            <w:r>
              <w:rPr>
                <w:rFonts w:ascii="宋体" w:hAnsi="宋体" w:hint="eastAsia"/>
                <w:bCs/>
                <w:iCs/>
                <w:color w:val="000000"/>
                <w:kern w:val="0"/>
                <w:sz w:val="24"/>
              </w:rPr>
              <w:t>月</w:t>
            </w:r>
            <w:r w:rsidR="00032089">
              <w:rPr>
                <w:rFonts w:ascii="宋体" w:hAnsi="宋体" w:hint="eastAsia"/>
                <w:bCs/>
                <w:iCs/>
                <w:color w:val="000000"/>
                <w:kern w:val="0"/>
                <w:sz w:val="24"/>
              </w:rPr>
              <w:t>2</w:t>
            </w:r>
            <w:r w:rsidR="00F87B64">
              <w:rPr>
                <w:rFonts w:ascii="宋体" w:hAnsi="宋体" w:hint="eastAsia"/>
                <w:bCs/>
                <w:iCs/>
                <w:color w:val="000000"/>
                <w:kern w:val="0"/>
                <w:sz w:val="24"/>
              </w:rPr>
              <w:t>日</w:t>
            </w:r>
          </w:p>
        </w:tc>
      </w:tr>
      <w:tr w:rsidR="00F87B64" w:rsidTr="00066383">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地  点</w:t>
            </w:r>
          </w:p>
        </w:tc>
        <w:tc>
          <w:tcPr>
            <w:tcW w:w="6614" w:type="dxa"/>
            <w:vAlign w:val="center"/>
          </w:tcPr>
          <w:p w:rsidR="00F87B64" w:rsidRDefault="005974E4" w:rsidP="002206E8">
            <w:pPr>
              <w:spacing w:line="480" w:lineRule="atLeast"/>
              <w:rPr>
                <w:rFonts w:ascii="宋体" w:hAnsi="宋体"/>
                <w:bCs/>
                <w:iCs/>
                <w:color w:val="000000"/>
                <w:kern w:val="0"/>
                <w:sz w:val="24"/>
              </w:rPr>
            </w:pPr>
            <w:r>
              <w:rPr>
                <w:rFonts w:ascii="宋体" w:hAnsi="宋体" w:hint="eastAsia"/>
                <w:bCs/>
                <w:iCs/>
                <w:color w:val="000000"/>
                <w:kern w:val="0"/>
                <w:sz w:val="24"/>
              </w:rPr>
              <w:t>杰赛科技1</w:t>
            </w:r>
            <w:r>
              <w:rPr>
                <w:rFonts w:ascii="宋体" w:hAnsi="宋体"/>
                <w:bCs/>
                <w:iCs/>
                <w:color w:val="000000"/>
                <w:kern w:val="0"/>
                <w:sz w:val="24"/>
              </w:rPr>
              <w:t>510会议室</w:t>
            </w:r>
          </w:p>
        </w:tc>
      </w:tr>
      <w:tr w:rsidR="00F87B64" w:rsidTr="00066383">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上市公司</w:t>
            </w:r>
          </w:p>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接待人员姓名</w:t>
            </w:r>
          </w:p>
        </w:tc>
        <w:tc>
          <w:tcPr>
            <w:tcW w:w="6614" w:type="dxa"/>
            <w:vAlign w:val="center"/>
          </w:tcPr>
          <w:p w:rsidR="005974E4" w:rsidRDefault="00233B83" w:rsidP="009C45D0">
            <w:pPr>
              <w:spacing w:line="480" w:lineRule="atLeast"/>
              <w:rPr>
                <w:rFonts w:ascii="宋体" w:hAnsi="宋体"/>
                <w:bCs/>
                <w:iCs/>
                <w:color w:val="000000"/>
                <w:kern w:val="0"/>
                <w:sz w:val="24"/>
              </w:rPr>
            </w:pPr>
            <w:r>
              <w:rPr>
                <w:rFonts w:ascii="宋体" w:hAnsi="宋体" w:hint="eastAsia"/>
                <w:bCs/>
                <w:iCs/>
                <w:color w:val="000000"/>
                <w:kern w:val="0"/>
                <w:sz w:val="24"/>
              </w:rPr>
              <w:t>董事会秘书兼</w:t>
            </w:r>
            <w:r w:rsidR="008F07D0">
              <w:rPr>
                <w:rFonts w:ascii="宋体" w:hAnsi="宋体" w:hint="eastAsia"/>
                <w:bCs/>
                <w:iCs/>
                <w:color w:val="000000"/>
                <w:kern w:val="0"/>
                <w:sz w:val="24"/>
              </w:rPr>
              <w:t>财务总监叶桂梁</w:t>
            </w:r>
            <w:r w:rsidR="00B33394">
              <w:rPr>
                <w:rFonts w:ascii="宋体" w:hAnsi="宋体" w:hint="eastAsia"/>
                <w:bCs/>
                <w:iCs/>
                <w:color w:val="000000"/>
                <w:kern w:val="0"/>
                <w:sz w:val="24"/>
              </w:rPr>
              <w:t>、</w:t>
            </w:r>
            <w:r w:rsidR="00855424">
              <w:rPr>
                <w:rFonts w:ascii="宋体" w:hAnsi="宋体" w:hint="eastAsia"/>
                <w:bCs/>
                <w:iCs/>
                <w:color w:val="000000"/>
                <w:kern w:val="0"/>
                <w:sz w:val="24"/>
              </w:rPr>
              <w:t>证券事务代表邓晓华</w:t>
            </w:r>
          </w:p>
        </w:tc>
      </w:tr>
      <w:tr w:rsidR="00F87B64">
        <w:trPr>
          <w:trHeight w:val="841"/>
        </w:trPr>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投资者关系活动主要内容介绍</w:t>
            </w:r>
          </w:p>
          <w:p w:rsidR="00F87B64" w:rsidRDefault="00F87B64">
            <w:pPr>
              <w:spacing w:line="480" w:lineRule="atLeast"/>
              <w:jc w:val="center"/>
              <w:rPr>
                <w:rFonts w:ascii="宋体" w:hAnsi="宋体"/>
                <w:b/>
                <w:bCs/>
                <w:iCs/>
                <w:color w:val="000000"/>
                <w:kern w:val="0"/>
                <w:sz w:val="24"/>
              </w:rPr>
            </w:pPr>
          </w:p>
        </w:tc>
        <w:tc>
          <w:tcPr>
            <w:tcW w:w="6614" w:type="dxa"/>
          </w:tcPr>
          <w:p w:rsidR="00351E10" w:rsidRPr="000B6DC2" w:rsidRDefault="00351E10" w:rsidP="00CD6DF6">
            <w:pPr>
              <w:spacing w:line="360" w:lineRule="auto"/>
              <w:ind w:firstLineChars="200" w:firstLine="420"/>
              <w:rPr>
                <w:szCs w:val="21"/>
              </w:rPr>
            </w:pPr>
            <w:r w:rsidRPr="000B6DC2">
              <w:rPr>
                <w:szCs w:val="21"/>
              </w:rPr>
              <w:t>一</w:t>
            </w:r>
            <w:r w:rsidR="00367F25">
              <w:rPr>
                <w:rFonts w:hint="eastAsia"/>
                <w:szCs w:val="21"/>
              </w:rPr>
              <w:t>、</w:t>
            </w:r>
            <w:r w:rsidR="005B2F65" w:rsidRPr="000B6DC2">
              <w:rPr>
                <w:rFonts w:hint="eastAsia"/>
                <w:szCs w:val="21"/>
              </w:rPr>
              <w:t>基本情况</w:t>
            </w:r>
          </w:p>
          <w:p w:rsidR="00351E10" w:rsidRPr="000B6DC2" w:rsidRDefault="003C2800" w:rsidP="00CD6DF6">
            <w:pPr>
              <w:spacing w:line="360" w:lineRule="auto"/>
              <w:ind w:firstLineChars="200" w:firstLine="420"/>
              <w:rPr>
                <w:szCs w:val="21"/>
              </w:rPr>
            </w:pPr>
            <w:r w:rsidRPr="000B6DC2">
              <w:rPr>
                <w:rFonts w:hint="eastAsia"/>
                <w:szCs w:val="21"/>
              </w:rPr>
              <w:t>公司</w:t>
            </w:r>
            <w:r w:rsidR="00A8216D" w:rsidRPr="000B6DC2">
              <w:rPr>
                <w:rFonts w:hint="eastAsia"/>
                <w:szCs w:val="21"/>
              </w:rPr>
              <w:t>是中国电科集团旗下的上市公司，</w:t>
            </w:r>
            <w:r w:rsidRPr="000B6DC2">
              <w:rPr>
                <w:rFonts w:hint="eastAsia"/>
                <w:szCs w:val="21"/>
              </w:rPr>
              <w:t>主要从事移动通信网络规划设计、通信</w:t>
            </w:r>
            <w:r w:rsidRPr="000B6DC2">
              <w:rPr>
                <w:rFonts w:hint="eastAsia"/>
                <w:szCs w:val="21"/>
              </w:rPr>
              <w:t>/</w:t>
            </w:r>
            <w:r w:rsidRPr="000B6DC2">
              <w:rPr>
                <w:rFonts w:hint="eastAsia"/>
                <w:szCs w:val="21"/>
              </w:rPr>
              <w:t>军工印制电路板制造、专用网络电子系统工程（智慧城市、物联网、云计算）、网络覆盖产品（天线、直放站、</w:t>
            </w:r>
            <w:r w:rsidRPr="000B6DC2">
              <w:rPr>
                <w:rFonts w:hint="eastAsia"/>
                <w:szCs w:val="21"/>
              </w:rPr>
              <w:t xml:space="preserve">WLAN </w:t>
            </w:r>
            <w:r w:rsidRPr="000B6DC2">
              <w:rPr>
                <w:rFonts w:hint="eastAsia"/>
                <w:szCs w:val="21"/>
              </w:rPr>
              <w:t>等）和网络接入产品（数字机顶盒等）生产、通信导航、专网通信、公共安全、轨道交通通信、时频器件、工程监理服务等。</w:t>
            </w:r>
          </w:p>
          <w:p w:rsidR="00351E10" w:rsidRPr="000B6DC2" w:rsidRDefault="00351E10" w:rsidP="00CD6DF6">
            <w:pPr>
              <w:spacing w:line="360" w:lineRule="auto"/>
              <w:ind w:firstLineChars="200" w:firstLine="420"/>
              <w:rPr>
                <w:szCs w:val="21"/>
              </w:rPr>
            </w:pPr>
            <w:r w:rsidRPr="000B6DC2">
              <w:rPr>
                <w:szCs w:val="21"/>
              </w:rPr>
              <w:lastRenderedPageBreak/>
              <w:t>二、提问环节</w:t>
            </w:r>
          </w:p>
          <w:p w:rsidR="00851E13" w:rsidRPr="000B6DC2" w:rsidRDefault="003C2800" w:rsidP="00CD6DF6">
            <w:pPr>
              <w:spacing w:line="360" w:lineRule="auto"/>
              <w:ind w:firstLineChars="200" w:firstLine="420"/>
              <w:rPr>
                <w:szCs w:val="21"/>
              </w:rPr>
            </w:pPr>
            <w:r w:rsidRPr="000B6DC2">
              <w:rPr>
                <w:rFonts w:hint="eastAsia"/>
                <w:szCs w:val="21"/>
              </w:rPr>
              <w:t>1</w:t>
            </w:r>
            <w:r w:rsidRPr="000B6DC2">
              <w:rPr>
                <w:rFonts w:hint="eastAsia"/>
                <w:szCs w:val="21"/>
              </w:rPr>
              <w:t>、</w:t>
            </w:r>
            <w:r w:rsidR="00851E13" w:rsidRPr="000B6DC2">
              <w:rPr>
                <w:rFonts w:hint="eastAsia"/>
                <w:szCs w:val="21"/>
              </w:rPr>
              <w:t>问：</w:t>
            </w:r>
            <w:r w:rsidR="0032249D" w:rsidRPr="000B6DC2">
              <w:rPr>
                <w:szCs w:val="21"/>
              </w:rPr>
              <w:t>请</w:t>
            </w:r>
            <w:r w:rsidR="00553C33">
              <w:rPr>
                <w:rFonts w:hint="eastAsia"/>
                <w:szCs w:val="21"/>
              </w:rPr>
              <w:t>问</w:t>
            </w:r>
            <w:r w:rsidR="00553C33">
              <w:rPr>
                <w:szCs w:val="21"/>
              </w:rPr>
              <w:t>目前疫情对公司的业务结算是否有影响</w:t>
            </w:r>
            <w:r w:rsidR="0032249D" w:rsidRPr="000B6DC2">
              <w:rPr>
                <w:rFonts w:hint="eastAsia"/>
                <w:szCs w:val="21"/>
              </w:rPr>
              <w:t>。</w:t>
            </w:r>
          </w:p>
          <w:p w:rsidR="0032249D" w:rsidRDefault="00851E13" w:rsidP="00CD6DF6">
            <w:pPr>
              <w:spacing w:line="360" w:lineRule="auto"/>
              <w:ind w:firstLineChars="200" w:firstLine="420"/>
              <w:rPr>
                <w:szCs w:val="21"/>
              </w:rPr>
            </w:pPr>
            <w:r w:rsidRPr="000B6DC2">
              <w:rPr>
                <w:rFonts w:hint="eastAsia"/>
                <w:szCs w:val="21"/>
              </w:rPr>
              <w:t>答：</w:t>
            </w:r>
            <w:r w:rsidR="00553C33">
              <w:rPr>
                <w:rFonts w:hint="eastAsia"/>
                <w:szCs w:val="21"/>
              </w:rPr>
              <w:t>目前</w:t>
            </w:r>
            <w:r w:rsidR="00553C33">
              <w:rPr>
                <w:szCs w:val="21"/>
              </w:rPr>
              <w:t>对公司相关业务的结算进度有影</w:t>
            </w:r>
            <w:r w:rsidR="00420976">
              <w:rPr>
                <w:rFonts w:hint="eastAsia"/>
                <w:szCs w:val="21"/>
              </w:rPr>
              <w:t>一定的影</w:t>
            </w:r>
            <w:r w:rsidR="00553C33">
              <w:rPr>
                <w:szCs w:val="21"/>
              </w:rPr>
              <w:t>响</w:t>
            </w:r>
            <w:r w:rsidR="00420976">
              <w:rPr>
                <w:rFonts w:hint="eastAsia"/>
                <w:szCs w:val="21"/>
              </w:rPr>
              <w:t>，但公司的生产及交付已恢复正常且正在加速</w:t>
            </w:r>
            <w:r w:rsidR="0032249D" w:rsidRPr="000B6DC2">
              <w:rPr>
                <w:rFonts w:hint="eastAsia"/>
                <w:szCs w:val="21"/>
              </w:rPr>
              <w:t>。</w:t>
            </w:r>
          </w:p>
          <w:p w:rsidR="00553C33" w:rsidRPr="000B6DC2" w:rsidRDefault="00553C33" w:rsidP="00CD6DF6">
            <w:pPr>
              <w:spacing w:line="360" w:lineRule="auto"/>
              <w:ind w:firstLineChars="200" w:firstLine="420"/>
              <w:rPr>
                <w:szCs w:val="21"/>
              </w:rPr>
            </w:pPr>
          </w:p>
          <w:p w:rsidR="00553C33" w:rsidRPr="000B6DC2" w:rsidRDefault="00553C33" w:rsidP="00553C33">
            <w:pPr>
              <w:spacing w:line="360" w:lineRule="auto"/>
              <w:ind w:firstLineChars="200" w:firstLine="420"/>
              <w:rPr>
                <w:szCs w:val="21"/>
              </w:rPr>
            </w:pPr>
            <w:r>
              <w:rPr>
                <w:szCs w:val="21"/>
              </w:rPr>
              <w:t>2</w:t>
            </w:r>
            <w:r w:rsidRPr="000B6DC2">
              <w:rPr>
                <w:rFonts w:hint="eastAsia"/>
                <w:szCs w:val="21"/>
              </w:rPr>
              <w:t>、问：</w:t>
            </w:r>
            <w:r w:rsidRPr="000B6DC2">
              <w:rPr>
                <w:szCs w:val="21"/>
              </w:rPr>
              <w:t>请简要介绍公司</w:t>
            </w:r>
            <w:r w:rsidRPr="000B6DC2">
              <w:rPr>
                <w:rFonts w:hint="eastAsia"/>
                <w:szCs w:val="21"/>
              </w:rPr>
              <w:t>5G</w:t>
            </w:r>
            <w:r w:rsidRPr="000B6DC2">
              <w:rPr>
                <w:rFonts w:hint="eastAsia"/>
                <w:szCs w:val="21"/>
              </w:rPr>
              <w:t>业务相关进展及前景。</w:t>
            </w:r>
          </w:p>
          <w:p w:rsidR="00553C33" w:rsidRPr="000B6DC2" w:rsidRDefault="00553C33" w:rsidP="00553C33">
            <w:pPr>
              <w:spacing w:line="360" w:lineRule="auto"/>
              <w:ind w:firstLineChars="200" w:firstLine="420"/>
              <w:rPr>
                <w:szCs w:val="21"/>
              </w:rPr>
            </w:pPr>
            <w:r w:rsidRPr="000B6DC2">
              <w:rPr>
                <w:rFonts w:hint="eastAsia"/>
                <w:szCs w:val="21"/>
              </w:rPr>
              <w:t>答：</w:t>
            </w:r>
            <w:r w:rsidRPr="000B6DC2">
              <w:rPr>
                <w:szCs w:val="21"/>
              </w:rPr>
              <w:t>公司</w:t>
            </w:r>
            <w:r w:rsidRPr="000B6DC2">
              <w:rPr>
                <w:rFonts w:hint="eastAsia"/>
                <w:szCs w:val="21"/>
              </w:rPr>
              <w:t>5G</w:t>
            </w:r>
            <w:r w:rsidRPr="000B6DC2">
              <w:rPr>
                <w:rFonts w:hint="eastAsia"/>
                <w:szCs w:val="21"/>
              </w:rPr>
              <w:t>相关业务以网络通信规划设计方案为主，目前</w:t>
            </w:r>
            <w:r w:rsidRPr="000B6DC2">
              <w:rPr>
                <w:rFonts w:hint="eastAsia"/>
                <w:szCs w:val="21"/>
              </w:rPr>
              <w:t>5G</w:t>
            </w:r>
            <w:r w:rsidRPr="000B6DC2">
              <w:rPr>
                <w:rFonts w:hint="eastAsia"/>
                <w:szCs w:val="21"/>
              </w:rPr>
              <w:t>市场</w:t>
            </w:r>
            <w:r w:rsidRPr="000B6DC2">
              <w:rPr>
                <w:szCs w:val="21"/>
              </w:rPr>
              <w:t>处于快速发展期</w:t>
            </w:r>
            <w:r w:rsidRPr="000B6DC2">
              <w:rPr>
                <w:rFonts w:hint="eastAsia"/>
                <w:szCs w:val="21"/>
              </w:rPr>
              <w:t>，行业投资规模放大、投资周期预计也会较</w:t>
            </w:r>
            <w:r w:rsidRPr="000B6DC2">
              <w:rPr>
                <w:rFonts w:hint="eastAsia"/>
                <w:szCs w:val="21"/>
              </w:rPr>
              <w:t>4G</w:t>
            </w:r>
            <w:r w:rsidRPr="000B6DC2">
              <w:rPr>
                <w:rFonts w:hint="eastAsia"/>
                <w:szCs w:val="21"/>
              </w:rPr>
              <w:t>时代长，网络</w:t>
            </w:r>
            <w:r w:rsidRPr="000B6DC2">
              <w:rPr>
                <w:szCs w:val="21"/>
              </w:rPr>
              <w:t>覆盖</w:t>
            </w:r>
            <w:r w:rsidRPr="000B6DC2">
              <w:rPr>
                <w:rFonts w:hint="eastAsia"/>
                <w:szCs w:val="21"/>
              </w:rPr>
              <w:t>所需的</w:t>
            </w:r>
            <w:r w:rsidRPr="000B6DC2">
              <w:rPr>
                <w:szCs w:val="21"/>
              </w:rPr>
              <w:t>设备数量预计将比</w:t>
            </w:r>
            <w:r w:rsidRPr="000B6DC2">
              <w:rPr>
                <w:rFonts w:hint="eastAsia"/>
                <w:szCs w:val="21"/>
              </w:rPr>
              <w:t>4G</w:t>
            </w:r>
            <w:r w:rsidRPr="000B6DC2">
              <w:rPr>
                <w:rFonts w:hint="eastAsia"/>
                <w:szCs w:val="21"/>
              </w:rPr>
              <w:t>多</w:t>
            </w:r>
            <w:r w:rsidR="00420976">
              <w:rPr>
                <w:rFonts w:hint="eastAsia"/>
                <w:szCs w:val="21"/>
              </w:rPr>
              <w:t>得多</w:t>
            </w:r>
            <w:r w:rsidRPr="000B6DC2">
              <w:rPr>
                <w:rFonts w:hint="eastAsia"/>
                <w:szCs w:val="21"/>
              </w:rPr>
              <w:t>，给予公司更好的发展机会。公司自身处于独立第三方通信规划设计院前列，业务承接能力将</w:t>
            </w:r>
            <w:r w:rsidR="00420976">
              <w:rPr>
                <w:rFonts w:hint="eastAsia"/>
                <w:szCs w:val="21"/>
              </w:rPr>
              <w:t>得到</w:t>
            </w:r>
            <w:r w:rsidRPr="000B6DC2">
              <w:rPr>
                <w:rFonts w:hint="eastAsia"/>
                <w:szCs w:val="21"/>
              </w:rPr>
              <w:t>加强，未来发展将持续向好。</w:t>
            </w:r>
          </w:p>
          <w:p w:rsidR="00851E13" w:rsidRPr="00553C33" w:rsidRDefault="00851E13" w:rsidP="00CD6DF6">
            <w:pPr>
              <w:spacing w:line="360" w:lineRule="auto"/>
              <w:ind w:firstLineChars="200" w:firstLine="420"/>
              <w:rPr>
                <w:szCs w:val="21"/>
              </w:rPr>
            </w:pPr>
          </w:p>
          <w:p w:rsidR="000B6DC2" w:rsidRPr="000B6DC2" w:rsidRDefault="00553C33" w:rsidP="000B6DC2">
            <w:pPr>
              <w:spacing w:line="360" w:lineRule="auto"/>
              <w:ind w:firstLineChars="200" w:firstLine="420"/>
              <w:rPr>
                <w:szCs w:val="21"/>
              </w:rPr>
            </w:pPr>
            <w:r>
              <w:rPr>
                <w:szCs w:val="21"/>
              </w:rPr>
              <w:t>3</w:t>
            </w:r>
            <w:r w:rsidR="00367F25">
              <w:rPr>
                <w:rFonts w:hint="eastAsia"/>
                <w:szCs w:val="21"/>
              </w:rPr>
              <w:t>、</w:t>
            </w:r>
            <w:r w:rsidR="000B6DC2" w:rsidRPr="000B6DC2">
              <w:rPr>
                <w:szCs w:val="21"/>
              </w:rPr>
              <w:t>问</w:t>
            </w:r>
            <w:r w:rsidR="000B6DC2" w:rsidRPr="000B6DC2">
              <w:rPr>
                <w:rFonts w:hint="eastAsia"/>
                <w:szCs w:val="21"/>
              </w:rPr>
              <w:t>：</w:t>
            </w:r>
            <w:r w:rsidR="000B6DC2" w:rsidRPr="000B6DC2">
              <w:rPr>
                <w:szCs w:val="21"/>
              </w:rPr>
              <w:t>公司</w:t>
            </w:r>
            <w:r>
              <w:rPr>
                <w:rFonts w:hint="eastAsia"/>
                <w:szCs w:val="21"/>
              </w:rPr>
              <w:t>认为</w:t>
            </w:r>
            <w:r w:rsidR="00284A51">
              <w:rPr>
                <w:rFonts w:hint="eastAsia"/>
                <w:szCs w:val="21"/>
              </w:rPr>
              <w:t>导航业务未来的发展</w:t>
            </w:r>
            <w:r>
              <w:rPr>
                <w:rFonts w:hint="eastAsia"/>
                <w:szCs w:val="21"/>
              </w:rPr>
              <w:t>态势</w:t>
            </w:r>
            <w:r w:rsidR="00284A51">
              <w:rPr>
                <w:rFonts w:hint="eastAsia"/>
                <w:szCs w:val="21"/>
              </w:rPr>
              <w:t>？</w:t>
            </w:r>
          </w:p>
          <w:p w:rsidR="00DC7E36" w:rsidRPr="000B6DC2" w:rsidRDefault="000B6DC2" w:rsidP="000B6DC2">
            <w:pPr>
              <w:spacing w:line="360" w:lineRule="auto"/>
              <w:ind w:firstLineChars="200" w:firstLine="420"/>
              <w:rPr>
                <w:szCs w:val="21"/>
              </w:rPr>
            </w:pPr>
            <w:r w:rsidRPr="000B6DC2">
              <w:rPr>
                <w:szCs w:val="21"/>
              </w:rPr>
              <w:t>答</w:t>
            </w:r>
            <w:r w:rsidRPr="000B6DC2">
              <w:rPr>
                <w:rFonts w:hint="eastAsia"/>
                <w:szCs w:val="21"/>
              </w:rPr>
              <w:t>：</w:t>
            </w:r>
            <w:r w:rsidR="00420976">
              <w:rPr>
                <w:rFonts w:hint="eastAsia"/>
                <w:szCs w:val="21"/>
              </w:rPr>
              <w:t>公司子公司</w:t>
            </w:r>
            <w:r w:rsidR="00E10C1D" w:rsidRPr="000B6DC2">
              <w:rPr>
                <w:rFonts w:hint="eastAsia"/>
                <w:szCs w:val="21"/>
              </w:rPr>
              <w:t>电科导航每年业绩不断</w:t>
            </w:r>
            <w:r w:rsidR="00E10C1D">
              <w:rPr>
                <w:rFonts w:hint="eastAsia"/>
                <w:szCs w:val="21"/>
              </w:rPr>
              <w:t>提升</w:t>
            </w:r>
            <w:r w:rsidR="00E10C1D" w:rsidRPr="000B6DC2">
              <w:rPr>
                <w:rFonts w:hint="eastAsia"/>
                <w:szCs w:val="21"/>
              </w:rPr>
              <w:t>，发展态势</w:t>
            </w:r>
            <w:r w:rsidR="00E10C1D">
              <w:rPr>
                <w:rFonts w:hint="eastAsia"/>
                <w:szCs w:val="21"/>
              </w:rPr>
              <w:t>向</w:t>
            </w:r>
            <w:r w:rsidR="00E10C1D" w:rsidRPr="000B6DC2">
              <w:rPr>
                <w:rFonts w:hint="eastAsia"/>
                <w:szCs w:val="21"/>
              </w:rPr>
              <w:t>好，</w:t>
            </w:r>
            <w:r w:rsidR="00420976">
              <w:rPr>
                <w:rFonts w:hint="eastAsia"/>
                <w:szCs w:val="21"/>
              </w:rPr>
              <w:t>前期</w:t>
            </w:r>
            <w:r w:rsidR="00553C33">
              <w:rPr>
                <w:rFonts w:hint="eastAsia"/>
                <w:szCs w:val="21"/>
              </w:rPr>
              <w:t>北斗导航市场处于培育阶段，</w:t>
            </w:r>
            <w:r w:rsidR="00E10C1D">
              <w:rPr>
                <w:rFonts w:hint="eastAsia"/>
                <w:szCs w:val="21"/>
              </w:rPr>
              <w:t>原先预期北斗完成组网的进程会更快一些，对北斗导航应用市场的</w:t>
            </w:r>
            <w:r w:rsidR="00AC0CED">
              <w:rPr>
                <w:rFonts w:hint="eastAsia"/>
                <w:szCs w:val="21"/>
              </w:rPr>
              <w:t>成熟</w:t>
            </w:r>
            <w:r w:rsidR="00E10C1D">
              <w:rPr>
                <w:rFonts w:hint="eastAsia"/>
                <w:szCs w:val="21"/>
              </w:rPr>
              <w:t>预期偏向</w:t>
            </w:r>
            <w:r w:rsidR="00284A51">
              <w:rPr>
                <w:rFonts w:hint="eastAsia"/>
                <w:szCs w:val="21"/>
              </w:rPr>
              <w:t>于</w:t>
            </w:r>
            <w:r w:rsidR="00E10C1D">
              <w:rPr>
                <w:rFonts w:hint="eastAsia"/>
                <w:szCs w:val="21"/>
              </w:rPr>
              <w:t>乐观，导致业绩与预期存在</w:t>
            </w:r>
            <w:r w:rsidR="00284A51">
              <w:rPr>
                <w:rFonts w:hint="eastAsia"/>
                <w:szCs w:val="21"/>
              </w:rPr>
              <w:t>一定</w:t>
            </w:r>
            <w:r w:rsidR="00E10C1D">
              <w:rPr>
                <w:rFonts w:hint="eastAsia"/>
                <w:szCs w:val="21"/>
              </w:rPr>
              <w:t>差距。</w:t>
            </w:r>
            <w:r w:rsidR="00AC0CED">
              <w:rPr>
                <w:rFonts w:hint="eastAsia"/>
                <w:szCs w:val="21"/>
              </w:rPr>
              <w:t>公司</w:t>
            </w:r>
            <w:r w:rsidRPr="000B6DC2">
              <w:rPr>
                <w:rFonts w:hint="eastAsia"/>
                <w:szCs w:val="21"/>
              </w:rPr>
              <w:t>今年将这两家导航公司进行整合，</w:t>
            </w:r>
            <w:r w:rsidR="00AC0CED">
              <w:rPr>
                <w:rFonts w:hint="eastAsia"/>
                <w:szCs w:val="21"/>
              </w:rPr>
              <w:t>希望在</w:t>
            </w:r>
            <w:r w:rsidR="00AC0CED" w:rsidRPr="000B6DC2">
              <w:rPr>
                <w:rFonts w:hint="eastAsia"/>
                <w:szCs w:val="21"/>
              </w:rPr>
              <w:t>技术研发</w:t>
            </w:r>
            <w:r w:rsidR="00AC0CED">
              <w:rPr>
                <w:rFonts w:hint="eastAsia"/>
                <w:szCs w:val="21"/>
              </w:rPr>
              <w:t>、</w:t>
            </w:r>
            <w:r w:rsidRPr="000B6DC2">
              <w:rPr>
                <w:rFonts w:hint="eastAsia"/>
                <w:szCs w:val="21"/>
              </w:rPr>
              <w:t>业务协同</w:t>
            </w:r>
            <w:r w:rsidR="00AC0CED">
              <w:rPr>
                <w:rFonts w:hint="eastAsia"/>
                <w:szCs w:val="21"/>
              </w:rPr>
              <w:t>等方面</w:t>
            </w:r>
            <w:r w:rsidRPr="000B6DC2">
              <w:rPr>
                <w:rFonts w:hint="eastAsia"/>
                <w:szCs w:val="21"/>
              </w:rPr>
              <w:t>可以更高效，</w:t>
            </w:r>
            <w:r w:rsidR="00AC0CED">
              <w:rPr>
                <w:rFonts w:hint="eastAsia"/>
                <w:szCs w:val="21"/>
              </w:rPr>
              <w:t>更好的支撑后续业务的发展，也希望导航业务</w:t>
            </w:r>
            <w:r w:rsidRPr="000B6DC2">
              <w:rPr>
                <w:rFonts w:hint="eastAsia"/>
                <w:szCs w:val="21"/>
              </w:rPr>
              <w:t>今后</w:t>
            </w:r>
            <w:r w:rsidR="00AC0CED">
              <w:rPr>
                <w:rFonts w:hint="eastAsia"/>
                <w:szCs w:val="21"/>
              </w:rPr>
              <w:t>能</w:t>
            </w:r>
            <w:r w:rsidRPr="000B6DC2">
              <w:rPr>
                <w:rFonts w:hint="eastAsia"/>
                <w:szCs w:val="21"/>
              </w:rPr>
              <w:t>成为公司新的经济增长点</w:t>
            </w:r>
            <w:r w:rsidR="00553C33">
              <w:rPr>
                <w:rFonts w:hint="eastAsia"/>
                <w:szCs w:val="21"/>
              </w:rPr>
              <w:t>，公司</w:t>
            </w:r>
            <w:r w:rsidR="00420976">
              <w:rPr>
                <w:rFonts w:hint="eastAsia"/>
                <w:szCs w:val="21"/>
              </w:rPr>
              <w:t>对此</w:t>
            </w:r>
            <w:r w:rsidR="00553C33">
              <w:rPr>
                <w:rFonts w:hint="eastAsia"/>
                <w:szCs w:val="21"/>
              </w:rPr>
              <w:t>有较高的期望值</w:t>
            </w:r>
            <w:r w:rsidRPr="000B6DC2">
              <w:rPr>
                <w:rFonts w:hint="eastAsia"/>
                <w:szCs w:val="21"/>
              </w:rPr>
              <w:t>。</w:t>
            </w:r>
          </w:p>
          <w:p w:rsidR="005B2F65" w:rsidRPr="000B6DC2" w:rsidRDefault="005B2F65" w:rsidP="00CD6DF6">
            <w:pPr>
              <w:spacing w:line="360" w:lineRule="auto"/>
              <w:ind w:firstLineChars="200" w:firstLine="420"/>
              <w:rPr>
                <w:szCs w:val="21"/>
              </w:rPr>
            </w:pPr>
          </w:p>
          <w:p w:rsidR="00DD36D6" w:rsidRPr="000B6DC2" w:rsidRDefault="00553C33" w:rsidP="00CD6DF6">
            <w:pPr>
              <w:spacing w:line="360" w:lineRule="auto"/>
              <w:ind w:firstLineChars="200" w:firstLine="420"/>
              <w:rPr>
                <w:szCs w:val="21"/>
              </w:rPr>
            </w:pPr>
            <w:r>
              <w:rPr>
                <w:szCs w:val="21"/>
              </w:rPr>
              <w:t>4</w:t>
            </w:r>
            <w:r w:rsidR="00DD36D6" w:rsidRPr="000B6DC2">
              <w:rPr>
                <w:rFonts w:hint="eastAsia"/>
                <w:szCs w:val="21"/>
              </w:rPr>
              <w:t>、问：</w:t>
            </w:r>
            <w:r w:rsidR="00BD4E9A" w:rsidRPr="000B6DC2">
              <w:rPr>
                <w:rFonts w:hint="eastAsia"/>
                <w:szCs w:val="21"/>
              </w:rPr>
              <w:t>市场上一直关注</w:t>
            </w:r>
            <w:r w:rsidR="005974E4" w:rsidRPr="000B6DC2">
              <w:rPr>
                <w:rFonts w:hint="eastAsia"/>
                <w:szCs w:val="21"/>
              </w:rPr>
              <w:t>中电网通旗下研究所相关资产注入杰赛科技的</w:t>
            </w:r>
            <w:r w:rsidR="00BD4E9A" w:rsidRPr="000B6DC2">
              <w:rPr>
                <w:rFonts w:hint="eastAsia"/>
                <w:szCs w:val="21"/>
              </w:rPr>
              <w:t>进展情况，请问有具体</w:t>
            </w:r>
            <w:r w:rsidR="005974E4" w:rsidRPr="000B6DC2">
              <w:rPr>
                <w:rFonts w:hint="eastAsia"/>
                <w:szCs w:val="21"/>
              </w:rPr>
              <w:t>计划</w:t>
            </w:r>
            <w:r w:rsidR="00DF1A4C" w:rsidRPr="000B6DC2">
              <w:rPr>
                <w:rFonts w:hint="eastAsia"/>
                <w:szCs w:val="21"/>
              </w:rPr>
              <w:t>吗</w:t>
            </w:r>
            <w:r w:rsidR="005974E4" w:rsidRPr="000B6DC2">
              <w:rPr>
                <w:rFonts w:hint="eastAsia"/>
                <w:szCs w:val="21"/>
              </w:rPr>
              <w:t>？</w:t>
            </w:r>
          </w:p>
          <w:p w:rsidR="00DD36D6" w:rsidRPr="000B6DC2" w:rsidRDefault="00DD36D6" w:rsidP="00CD6DF6">
            <w:pPr>
              <w:spacing w:line="360" w:lineRule="auto"/>
              <w:ind w:firstLineChars="200" w:firstLine="420"/>
              <w:rPr>
                <w:szCs w:val="21"/>
              </w:rPr>
            </w:pPr>
            <w:r w:rsidRPr="000B6DC2">
              <w:rPr>
                <w:rFonts w:hint="eastAsia"/>
                <w:szCs w:val="21"/>
              </w:rPr>
              <w:t>答：杰赛科技</w:t>
            </w:r>
            <w:r w:rsidR="006B2A06" w:rsidRPr="000B6DC2">
              <w:rPr>
                <w:rFonts w:hint="eastAsia"/>
                <w:szCs w:val="21"/>
              </w:rPr>
              <w:t>被定位为</w:t>
            </w:r>
            <w:r w:rsidRPr="000B6DC2">
              <w:rPr>
                <w:rFonts w:hint="eastAsia"/>
                <w:szCs w:val="21"/>
              </w:rPr>
              <w:t>中电网通资本运作的唯一平台。从中国电科和中电网通的</w:t>
            </w:r>
            <w:r w:rsidR="00C24720" w:rsidRPr="000B6DC2">
              <w:rPr>
                <w:rFonts w:hint="eastAsia"/>
                <w:szCs w:val="21"/>
              </w:rPr>
              <w:t>总体</w:t>
            </w:r>
            <w:r w:rsidR="003115AD" w:rsidRPr="000B6DC2">
              <w:rPr>
                <w:rFonts w:hint="eastAsia"/>
                <w:szCs w:val="21"/>
              </w:rPr>
              <w:t>构想</w:t>
            </w:r>
            <w:r w:rsidRPr="000B6DC2">
              <w:rPr>
                <w:rFonts w:hint="eastAsia"/>
                <w:szCs w:val="21"/>
              </w:rPr>
              <w:t>来看，</w:t>
            </w:r>
            <w:r w:rsidR="00BD4E9A" w:rsidRPr="000B6DC2">
              <w:rPr>
                <w:rFonts w:hint="eastAsia"/>
                <w:szCs w:val="21"/>
              </w:rPr>
              <w:t>应该</w:t>
            </w:r>
            <w:r w:rsidRPr="000B6DC2">
              <w:rPr>
                <w:rFonts w:hint="eastAsia"/>
                <w:szCs w:val="21"/>
              </w:rPr>
              <w:t>都希望未来不断提高资产证券化水平。</w:t>
            </w:r>
            <w:r w:rsidR="00420976">
              <w:rPr>
                <w:rFonts w:hint="eastAsia"/>
                <w:szCs w:val="21"/>
              </w:rPr>
              <w:t>公司已实施长期股权激励计划并于近期完成了股权激励的首期授</w:t>
            </w:r>
            <w:r w:rsidR="00C44D57">
              <w:rPr>
                <w:rFonts w:hint="eastAsia"/>
                <w:szCs w:val="21"/>
              </w:rPr>
              <w:t>予，员工反应积极。希望这些有助于为中电网通的整体资本运作创造必要的条件。公司</w:t>
            </w:r>
            <w:r w:rsidR="00B257CF" w:rsidRPr="000B6DC2">
              <w:rPr>
                <w:rFonts w:hint="eastAsia"/>
                <w:szCs w:val="21"/>
              </w:rPr>
              <w:t>暂未有可公开披露的相关资产注入计划。</w:t>
            </w:r>
          </w:p>
          <w:p w:rsidR="005974E4" w:rsidRDefault="005974E4" w:rsidP="00CD6DF6">
            <w:pPr>
              <w:spacing w:line="360" w:lineRule="auto"/>
              <w:ind w:firstLineChars="200" w:firstLine="420"/>
              <w:rPr>
                <w:szCs w:val="21"/>
              </w:rPr>
            </w:pPr>
          </w:p>
          <w:p w:rsidR="00553C33" w:rsidRDefault="00553C33" w:rsidP="00553C33">
            <w:pPr>
              <w:spacing w:line="360" w:lineRule="auto"/>
              <w:ind w:firstLineChars="200" w:firstLine="420"/>
              <w:rPr>
                <w:szCs w:val="21"/>
              </w:rPr>
            </w:pPr>
            <w:r>
              <w:rPr>
                <w:szCs w:val="21"/>
              </w:rPr>
              <w:lastRenderedPageBreak/>
              <w:t>5</w:t>
            </w:r>
            <w:r>
              <w:rPr>
                <w:rFonts w:hint="eastAsia"/>
                <w:szCs w:val="21"/>
              </w:rPr>
              <w:t>、问：请介绍募投项目中关于专网通信方面建设的主要内容。</w:t>
            </w:r>
          </w:p>
          <w:p w:rsidR="00553C33" w:rsidRDefault="00553C33" w:rsidP="00553C33">
            <w:pPr>
              <w:spacing w:line="360" w:lineRule="auto"/>
              <w:ind w:firstLineChars="200" w:firstLine="420"/>
              <w:rPr>
                <w:szCs w:val="21"/>
              </w:rPr>
            </w:pPr>
            <w:r>
              <w:rPr>
                <w:rFonts w:hint="eastAsia"/>
                <w:szCs w:val="21"/>
              </w:rPr>
              <w:t>答：本次非公开发行股票募集资金总额不超过</w:t>
            </w:r>
            <w:r>
              <w:rPr>
                <w:szCs w:val="21"/>
              </w:rPr>
              <w:t>16</w:t>
            </w:r>
            <w:r>
              <w:rPr>
                <w:rFonts w:hint="eastAsia"/>
                <w:szCs w:val="21"/>
              </w:rPr>
              <w:t>亿元，扣除发行费用后的募集资金净额拟全部用于以下项目：下一代移动通信产业化项目、</w:t>
            </w:r>
            <w:r>
              <w:rPr>
                <w:szCs w:val="21"/>
              </w:rPr>
              <w:t>5G</w:t>
            </w:r>
            <w:r>
              <w:rPr>
                <w:rFonts w:hint="eastAsia"/>
                <w:szCs w:val="21"/>
              </w:rPr>
              <w:t>高端通信振荡器的研发与产业化项目、泛在智能公共安全专网装备研发及产业化等项目。其中专网项目“泛在智能公共安全专网装备研发及产业化项目”投资总额为</w:t>
            </w:r>
            <w:r>
              <w:rPr>
                <w:szCs w:val="21"/>
              </w:rPr>
              <w:t>32,750.00</w:t>
            </w:r>
            <w:r>
              <w:rPr>
                <w:rFonts w:hint="eastAsia"/>
                <w:szCs w:val="21"/>
              </w:rPr>
              <w:t>万元，旨在进一步提升全资子公司远东通信在泛在智能公共安全专网装备领域的技术创新能力，巩固其在公共安全领域的地位，开拓平安城市、智慧公安等细分市场。本项目的实施主体为远东通信。本项目将推进建设泛在智能公共安全专网装备的研发和产业化基地，用于物联感知设备、现场通信设备、智能业务平台、综合运维平台等产品的生产线建设及产业化相关工作。</w:t>
            </w:r>
          </w:p>
          <w:p w:rsidR="00B257CF" w:rsidRPr="000B6DC2" w:rsidRDefault="00B257CF" w:rsidP="00553C33">
            <w:pPr>
              <w:spacing w:line="360" w:lineRule="auto"/>
              <w:rPr>
                <w:szCs w:val="21"/>
              </w:rPr>
            </w:pPr>
          </w:p>
          <w:p w:rsidR="00851E13" w:rsidRPr="000B6DC2" w:rsidRDefault="00553C33" w:rsidP="00CD6DF6">
            <w:pPr>
              <w:spacing w:line="360" w:lineRule="auto"/>
              <w:ind w:firstLineChars="200" w:firstLine="420"/>
              <w:rPr>
                <w:szCs w:val="21"/>
              </w:rPr>
            </w:pPr>
            <w:r>
              <w:rPr>
                <w:szCs w:val="21"/>
              </w:rPr>
              <w:t>6</w:t>
            </w:r>
            <w:r w:rsidR="00367F25">
              <w:rPr>
                <w:rFonts w:hint="eastAsia"/>
                <w:szCs w:val="21"/>
              </w:rPr>
              <w:t>、</w:t>
            </w:r>
            <w:r w:rsidR="00851E13" w:rsidRPr="000B6DC2">
              <w:rPr>
                <w:rFonts w:hint="eastAsia"/>
                <w:szCs w:val="21"/>
              </w:rPr>
              <w:t>问：</w:t>
            </w:r>
            <w:r w:rsidR="006B2A06" w:rsidRPr="000B6DC2">
              <w:rPr>
                <w:rFonts w:hint="eastAsia"/>
                <w:szCs w:val="21"/>
              </w:rPr>
              <w:t>最近两</w:t>
            </w:r>
            <w:r w:rsidR="00851E13" w:rsidRPr="000B6DC2">
              <w:rPr>
                <w:rFonts w:hint="eastAsia"/>
                <w:szCs w:val="21"/>
              </w:rPr>
              <w:t>年公司坏账损失</w:t>
            </w:r>
            <w:r w:rsidR="006B2A06" w:rsidRPr="000B6DC2">
              <w:rPr>
                <w:rFonts w:hint="eastAsia"/>
                <w:szCs w:val="21"/>
              </w:rPr>
              <w:t>计提金额很大</w:t>
            </w:r>
            <w:r w:rsidR="00851E13" w:rsidRPr="000B6DC2">
              <w:rPr>
                <w:rFonts w:hint="eastAsia"/>
                <w:szCs w:val="21"/>
              </w:rPr>
              <w:t>，请问未来坏账损失是否还会持续？</w:t>
            </w:r>
          </w:p>
          <w:p w:rsidR="00B257CF" w:rsidRPr="000B6DC2" w:rsidRDefault="00851E13" w:rsidP="00CD6DF6">
            <w:pPr>
              <w:spacing w:line="360" w:lineRule="auto"/>
              <w:ind w:firstLineChars="200" w:firstLine="420"/>
              <w:rPr>
                <w:szCs w:val="21"/>
              </w:rPr>
            </w:pPr>
            <w:r w:rsidRPr="000B6DC2">
              <w:rPr>
                <w:rFonts w:hint="eastAsia"/>
                <w:szCs w:val="21"/>
              </w:rPr>
              <w:t>答：公司目前所处的行业和主要客户都没有发生大的变化，主要是业务结算及回款周期比原来有所延长，因而坏账准备计提金额阶段性保持在比较高的水平，未来情况应该会逐渐向好，实际发生系统性大额坏账的风险很小。</w:t>
            </w:r>
          </w:p>
          <w:p w:rsidR="00A96972" w:rsidRPr="000B6DC2" w:rsidRDefault="00A96972" w:rsidP="00CD6DF6">
            <w:pPr>
              <w:spacing w:line="360" w:lineRule="auto"/>
              <w:ind w:firstLineChars="200" w:firstLine="420"/>
              <w:rPr>
                <w:szCs w:val="21"/>
              </w:rPr>
            </w:pPr>
          </w:p>
          <w:p w:rsidR="000B6DC2" w:rsidRPr="000B6DC2" w:rsidRDefault="00553C33" w:rsidP="000B6DC2">
            <w:pPr>
              <w:spacing w:line="360" w:lineRule="auto"/>
              <w:ind w:firstLineChars="200" w:firstLine="420"/>
              <w:rPr>
                <w:szCs w:val="21"/>
              </w:rPr>
            </w:pPr>
            <w:r>
              <w:rPr>
                <w:szCs w:val="21"/>
              </w:rPr>
              <w:t>7</w:t>
            </w:r>
            <w:r w:rsidR="00367F25">
              <w:rPr>
                <w:rFonts w:hint="eastAsia"/>
                <w:szCs w:val="21"/>
              </w:rPr>
              <w:t>、</w:t>
            </w:r>
            <w:r w:rsidR="00A96972" w:rsidRPr="000B6DC2">
              <w:rPr>
                <w:szCs w:val="21"/>
              </w:rPr>
              <w:t>问</w:t>
            </w:r>
            <w:r w:rsidR="00A96972" w:rsidRPr="000B6DC2">
              <w:rPr>
                <w:rFonts w:hint="eastAsia"/>
                <w:szCs w:val="21"/>
              </w:rPr>
              <w:t>：</w:t>
            </w:r>
            <w:r>
              <w:rPr>
                <w:rFonts w:hint="eastAsia"/>
                <w:szCs w:val="21"/>
              </w:rPr>
              <w:t>花都产业园的主要产品是</w:t>
            </w:r>
            <w:r w:rsidR="000B6DC2" w:rsidRPr="000B6DC2">
              <w:rPr>
                <w:rFonts w:hint="eastAsia"/>
                <w:szCs w:val="21"/>
              </w:rPr>
              <w:t>？</w:t>
            </w:r>
          </w:p>
          <w:p w:rsidR="00A96972" w:rsidRPr="000B6DC2" w:rsidRDefault="000B6DC2" w:rsidP="000B6DC2">
            <w:pPr>
              <w:spacing w:line="360" w:lineRule="auto"/>
              <w:ind w:firstLineChars="200" w:firstLine="420"/>
              <w:rPr>
                <w:szCs w:val="21"/>
              </w:rPr>
            </w:pPr>
            <w:r w:rsidRPr="000B6DC2">
              <w:rPr>
                <w:szCs w:val="21"/>
              </w:rPr>
              <w:t>答</w:t>
            </w:r>
            <w:r w:rsidRPr="000B6DC2">
              <w:rPr>
                <w:rFonts w:hint="eastAsia"/>
                <w:szCs w:val="21"/>
              </w:rPr>
              <w:t>：</w:t>
            </w:r>
            <w:r w:rsidR="00553C33">
              <w:rPr>
                <w:rFonts w:hint="eastAsia"/>
                <w:szCs w:val="21"/>
              </w:rPr>
              <w:t>主要为电子信息类产品</w:t>
            </w:r>
            <w:r w:rsidRPr="000B6DC2">
              <w:rPr>
                <w:rFonts w:hint="eastAsia"/>
                <w:szCs w:val="21"/>
              </w:rPr>
              <w:t>。</w:t>
            </w:r>
          </w:p>
          <w:p w:rsidR="00BC4258" w:rsidRPr="0026305E" w:rsidRDefault="00BC4258" w:rsidP="000B6DC2">
            <w:pPr>
              <w:spacing w:line="360" w:lineRule="auto"/>
              <w:rPr>
                <w:szCs w:val="21"/>
              </w:rPr>
            </w:pPr>
            <w:bookmarkStart w:id="0" w:name="_GoBack"/>
            <w:bookmarkEnd w:id="0"/>
          </w:p>
          <w:p w:rsidR="00F87B64" w:rsidRPr="00CD6DF6" w:rsidRDefault="00EA2D7C" w:rsidP="00CD6DF6">
            <w:pPr>
              <w:spacing w:line="360" w:lineRule="auto"/>
              <w:ind w:firstLineChars="200" w:firstLine="420"/>
              <w:rPr>
                <w:szCs w:val="21"/>
              </w:rPr>
            </w:pPr>
            <w:r w:rsidRPr="003C2800">
              <w:rPr>
                <w:rFonts w:hint="eastAsia"/>
                <w:szCs w:val="21"/>
              </w:rPr>
              <w:t>以上内容未涉及内幕信息。</w:t>
            </w:r>
          </w:p>
        </w:tc>
      </w:tr>
      <w:tr w:rsidR="00F87B64">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lastRenderedPageBreak/>
              <w:t>附件清单（如有）</w:t>
            </w:r>
          </w:p>
        </w:tc>
        <w:tc>
          <w:tcPr>
            <w:tcW w:w="6614" w:type="dxa"/>
          </w:tcPr>
          <w:p w:rsidR="00F87B64" w:rsidRDefault="00F87B64">
            <w:pPr>
              <w:spacing w:line="480" w:lineRule="atLeast"/>
              <w:rPr>
                <w:rFonts w:ascii="宋体" w:hAnsi="宋体"/>
                <w:bCs/>
                <w:iCs/>
                <w:color w:val="000000"/>
                <w:kern w:val="0"/>
                <w:sz w:val="24"/>
              </w:rPr>
            </w:pPr>
            <w:r>
              <w:rPr>
                <w:rFonts w:hint="eastAsia"/>
                <w:sz w:val="24"/>
              </w:rPr>
              <w:t>未提供书面材料。</w:t>
            </w:r>
          </w:p>
        </w:tc>
      </w:tr>
      <w:tr w:rsidR="00F87B64">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日  期</w:t>
            </w:r>
          </w:p>
        </w:tc>
        <w:tc>
          <w:tcPr>
            <w:tcW w:w="6614" w:type="dxa"/>
          </w:tcPr>
          <w:p w:rsidR="00F87B64" w:rsidRDefault="004715C2" w:rsidP="00032089">
            <w:pPr>
              <w:spacing w:line="480" w:lineRule="atLeast"/>
              <w:rPr>
                <w:rFonts w:ascii="宋体" w:hAnsi="宋体"/>
                <w:bCs/>
                <w:iCs/>
                <w:color w:val="000000"/>
                <w:kern w:val="0"/>
                <w:sz w:val="24"/>
              </w:rPr>
            </w:pPr>
            <w:r>
              <w:rPr>
                <w:rFonts w:ascii="宋体" w:hAnsi="宋体" w:hint="eastAsia"/>
                <w:bCs/>
                <w:iCs/>
                <w:color w:val="000000"/>
                <w:kern w:val="0"/>
                <w:sz w:val="24"/>
              </w:rPr>
              <w:t>20</w:t>
            </w:r>
            <w:r w:rsidR="009C45D0">
              <w:rPr>
                <w:rFonts w:ascii="宋体" w:hAnsi="宋体"/>
                <w:bCs/>
                <w:iCs/>
                <w:color w:val="000000"/>
                <w:kern w:val="0"/>
                <w:sz w:val="24"/>
              </w:rPr>
              <w:t>20</w:t>
            </w:r>
            <w:r>
              <w:rPr>
                <w:rFonts w:ascii="宋体" w:hAnsi="宋体" w:hint="eastAsia"/>
                <w:bCs/>
                <w:iCs/>
                <w:color w:val="000000"/>
                <w:kern w:val="0"/>
                <w:sz w:val="24"/>
              </w:rPr>
              <w:t>年</w:t>
            </w:r>
            <w:r w:rsidR="00032089">
              <w:rPr>
                <w:rFonts w:ascii="宋体" w:hAnsi="宋体" w:hint="eastAsia"/>
                <w:bCs/>
                <w:iCs/>
                <w:color w:val="000000"/>
                <w:kern w:val="0"/>
                <w:sz w:val="24"/>
              </w:rPr>
              <w:t>7</w:t>
            </w:r>
            <w:r>
              <w:rPr>
                <w:rFonts w:ascii="宋体" w:hAnsi="宋体" w:hint="eastAsia"/>
                <w:bCs/>
                <w:iCs/>
                <w:color w:val="000000"/>
                <w:kern w:val="0"/>
                <w:sz w:val="24"/>
              </w:rPr>
              <w:t>月</w:t>
            </w:r>
            <w:r w:rsidR="00032089">
              <w:rPr>
                <w:rFonts w:ascii="宋体" w:hAnsi="宋体" w:hint="eastAsia"/>
                <w:bCs/>
                <w:iCs/>
                <w:color w:val="000000"/>
                <w:kern w:val="0"/>
                <w:sz w:val="24"/>
              </w:rPr>
              <w:t>2</w:t>
            </w:r>
            <w:r w:rsidR="00F87B64">
              <w:rPr>
                <w:rFonts w:ascii="宋体" w:hAnsi="宋体" w:hint="eastAsia"/>
                <w:bCs/>
                <w:iCs/>
                <w:color w:val="000000"/>
                <w:kern w:val="0"/>
                <w:sz w:val="24"/>
              </w:rPr>
              <w:t>日</w:t>
            </w:r>
          </w:p>
        </w:tc>
      </w:tr>
    </w:tbl>
    <w:p w:rsidR="00CB26CB" w:rsidRPr="00CB26CB" w:rsidRDefault="00CB26CB" w:rsidP="00CB26CB"/>
    <w:sectPr w:rsidR="00CB26CB" w:rsidRPr="00CB26CB" w:rsidSect="001048F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32A" w:rsidRDefault="00CD632A" w:rsidP="00A73435">
      <w:r>
        <w:separator/>
      </w:r>
    </w:p>
  </w:endnote>
  <w:endnote w:type="continuationSeparator" w:id="0">
    <w:p w:rsidR="00CD632A" w:rsidRDefault="00CD632A" w:rsidP="00A7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FB" w:rsidRDefault="00095332">
    <w:pPr>
      <w:pStyle w:val="a3"/>
      <w:jc w:val="center"/>
    </w:pPr>
    <w:r w:rsidRPr="00095332">
      <w:fldChar w:fldCharType="begin"/>
    </w:r>
    <w:r w:rsidR="00624CD8">
      <w:instrText xml:space="preserve"> PAGE   \* MERGEFORMAT </w:instrText>
    </w:r>
    <w:r w:rsidRPr="00095332">
      <w:fldChar w:fldCharType="separate"/>
    </w:r>
    <w:r w:rsidR="00D373F8" w:rsidRPr="00D373F8">
      <w:rPr>
        <w:noProof/>
        <w:lang w:val="zh-CN"/>
      </w:rPr>
      <w:t>2</w:t>
    </w:r>
    <w:r>
      <w:rPr>
        <w:noProof/>
        <w:lang w:val="zh-CN"/>
      </w:rPr>
      <w:fldChar w:fldCharType="end"/>
    </w:r>
  </w:p>
  <w:p w:rsidR="000D18FB" w:rsidRDefault="000D18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32A" w:rsidRDefault="00CD632A" w:rsidP="00A73435">
      <w:r>
        <w:separator/>
      </w:r>
    </w:p>
  </w:footnote>
  <w:footnote w:type="continuationSeparator" w:id="0">
    <w:p w:rsidR="00CD632A" w:rsidRDefault="00CD632A" w:rsidP="00A73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D"/>
    <w:multiLevelType w:val="singleLevel"/>
    <w:tmpl w:val="0000000D"/>
    <w:lvl w:ilvl="0">
      <w:start w:val="2"/>
      <w:numFmt w:val="decimal"/>
      <w:suff w:val="nothing"/>
      <w:lvlText w:val="%1)"/>
      <w:lvlJc w:val="left"/>
    </w:lvl>
  </w:abstractNum>
  <w:abstractNum w:abstractNumId="3">
    <w:nsid w:val="04FE3ABD"/>
    <w:multiLevelType w:val="hybridMultilevel"/>
    <w:tmpl w:val="2594E0F0"/>
    <w:lvl w:ilvl="0" w:tplc="D07A4F0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C030BD2"/>
    <w:multiLevelType w:val="hybridMultilevel"/>
    <w:tmpl w:val="5D5286CC"/>
    <w:lvl w:ilvl="0" w:tplc="E0023E94">
      <w:start w:val="1"/>
      <w:numFmt w:val="bullet"/>
      <w:lvlText w:val=""/>
      <w:lvlJc w:val="left"/>
      <w:pPr>
        <w:tabs>
          <w:tab w:val="num" w:pos="720"/>
        </w:tabs>
        <w:ind w:left="720" w:hanging="360"/>
      </w:pPr>
      <w:rPr>
        <w:rFonts w:ascii="Wingdings" w:hAnsi="Wingdings" w:hint="default"/>
      </w:rPr>
    </w:lvl>
    <w:lvl w:ilvl="1" w:tplc="0FDEFABC" w:tentative="1">
      <w:start w:val="1"/>
      <w:numFmt w:val="bullet"/>
      <w:lvlText w:val=""/>
      <w:lvlJc w:val="left"/>
      <w:pPr>
        <w:tabs>
          <w:tab w:val="num" w:pos="1440"/>
        </w:tabs>
        <w:ind w:left="1440" w:hanging="360"/>
      </w:pPr>
      <w:rPr>
        <w:rFonts w:ascii="Wingdings" w:hAnsi="Wingdings" w:hint="default"/>
      </w:rPr>
    </w:lvl>
    <w:lvl w:ilvl="2" w:tplc="873693D6" w:tentative="1">
      <w:start w:val="1"/>
      <w:numFmt w:val="bullet"/>
      <w:lvlText w:val=""/>
      <w:lvlJc w:val="left"/>
      <w:pPr>
        <w:tabs>
          <w:tab w:val="num" w:pos="2160"/>
        </w:tabs>
        <w:ind w:left="2160" w:hanging="360"/>
      </w:pPr>
      <w:rPr>
        <w:rFonts w:ascii="Wingdings" w:hAnsi="Wingdings" w:hint="default"/>
      </w:rPr>
    </w:lvl>
    <w:lvl w:ilvl="3" w:tplc="209A1F88" w:tentative="1">
      <w:start w:val="1"/>
      <w:numFmt w:val="bullet"/>
      <w:lvlText w:val=""/>
      <w:lvlJc w:val="left"/>
      <w:pPr>
        <w:tabs>
          <w:tab w:val="num" w:pos="2880"/>
        </w:tabs>
        <w:ind w:left="2880" w:hanging="360"/>
      </w:pPr>
      <w:rPr>
        <w:rFonts w:ascii="Wingdings" w:hAnsi="Wingdings" w:hint="default"/>
      </w:rPr>
    </w:lvl>
    <w:lvl w:ilvl="4" w:tplc="2C5ADD6A" w:tentative="1">
      <w:start w:val="1"/>
      <w:numFmt w:val="bullet"/>
      <w:lvlText w:val=""/>
      <w:lvlJc w:val="left"/>
      <w:pPr>
        <w:tabs>
          <w:tab w:val="num" w:pos="3600"/>
        </w:tabs>
        <w:ind w:left="3600" w:hanging="360"/>
      </w:pPr>
      <w:rPr>
        <w:rFonts w:ascii="Wingdings" w:hAnsi="Wingdings" w:hint="default"/>
      </w:rPr>
    </w:lvl>
    <w:lvl w:ilvl="5" w:tplc="E11EE390" w:tentative="1">
      <w:start w:val="1"/>
      <w:numFmt w:val="bullet"/>
      <w:lvlText w:val=""/>
      <w:lvlJc w:val="left"/>
      <w:pPr>
        <w:tabs>
          <w:tab w:val="num" w:pos="4320"/>
        </w:tabs>
        <w:ind w:left="4320" w:hanging="360"/>
      </w:pPr>
      <w:rPr>
        <w:rFonts w:ascii="Wingdings" w:hAnsi="Wingdings" w:hint="default"/>
      </w:rPr>
    </w:lvl>
    <w:lvl w:ilvl="6" w:tplc="B1B0579C" w:tentative="1">
      <w:start w:val="1"/>
      <w:numFmt w:val="bullet"/>
      <w:lvlText w:val=""/>
      <w:lvlJc w:val="left"/>
      <w:pPr>
        <w:tabs>
          <w:tab w:val="num" w:pos="5040"/>
        </w:tabs>
        <w:ind w:left="5040" w:hanging="360"/>
      </w:pPr>
      <w:rPr>
        <w:rFonts w:ascii="Wingdings" w:hAnsi="Wingdings" w:hint="default"/>
      </w:rPr>
    </w:lvl>
    <w:lvl w:ilvl="7" w:tplc="6866AB7C" w:tentative="1">
      <w:start w:val="1"/>
      <w:numFmt w:val="bullet"/>
      <w:lvlText w:val=""/>
      <w:lvlJc w:val="left"/>
      <w:pPr>
        <w:tabs>
          <w:tab w:val="num" w:pos="5760"/>
        </w:tabs>
        <w:ind w:left="5760" w:hanging="360"/>
      </w:pPr>
      <w:rPr>
        <w:rFonts w:ascii="Wingdings" w:hAnsi="Wingdings" w:hint="default"/>
      </w:rPr>
    </w:lvl>
    <w:lvl w:ilvl="8" w:tplc="4F8AB218" w:tentative="1">
      <w:start w:val="1"/>
      <w:numFmt w:val="bullet"/>
      <w:lvlText w:val=""/>
      <w:lvlJc w:val="left"/>
      <w:pPr>
        <w:tabs>
          <w:tab w:val="num" w:pos="6480"/>
        </w:tabs>
        <w:ind w:left="6480" w:hanging="360"/>
      </w:pPr>
      <w:rPr>
        <w:rFonts w:ascii="Wingdings" w:hAnsi="Wingdings" w:hint="default"/>
      </w:rPr>
    </w:lvl>
  </w:abstractNum>
  <w:abstractNum w:abstractNumId="5">
    <w:nsid w:val="175965E5"/>
    <w:multiLevelType w:val="hybridMultilevel"/>
    <w:tmpl w:val="17768E04"/>
    <w:lvl w:ilvl="0" w:tplc="1C0EC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D67F94"/>
    <w:multiLevelType w:val="hybridMultilevel"/>
    <w:tmpl w:val="64964E7E"/>
    <w:lvl w:ilvl="0" w:tplc="742658AE">
      <w:start w:val="1"/>
      <w:numFmt w:val="decimal"/>
      <w:lvlText w:val="（%1）"/>
      <w:lvlJc w:val="left"/>
      <w:pPr>
        <w:ind w:left="1647" w:hanging="108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72A2313"/>
    <w:multiLevelType w:val="hybridMultilevel"/>
    <w:tmpl w:val="5F56FCD0"/>
    <w:lvl w:ilvl="0" w:tplc="9C7E007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951577"/>
    <w:multiLevelType w:val="hybridMultilevel"/>
    <w:tmpl w:val="95C07AA4"/>
    <w:lvl w:ilvl="0" w:tplc="0409000F">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E094B89"/>
    <w:multiLevelType w:val="hybridMultilevel"/>
    <w:tmpl w:val="D1427F66"/>
    <w:lvl w:ilvl="0" w:tplc="79985C56">
      <w:start w:val="3"/>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35AE1F42"/>
    <w:multiLevelType w:val="hybridMultilevel"/>
    <w:tmpl w:val="7BD283DC"/>
    <w:lvl w:ilvl="0" w:tplc="CB12140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19D535E"/>
    <w:multiLevelType w:val="hybridMultilevel"/>
    <w:tmpl w:val="57D84ACA"/>
    <w:lvl w:ilvl="0" w:tplc="9E42D844">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42F43B11"/>
    <w:multiLevelType w:val="hybridMultilevel"/>
    <w:tmpl w:val="AD10DF18"/>
    <w:lvl w:ilvl="0" w:tplc="E5BC1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173DE7"/>
    <w:multiLevelType w:val="hybridMultilevel"/>
    <w:tmpl w:val="17CAFEDA"/>
    <w:lvl w:ilvl="0" w:tplc="AB66D1CE">
      <w:start w:val="1"/>
      <w:numFmt w:val="bullet"/>
      <w:lvlText w:val=""/>
      <w:lvlJc w:val="left"/>
      <w:pPr>
        <w:tabs>
          <w:tab w:val="num" w:pos="720"/>
        </w:tabs>
        <w:ind w:left="720" w:hanging="360"/>
      </w:pPr>
      <w:rPr>
        <w:rFonts w:ascii="Wingdings" w:hAnsi="Wingdings" w:hint="default"/>
      </w:rPr>
    </w:lvl>
    <w:lvl w:ilvl="1" w:tplc="72CC5A06" w:tentative="1">
      <w:start w:val="1"/>
      <w:numFmt w:val="bullet"/>
      <w:lvlText w:val=""/>
      <w:lvlJc w:val="left"/>
      <w:pPr>
        <w:tabs>
          <w:tab w:val="num" w:pos="1440"/>
        </w:tabs>
        <w:ind w:left="1440" w:hanging="360"/>
      </w:pPr>
      <w:rPr>
        <w:rFonts w:ascii="Wingdings" w:hAnsi="Wingdings" w:hint="default"/>
      </w:rPr>
    </w:lvl>
    <w:lvl w:ilvl="2" w:tplc="FD5EB266" w:tentative="1">
      <w:start w:val="1"/>
      <w:numFmt w:val="bullet"/>
      <w:lvlText w:val=""/>
      <w:lvlJc w:val="left"/>
      <w:pPr>
        <w:tabs>
          <w:tab w:val="num" w:pos="2160"/>
        </w:tabs>
        <w:ind w:left="2160" w:hanging="360"/>
      </w:pPr>
      <w:rPr>
        <w:rFonts w:ascii="Wingdings" w:hAnsi="Wingdings" w:hint="default"/>
      </w:rPr>
    </w:lvl>
    <w:lvl w:ilvl="3" w:tplc="A3CC7CA8" w:tentative="1">
      <w:start w:val="1"/>
      <w:numFmt w:val="bullet"/>
      <w:lvlText w:val=""/>
      <w:lvlJc w:val="left"/>
      <w:pPr>
        <w:tabs>
          <w:tab w:val="num" w:pos="2880"/>
        </w:tabs>
        <w:ind w:left="2880" w:hanging="360"/>
      </w:pPr>
      <w:rPr>
        <w:rFonts w:ascii="Wingdings" w:hAnsi="Wingdings" w:hint="default"/>
      </w:rPr>
    </w:lvl>
    <w:lvl w:ilvl="4" w:tplc="C4C66316" w:tentative="1">
      <w:start w:val="1"/>
      <w:numFmt w:val="bullet"/>
      <w:lvlText w:val=""/>
      <w:lvlJc w:val="left"/>
      <w:pPr>
        <w:tabs>
          <w:tab w:val="num" w:pos="3600"/>
        </w:tabs>
        <w:ind w:left="3600" w:hanging="360"/>
      </w:pPr>
      <w:rPr>
        <w:rFonts w:ascii="Wingdings" w:hAnsi="Wingdings" w:hint="default"/>
      </w:rPr>
    </w:lvl>
    <w:lvl w:ilvl="5" w:tplc="DA6CFB90" w:tentative="1">
      <w:start w:val="1"/>
      <w:numFmt w:val="bullet"/>
      <w:lvlText w:val=""/>
      <w:lvlJc w:val="left"/>
      <w:pPr>
        <w:tabs>
          <w:tab w:val="num" w:pos="4320"/>
        </w:tabs>
        <w:ind w:left="4320" w:hanging="360"/>
      </w:pPr>
      <w:rPr>
        <w:rFonts w:ascii="Wingdings" w:hAnsi="Wingdings" w:hint="default"/>
      </w:rPr>
    </w:lvl>
    <w:lvl w:ilvl="6" w:tplc="65780A1C" w:tentative="1">
      <w:start w:val="1"/>
      <w:numFmt w:val="bullet"/>
      <w:lvlText w:val=""/>
      <w:lvlJc w:val="left"/>
      <w:pPr>
        <w:tabs>
          <w:tab w:val="num" w:pos="5040"/>
        </w:tabs>
        <w:ind w:left="5040" w:hanging="360"/>
      </w:pPr>
      <w:rPr>
        <w:rFonts w:ascii="Wingdings" w:hAnsi="Wingdings" w:hint="default"/>
      </w:rPr>
    </w:lvl>
    <w:lvl w:ilvl="7" w:tplc="2F80A7DA" w:tentative="1">
      <w:start w:val="1"/>
      <w:numFmt w:val="bullet"/>
      <w:lvlText w:val=""/>
      <w:lvlJc w:val="left"/>
      <w:pPr>
        <w:tabs>
          <w:tab w:val="num" w:pos="5760"/>
        </w:tabs>
        <w:ind w:left="5760" w:hanging="360"/>
      </w:pPr>
      <w:rPr>
        <w:rFonts w:ascii="Wingdings" w:hAnsi="Wingdings" w:hint="default"/>
      </w:rPr>
    </w:lvl>
    <w:lvl w:ilvl="8" w:tplc="EED89C3C" w:tentative="1">
      <w:start w:val="1"/>
      <w:numFmt w:val="bullet"/>
      <w:lvlText w:val=""/>
      <w:lvlJc w:val="left"/>
      <w:pPr>
        <w:tabs>
          <w:tab w:val="num" w:pos="6480"/>
        </w:tabs>
        <w:ind w:left="6480" w:hanging="360"/>
      </w:pPr>
      <w:rPr>
        <w:rFonts w:ascii="Wingdings" w:hAnsi="Wingdings" w:hint="default"/>
      </w:rPr>
    </w:lvl>
  </w:abstractNum>
  <w:abstractNum w:abstractNumId="14">
    <w:nsid w:val="469913DB"/>
    <w:multiLevelType w:val="hybridMultilevel"/>
    <w:tmpl w:val="B45E2EFE"/>
    <w:lvl w:ilvl="0" w:tplc="71D683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6DA6A0E"/>
    <w:multiLevelType w:val="hybridMultilevel"/>
    <w:tmpl w:val="AD5887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44FA7BB2">
      <w:start w:val="1"/>
      <w:numFmt w:val="decimal"/>
      <w:lvlText w:val="%3."/>
      <w:lvlJc w:val="left"/>
      <w:pPr>
        <w:ind w:left="1412"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88B4347"/>
    <w:multiLevelType w:val="hybridMultilevel"/>
    <w:tmpl w:val="131C9062"/>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49E067F4"/>
    <w:multiLevelType w:val="hybridMultilevel"/>
    <w:tmpl w:val="80E69DB0"/>
    <w:lvl w:ilvl="0" w:tplc="23083CE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4B134CE9"/>
    <w:multiLevelType w:val="hybridMultilevel"/>
    <w:tmpl w:val="C0EEF49E"/>
    <w:lvl w:ilvl="0" w:tplc="44FA7B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9C5DC8"/>
    <w:multiLevelType w:val="hybridMultilevel"/>
    <w:tmpl w:val="0BA63724"/>
    <w:lvl w:ilvl="0" w:tplc="1C0EC89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341970"/>
    <w:multiLevelType w:val="hybridMultilevel"/>
    <w:tmpl w:val="01DC9F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DD640A"/>
    <w:multiLevelType w:val="hybridMultilevel"/>
    <w:tmpl w:val="330A7858"/>
    <w:lvl w:ilvl="0" w:tplc="2FFEAAB4">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60AC6EAC"/>
    <w:multiLevelType w:val="hybridMultilevel"/>
    <w:tmpl w:val="F2C067E4"/>
    <w:lvl w:ilvl="0" w:tplc="44FA7BB2">
      <w:start w:val="1"/>
      <w:numFmt w:val="decimal"/>
      <w:lvlText w:val="%1."/>
      <w:lvlJc w:val="left"/>
      <w:pPr>
        <w:ind w:left="785"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E43597F"/>
    <w:multiLevelType w:val="hybridMultilevel"/>
    <w:tmpl w:val="70CC9E84"/>
    <w:lvl w:ilvl="0" w:tplc="CADCD2C6">
      <w:start w:val="1"/>
      <w:numFmt w:val="bullet"/>
      <w:lvlText w:val=""/>
      <w:lvlJc w:val="left"/>
      <w:pPr>
        <w:tabs>
          <w:tab w:val="num" w:pos="720"/>
        </w:tabs>
        <w:ind w:left="720" w:hanging="360"/>
      </w:pPr>
      <w:rPr>
        <w:rFonts w:ascii="Wingdings" w:hAnsi="Wingdings" w:hint="default"/>
      </w:rPr>
    </w:lvl>
    <w:lvl w:ilvl="1" w:tplc="77E4DF3A" w:tentative="1">
      <w:start w:val="1"/>
      <w:numFmt w:val="bullet"/>
      <w:lvlText w:val=""/>
      <w:lvlJc w:val="left"/>
      <w:pPr>
        <w:tabs>
          <w:tab w:val="num" w:pos="1440"/>
        </w:tabs>
        <w:ind w:left="1440" w:hanging="360"/>
      </w:pPr>
      <w:rPr>
        <w:rFonts w:ascii="Wingdings" w:hAnsi="Wingdings" w:hint="default"/>
      </w:rPr>
    </w:lvl>
    <w:lvl w:ilvl="2" w:tplc="6B644006" w:tentative="1">
      <w:start w:val="1"/>
      <w:numFmt w:val="bullet"/>
      <w:lvlText w:val=""/>
      <w:lvlJc w:val="left"/>
      <w:pPr>
        <w:tabs>
          <w:tab w:val="num" w:pos="2160"/>
        </w:tabs>
        <w:ind w:left="2160" w:hanging="360"/>
      </w:pPr>
      <w:rPr>
        <w:rFonts w:ascii="Wingdings" w:hAnsi="Wingdings" w:hint="default"/>
      </w:rPr>
    </w:lvl>
    <w:lvl w:ilvl="3" w:tplc="7750DAFE" w:tentative="1">
      <w:start w:val="1"/>
      <w:numFmt w:val="bullet"/>
      <w:lvlText w:val=""/>
      <w:lvlJc w:val="left"/>
      <w:pPr>
        <w:tabs>
          <w:tab w:val="num" w:pos="2880"/>
        </w:tabs>
        <w:ind w:left="2880" w:hanging="360"/>
      </w:pPr>
      <w:rPr>
        <w:rFonts w:ascii="Wingdings" w:hAnsi="Wingdings" w:hint="default"/>
      </w:rPr>
    </w:lvl>
    <w:lvl w:ilvl="4" w:tplc="CC709612" w:tentative="1">
      <w:start w:val="1"/>
      <w:numFmt w:val="bullet"/>
      <w:lvlText w:val=""/>
      <w:lvlJc w:val="left"/>
      <w:pPr>
        <w:tabs>
          <w:tab w:val="num" w:pos="3600"/>
        </w:tabs>
        <w:ind w:left="3600" w:hanging="360"/>
      </w:pPr>
      <w:rPr>
        <w:rFonts w:ascii="Wingdings" w:hAnsi="Wingdings" w:hint="default"/>
      </w:rPr>
    </w:lvl>
    <w:lvl w:ilvl="5" w:tplc="A098984A" w:tentative="1">
      <w:start w:val="1"/>
      <w:numFmt w:val="bullet"/>
      <w:lvlText w:val=""/>
      <w:lvlJc w:val="left"/>
      <w:pPr>
        <w:tabs>
          <w:tab w:val="num" w:pos="4320"/>
        </w:tabs>
        <w:ind w:left="4320" w:hanging="360"/>
      </w:pPr>
      <w:rPr>
        <w:rFonts w:ascii="Wingdings" w:hAnsi="Wingdings" w:hint="default"/>
      </w:rPr>
    </w:lvl>
    <w:lvl w:ilvl="6" w:tplc="FAFE684E" w:tentative="1">
      <w:start w:val="1"/>
      <w:numFmt w:val="bullet"/>
      <w:lvlText w:val=""/>
      <w:lvlJc w:val="left"/>
      <w:pPr>
        <w:tabs>
          <w:tab w:val="num" w:pos="5040"/>
        </w:tabs>
        <w:ind w:left="5040" w:hanging="360"/>
      </w:pPr>
      <w:rPr>
        <w:rFonts w:ascii="Wingdings" w:hAnsi="Wingdings" w:hint="default"/>
      </w:rPr>
    </w:lvl>
    <w:lvl w:ilvl="7" w:tplc="D722B932" w:tentative="1">
      <w:start w:val="1"/>
      <w:numFmt w:val="bullet"/>
      <w:lvlText w:val=""/>
      <w:lvlJc w:val="left"/>
      <w:pPr>
        <w:tabs>
          <w:tab w:val="num" w:pos="5760"/>
        </w:tabs>
        <w:ind w:left="5760" w:hanging="360"/>
      </w:pPr>
      <w:rPr>
        <w:rFonts w:ascii="Wingdings" w:hAnsi="Wingdings" w:hint="default"/>
      </w:rPr>
    </w:lvl>
    <w:lvl w:ilvl="8" w:tplc="64BAA16E" w:tentative="1">
      <w:start w:val="1"/>
      <w:numFmt w:val="bullet"/>
      <w:lvlText w:val=""/>
      <w:lvlJc w:val="left"/>
      <w:pPr>
        <w:tabs>
          <w:tab w:val="num" w:pos="6480"/>
        </w:tabs>
        <w:ind w:left="6480" w:hanging="360"/>
      </w:pPr>
      <w:rPr>
        <w:rFonts w:ascii="Wingdings" w:hAnsi="Wingdings" w:hint="default"/>
      </w:rPr>
    </w:lvl>
  </w:abstractNum>
  <w:abstractNum w:abstractNumId="24">
    <w:nsid w:val="7C7D11E2"/>
    <w:multiLevelType w:val="hybridMultilevel"/>
    <w:tmpl w:val="41BE66BC"/>
    <w:lvl w:ilvl="0" w:tplc="6AF470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24"/>
  </w:num>
  <w:num w:numId="5">
    <w:abstractNumId w:val="22"/>
  </w:num>
  <w:num w:numId="6">
    <w:abstractNumId w:val="14"/>
  </w:num>
  <w:num w:numId="7">
    <w:abstractNumId w:val="18"/>
  </w:num>
  <w:num w:numId="8">
    <w:abstractNumId w:val="20"/>
  </w:num>
  <w:num w:numId="9">
    <w:abstractNumId w:val="15"/>
  </w:num>
  <w:num w:numId="10">
    <w:abstractNumId w:val="11"/>
  </w:num>
  <w:num w:numId="11">
    <w:abstractNumId w:val="21"/>
  </w:num>
  <w:num w:numId="12">
    <w:abstractNumId w:val="7"/>
  </w:num>
  <w:num w:numId="13">
    <w:abstractNumId w:val="10"/>
  </w:num>
  <w:num w:numId="14">
    <w:abstractNumId w:val="3"/>
  </w:num>
  <w:num w:numId="15">
    <w:abstractNumId w:val="12"/>
  </w:num>
  <w:num w:numId="16">
    <w:abstractNumId w:val="17"/>
  </w:num>
  <w:num w:numId="17">
    <w:abstractNumId w:val="6"/>
  </w:num>
  <w:num w:numId="18">
    <w:abstractNumId w:val="23"/>
  </w:num>
  <w:num w:numId="19">
    <w:abstractNumId w:val="4"/>
  </w:num>
  <w:num w:numId="20">
    <w:abstractNumId w:val="13"/>
  </w:num>
  <w:num w:numId="21">
    <w:abstractNumId w:val="8"/>
  </w:num>
  <w:num w:numId="22">
    <w:abstractNumId w:val="5"/>
  </w:num>
  <w:num w:numId="23">
    <w:abstractNumId w:val="19"/>
  </w:num>
  <w:num w:numId="24">
    <w:abstractNumId w:val="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26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DFE"/>
    <w:rsid w:val="0000777A"/>
    <w:rsid w:val="00014B42"/>
    <w:rsid w:val="000213BA"/>
    <w:rsid w:val="00022C30"/>
    <w:rsid w:val="00022D28"/>
    <w:rsid w:val="000246D3"/>
    <w:rsid w:val="0002493A"/>
    <w:rsid w:val="00027685"/>
    <w:rsid w:val="00030AF1"/>
    <w:rsid w:val="00032089"/>
    <w:rsid w:val="00032637"/>
    <w:rsid w:val="00034E8E"/>
    <w:rsid w:val="00036935"/>
    <w:rsid w:val="00041A0D"/>
    <w:rsid w:val="0004314E"/>
    <w:rsid w:val="0004420C"/>
    <w:rsid w:val="00055816"/>
    <w:rsid w:val="00060E9C"/>
    <w:rsid w:val="00061C8B"/>
    <w:rsid w:val="00063268"/>
    <w:rsid w:val="0006365F"/>
    <w:rsid w:val="00066383"/>
    <w:rsid w:val="00066B21"/>
    <w:rsid w:val="00067554"/>
    <w:rsid w:val="00067CE1"/>
    <w:rsid w:val="00070CD0"/>
    <w:rsid w:val="0007131D"/>
    <w:rsid w:val="000736A4"/>
    <w:rsid w:val="00076837"/>
    <w:rsid w:val="00086CB1"/>
    <w:rsid w:val="00087BBE"/>
    <w:rsid w:val="00090F6C"/>
    <w:rsid w:val="0009202B"/>
    <w:rsid w:val="00093689"/>
    <w:rsid w:val="0009419E"/>
    <w:rsid w:val="00094658"/>
    <w:rsid w:val="00095332"/>
    <w:rsid w:val="000953B3"/>
    <w:rsid w:val="0009559F"/>
    <w:rsid w:val="000A2C1A"/>
    <w:rsid w:val="000A79A8"/>
    <w:rsid w:val="000B00C3"/>
    <w:rsid w:val="000B0575"/>
    <w:rsid w:val="000B0C45"/>
    <w:rsid w:val="000B1906"/>
    <w:rsid w:val="000B4839"/>
    <w:rsid w:val="000B6DC2"/>
    <w:rsid w:val="000C455B"/>
    <w:rsid w:val="000C45A6"/>
    <w:rsid w:val="000C4856"/>
    <w:rsid w:val="000C50A4"/>
    <w:rsid w:val="000C5832"/>
    <w:rsid w:val="000C5C2B"/>
    <w:rsid w:val="000C7953"/>
    <w:rsid w:val="000D10B8"/>
    <w:rsid w:val="000D18FB"/>
    <w:rsid w:val="000D7EA5"/>
    <w:rsid w:val="000E5471"/>
    <w:rsid w:val="000F00B9"/>
    <w:rsid w:val="000F69F8"/>
    <w:rsid w:val="00100F76"/>
    <w:rsid w:val="00101F6F"/>
    <w:rsid w:val="001048F8"/>
    <w:rsid w:val="001066A8"/>
    <w:rsid w:val="00111412"/>
    <w:rsid w:val="00111E4D"/>
    <w:rsid w:val="00114FA2"/>
    <w:rsid w:val="001158B0"/>
    <w:rsid w:val="00116460"/>
    <w:rsid w:val="00117899"/>
    <w:rsid w:val="0012220D"/>
    <w:rsid w:val="00130654"/>
    <w:rsid w:val="001318F7"/>
    <w:rsid w:val="00131FE0"/>
    <w:rsid w:val="00136CE3"/>
    <w:rsid w:val="001447C0"/>
    <w:rsid w:val="00150D83"/>
    <w:rsid w:val="00151125"/>
    <w:rsid w:val="001523ED"/>
    <w:rsid w:val="00153C6C"/>
    <w:rsid w:val="001554C2"/>
    <w:rsid w:val="00161200"/>
    <w:rsid w:val="00167C64"/>
    <w:rsid w:val="001708A0"/>
    <w:rsid w:val="00172A27"/>
    <w:rsid w:val="00176311"/>
    <w:rsid w:val="00177FC8"/>
    <w:rsid w:val="00180737"/>
    <w:rsid w:val="00182CA8"/>
    <w:rsid w:val="00186AFA"/>
    <w:rsid w:val="0019159F"/>
    <w:rsid w:val="00195AC1"/>
    <w:rsid w:val="00196D9E"/>
    <w:rsid w:val="0019775D"/>
    <w:rsid w:val="00197FE1"/>
    <w:rsid w:val="001A3CC4"/>
    <w:rsid w:val="001A41D0"/>
    <w:rsid w:val="001A67D3"/>
    <w:rsid w:val="001B0E40"/>
    <w:rsid w:val="001C1415"/>
    <w:rsid w:val="001C427D"/>
    <w:rsid w:val="001C5DD3"/>
    <w:rsid w:val="001D193A"/>
    <w:rsid w:val="001D39D1"/>
    <w:rsid w:val="001D408A"/>
    <w:rsid w:val="001E27CB"/>
    <w:rsid w:val="001F14AA"/>
    <w:rsid w:val="001F3435"/>
    <w:rsid w:val="00201A51"/>
    <w:rsid w:val="002022F6"/>
    <w:rsid w:val="0021657A"/>
    <w:rsid w:val="002206E8"/>
    <w:rsid w:val="002256D0"/>
    <w:rsid w:val="00225D78"/>
    <w:rsid w:val="00232E79"/>
    <w:rsid w:val="00233B83"/>
    <w:rsid w:val="002427F5"/>
    <w:rsid w:val="00250A74"/>
    <w:rsid w:val="00254CA3"/>
    <w:rsid w:val="00260EEB"/>
    <w:rsid w:val="00261231"/>
    <w:rsid w:val="0026305E"/>
    <w:rsid w:val="00264AE0"/>
    <w:rsid w:val="00267C8B"/>
    <w:rsid w:val="0027021D"/>
    <w:rsid w:val="002716C1"/>
    <w:rsid w:val="002727B6"/>
    <w:rsid w:val="00275C21"/>
    <w:rsid w:val="00281343"/>
    <w:rsid w:val="00282844"/>
    <w:rsid w:val="00283151"/>
    <w:rsid w:val="00284A51"/>
    <w:rsid w:val="0029087E"/>
    <w:rsid w:val="002A1C66"/>
    <w:rsid w:val="002A2AA2"/>
    <w:rsid w:val="002A2B58"/>
    <w:rsid w:val="002A3A7C"/>
    <w:rsid w:val="002A3E71"/>
    <w:rsid w:val="002A5F78"/>
    <w:rsid w:val="002B42FF"/>
    <w:rsid w:val="002B4954"/>
    <w:rsid w:val="002B4D35"/>
    <w:rsid w:val="002B76A1"/>
    <w:rsid w:val="002C21A8"/>
    <w:rsid w:val="002C359E"/>
    <w:rsid w:val="002C62DA"/>
    <w:rsid w:val="002D029B"/>
    <w:rsid w:val="002D41C7"/>
    <w:rsid w:val="002D6A0E"/>
    <w:rsid w:val="002D6D9B"/>
    <w:rsid w:val="002D7350"/>
    <w:rsid w:val="002E0F4A"/>
    <w:rsid w:val="002E2C54"/>
    <w:rsid w:val="002E5C11"/>
    <w:rsid w:val="002E7F14"/>
    <w:rsid w:val="002F2060"/>
    <w:rsid w:val="002F49C7"/>
    <w:rsid w:val="002F6431"/>
    <w:rsid w:val="002F6897"/>
    <w:rsid w:val="00301528"/>
    <w:rsid w:val="00301B9A"/>
    <w:rsid w:val="0030799D"/>
    <w:rsid w:val="003079A9"/>
    <w:rsid w:val="00310B1A"/>
    <w:rsid w:val="003115AD"/>
    <w:rsid w:val="003118C7"/>
    <w:rsid w:val="00314A7B"/>
    <w:rsid w:val="00316E6E"/>
    <w:rsid w:val="003177A0"/>
    <w:rsid w:val="0032249D"/>
    <w:rsid w:val="00324348"/>
    <w:rsid w:val="0033113B"/>
    <w:rsid w:val="003323B1"/>
    <w:rsid w:val="00333F26"/>
    <w:rsid w:val="00337089"/>
    <w:rsid w:val="00340909"/>
    <w:rsid w:val="00342233"/>
    <w:rsid w:val="00343B33"/>
    <w:rsid w:val="00343C1A"/>
    <w:rsid w:val="00351E10"/>
    <w:rsid w:val="003526CC"/>
    <w:rsid w:val="00352BAC"/>
    <w:rsid w:val="00355A6D"/>
    <w:rsid w:val="00362BE4"/>
    <w:rsid w:val="00364692"/>
    <w:rsid w:val="003649DA"/>
    <w:rsid w:val="003670D1"/>
    <w:rsid w:val="00367F25"/>
    <w:rsid w:val="00370E54"/>
    <w:rsid w:val="00374AAD"/>
    <w:rsid w:val="00385712"/>
    <w:rsid w:val="0038732B"/>
    <w:rsid w:val="003936B9"/>
    <w:rsid w:val="00395E11"/>
    <w:rsid w:val="00396204"/>
    <w:rsid w:val="003972E5"/>
    <w:rsid w:val="0039745C"/>
    <w:rsid w:val="003A27F2"/>
    <w:rsid w:val="003A4856"/>
    <w:rsid w:val="003A6B71"/>
    <w:rsid w:val="003B2897"/>
    <w:rsid w:val="003B4CA0"/>
    <w:rsid w:val="003C1F2B"/>
    <w:rsid w:val="003C2800"/>
    <w:rsid w:val="003D4432"/>
    <w:rsid w:val="003D52A7"/>
    <w:rsid w:val="003E06BE"/>
    <w:rsid w:val="003E5A18"/>
    <w:rsid w:val="003F0286"/>
    <w:rsid w:val="003F07E2"/>
    <w:rsid w:val="003F42FF"/>
    <w:rsid w:val="003F5023"/>
    <w:rsid w:val="004000E5"/>
    <w:rsid w:val="00404324"/>
    <w:rsid w:val="00406942"/>
    <w:rsid w:val="00406A84"/>
    <w:rsid w:val="0041593A"/>
    <w:rsid w:val="00420976"/>
    <w:rsid w:val="0043060A"/>
    <w:rsid w:val="00432975"/>
    <w:rsid w:val="004406F9"/>
    <w:rsid w:val="0044276E"/>
    <w:rsid w:val="00443519"/>
    <w:rsid w:val="0044519B"/>
    <w:rsid w:val="00446F2E"/>
    <w:rsid w:val="004479E0"/>
    <w:rsid w:val="0045121E"/>
    <w:rsid w:val="004565F5"/>
    <w:rsid w:val="00457C76"/>
    <w:rsid w:val="0046158B"/>
    <w:rsid w:val="00462135"/>
    <w:rsid w:val="00465F59"/>
    <w:rsid w:val="00467672"/>
    <w:rsid w:val="004701C6"/>
    <w:rsid w:val="004715C2"/>
    <w:rsid w:val="004737C4"/>
    <w:rsid w:val="00485852"/>
    <w:rsid w:val="00486543"/>
    <w:rsid w:val="00486CA8"/>
    <w:rsid w:val="004872B9"/>
    <w:rsid w:val="00491B79"/>
    <w:rsid w:val="004930F2"/>
    <w:rsid w:val="0049601C"/>
    <w:rsid w:val="0049779F"/>
    <w:rsid w:val="004B3266"/>
    <w:rsid w:val="004B5EDE"/>
    <w:rsid w:val="004B7E15"/>
    <w:rsid w:val="004C0511"/>
    <w:rsid w:val="004C15BF"/>
    <w:rsid w:val="004C654A"/>
    <w:rsid w:val="004C6A42"/>
    <w:rsid w:val="004C6FD8"/>
    <w:rsid w:val="004D08FA"/>
    <w:rsid w:val="004D3BC2"/>
    <w:rsid w:val="004D5697"/>
    <w:rsid w:val="004D689A"/>
    <w:rsid w:val="004D7012"/>
    <w:rsid w:val="004D7C30"/>
    <w:rsid w:val="004E01B0"/>
    <w:rsid w:val="004E119D"/>
    <w:rsid w:val="004E6647"/>
    <w:rsid w:val="004E67F7"/>
    <w:rsid w:val="004E6AFD"/>
    <w:rsid w:val="004F1483"/>
    <w:rsid w:val="004F5746"/>
    <w:rsid w:val="00500D74"/>
    <w:rsid w:val="00504072"/>
    <w:rsid w:val="00505337"/>
    <w:rsid w:val="005067AB"/>
    <w:rsid w:val="00516A0A"/>
    <w:rsid w:val="00520608"/>
    <w:rsid w:val="00522893"/>
    <w:rsid w:val="00522FA1"/>
    <w:rsid w:val="005239F8"/>
    <w:rsid w:val="0052402D"/>
    <w:rsid w:val="005249A6"/>
    <w:rsid w:val="00524A5B"/>
    <w:rsid w:val="00524B7A"/>
    <w:rsid w:val="00524CA7"/>
    <w:rsid w:val="00526328"/>
    <w:rsid w:val="00527F82"/>
    <w:rsid w:val="0053561A"/>
    <w:rsid w:val="005356A7"/>
    <w:rsid w:val="00536FF8"/>
    <w:rsid w:val="00540BA2"/>
    <w:rsid w:val="00540E5D"/>
    <w:rsid w:val="0054506E"/>
    <w:rsid w:val="0055168B"/>
    <w:rsid w:val="00553C33"/>
    <w:rsid w:val="005546A6"/>
    <w:rsid w:val="0055479A"/>
    <w:rsid w:val="00556D2F"/>
    <w:rsid w:val="00562569"/>
    <w:rsid w:val="00577963"/>
    <w:rsid w:val="0058173C"/>
    <w:rsid w:val="00583918"/>
    <w:rsid w:val="00586400"/>
    <w:rsid w:val="00591D1B"/>
    <w:rsid w:val="00592F85"/>
    <w:rsid w:val="005965C9"/>
    <w:rsid w:val="005969D7"/>
    <w:rsid w:val="00597074"/>
    <w:rsid w:val="005974E4"/>
    <w:rsid w:val="005A1802"/>
    <w:rsid w:val="005A3F1D"/>
    <w:rsid w:val="005B0D99"/>
    <w:rsid w:val="005B2F65"/>
    <w:rsid w:val="005B34AD"/>
    <w:rsid w:val="005B5488"/>
    <w:rsid w:val="005B785A"/>
    <w:rsid w:val="005C1904"/>
    <w:rsid w:val="005C2892"/>
    <w:rsid w:val="005C38FB"/>
    <w:rsid w:val="005C4D2F"/>
    <w:rsid w:val="005C6E44"/>
    <w:rsid w:val="005C77C3"/>
    <w:rsid w:val="005D0A4E"/>
    <w:rsid w:val="005D43AB"/>
    <w:rsid w:val="005D5F9E"/>
    <w:rsid w:val="005E4E36"/>
    <w:rsid w:val="005E688E"/>
    <w:rsid w:val="005E6D66"/>
    <w:rsid w:val="005E6D94"/>
    <w:rsid w:val="005F376B"/>
    <w:rsid w:val="005F43E8"/>
    <w:rsid w:val="005F4CCB"/>
    <w:rsid w:val="005F5A10"/>
    <w:rsid w:val="005F6066"/>
    <w:rsid w:val="005F7B7D"/>
    <w:rsid w:val="006004F4"/>
    <w:rsid w:val="00605DFC"/>
    <w:rsid w:val="00610BEC"/>
    <w:rsid w:val="006118F0"/>
    <w:rsid w:val="0061696C"/>
    <w:rsid w:val="006208E9"/>
    <w:rsid w:val="00620F9D"/>
    <w:rsid w:val="006238A5"/>
    <w:rsid w:val="00624BA5"/>
    <w:rsid w:val="00624CD8"/>
    <w:rsid w:val="00627739"/>
    <w:rsid w:val="006350F5"/>
    <w:rsid w:val="00635D95"/>
    <w:rsid w:val="00636894"/>
    <w:rsid w:val="00636B40"/>
    <w:rsid w:val="00637177"/>
    <w:rsid w:val="00644C81"/>
    <w:rsid w:val="00647754"/>
    <w:rsid w:val="00651A90"/>
    <w:rsid w:val="00655B80"/>
    <w:rsid w:val="0065648B"/>
    <w:rsid w:val="006573EF"/>
    <w:rsid w:val="00661C6A"/>
    <w:rsid w:val="006629D3"/>
    <w:rsid w:val="00665B77"/>
    <w:rsid w:val="00672F48"/>
    <w:rsid w:val="00673D37"/>
    <w:rsid w:val="00674925"/>
    <w:rsid w:val="006809F9"/>
    <w:rsid w:val="00685D88"/>
    <w:rsid w:val="00687136"/>
    <w:rsid w:val="006940F8"/>
    <w:rsid w:val="006956B4"/>
    <w:rsid w:val="006A0869"/>
    <w:rsid w:val="006A0A15"/>
    <w:rsid w:val="006A0C17"/>
    <w:rsid w:val="006B045F"/>
    <w:rsid w:val="006B2A06"/>
    <w:rsid w:val="006B2DF1"/>
    <w:rsid w:val="006C1578"/>
    <w:rsid w:val="006C7D29"/>
    <w:rsid w:val="006C7F9C"/>
    <w:rsid w:val="006E1CFB"/>
    <w:rsid w:val="006E1DB8"/>
    <w:rsid w:val="006E39ED"/>
    <w:rsid w:val="006E6E1F"/>
    <w:rsid w:val="006F0148"/>
    <w:rsid w:val="006F2BD8"/>
    <w:rsid w:val="006F4CF2"/>
    <w:rsid w:val="006F71A1"/>
    <w:rsid w:val="006F73D2"/>
    <w:rsid w:val="006F7F75"/>
    <w:rsid w:val="007052F1"/>
    <w:rsid w:val="00707266"/>
    <w:rsid w:val="00707E7B"/>
    <w:rsid w:val="00710355"/>
    <w:rsid w:val="00712476"/>
    <w:rsid w:val="00713D93"/>
    <w:rsid w:val="00715303"/>
    <w:rsid w:val="00716620"/>
    <w:rsid w:val="007171D0"/>
    <w:rsid w:val="00717E78"/>
    <w:rsid w:val="00721185"/>
    <w:rsid w:val="007357C2"/>
    <w:rsid w:val="00737A54"/>
    <w:rsid w:val="007438B6"/>
    <w:rsid w:val="007507BD"/>
    <w:rsid w:val="0075239E"/>
    <w:rsid w:val="00755512"/>
    <w:rsid w:val="007602A8"/>
    <w:rsid w:val="007645AB"/>
    <w:rsid w:val="00764BF0"/>
    <w:rsid w:val="007674FF"/>
    <w:rsid w:val="00772020"/>
    <w:rsid w:val="00775CA4"/>
    <w:rsid w:val="00780A35"/>
    <w:rsid w:val="00780D19"/>
    <w:rsid w:val="00782C84"/>
    <w:rsid w:val="007830A5"/>
    <w:rsid w:val="00787A2B"/>
    <w:rsid w:val="007914B5"/>
    <w:rsid w:val="00793444"/>
    <w:rsid w:val="00793523"/>
    <w:rsid w:val="007938B8"/>
    <w:rsid w:val="007966E8"/>
    <w:rsid w:val="007A078A"/>
    <w:rsid w:val="007A1FF9"/>
    <w:rsid w:val="007B04A2"/>
    <w:rsid w:val="007B2251"/>
    <w:rsid w:val="007B5245"/>
    <w:rsid w:val="007B5D6F"/>
    <w:rsid w:val="007B6844"/>
    <w:rsid w:val="007C1688"/>
    <w:rsid w:val="007C398C"/>
    <w:rsid w:val="007C42FE"/>
    <w:rsid w:val="007C4B7D"/>
    <w:rsid w:val="007D35A7"/>
    <w:rsid w:val="007E0150"/>
    <w:rsid w:val="007E06E7"/>
    <w:rsid w:val="007E2207"/>
    <w:rsid w:val="007E3165"/>
    <w:rsid w:val="007E7636"/>
    <w:rsid w:val="007F1F07"/>
    <w:rsid w:val="007F3B50"/>
    <w:rsid w:val="007F3BD3"/>
    <w:rsid w:val="0080074F"/>
    <w:rsid w:val="00800E4A"/>
    <w:rsid w:val="00803B41"/>
    <w:rsid w:val="008054E9"/>
    <w:rsid w:val="008057DA"/>
    <w:rsid w:val="00807186"/>
    <w:rsid w:val="0081568C"/>
    <w:rsid w:val="0082365E"/>
    <w:rsid w:val="00824B9F"/>
    <w:rsid w:val="0082711C"/>
    <w:rsid w:val="00830D1B"/>
    <w:rsid w:val="008327CB"/>
    <w:rsid w:val="00832F10"/>
    <w:rsid w:val="00833426"/>
    <w:rsid w:val="0083439C"/>
    <w:rsid w:val="00834FBE"/>
    <w:rsid w:val="008375CE"/>
    <w:rsid w:val="00842B49"/>
    <w:rsid w:val="0084335C"/>
    <w:rsid w:val="008466C7"/>
    <w:rsid w:val="008477CB"/>
    <w:rsid w:val="00851E13"/>
    <w:rsid w:val="00852389"/>
    <w:rsid w:val="008534A1"/>
    <w:rsid w:val="00855424"/>
    <w:rsid w:val="008613C6"/>
    <w:rsid w:val="0086396F"/>
    <w:rsid w:val="00864359"/>
    <w:rsid w:val="00864449"/>
    <w:rsid w:val="00865063"/>
    <w:rsid w:val="0086671D"/>
    <w:rsid w:val="00867EC7"/>
    <w:rsid w:val="00871088"/>
    <w:rsid w:val="0087344A"/>
    <w:rsid w:val="00877C88"/>
    <w:rsid w:val="008802DF"/>
    <w:rsid w:val="00881B39"/>
    <w:rsid w:val="0088474A"/>
    <w:rsid w:val="008878C4"/>
    <w:rsid w:val="00891301"/>
    <w:rsid w:val="00891A52"/>
    <w:rsid w:val="008927BE"/>
    <w:rsid w:val="008929CE"/>
    <w:rsid w:val="00892AD6"/>
    <w:rsid w:val="00893DC2"/>
    <w:rsid w:val="008947F6"/>
    <w:rsid w:val="00896304"/>
    <w:rsid w:val="0089731D"/>
    <w:rsid w:val="00897378"/>
    <w:rsid w:val="008A044E"/>
    <w:rsid w:val="008A102C"/>
    <w:rsid w:val="008A37D2"/>
    <w:rsid w:val="008A64E0"/>
    <w:rsid w:val="008A67FC"/>
    <w:rsid w:val="008A759A"/>
    <w:rsid w:val="008C0542"/>
    <w:rsid w:val="008C0E98"/>
    <w:rsid w:val="008C3EFD"/>
    <w:rsid w:val="008D369F"/>
    <w:rsid w:val="008D4AA3"/>
    <w:rsid w:val="008D7C8F"/>
    <w:rsid w:val="008E14AD"/>
    <w:rsid w:val="008E457D"/>
    <w:rsid w:val="008E5665"/>
    <w:rsid w:val="008E707E"/>
    <w:rsid w:val="008F03DE"/>
    <w:rsid w:val="008F07D0"/>
    <w:rsid w:val="008F1F71"/>
    <w:rsid w:val="008F22D5"/>
    <w:rsid w:val="00900BE4"/>
    <w:rsid w:val="00901183"/>
    <w:rsid w:val="00902961"/>
    <w:rsid w:val="00905235"/>
    <w:rsid w:val="009058E3"/>
    <w:rsid w:val="0091068C"/>
    <w:rsid w:val="00915073"/>
    <w:rsid w:val="00916FA9"/>
    <w:rsid w:val="00917453"/>
    <w:rsid w:val="00917C66"/>
    <w:rsid w:val="00920A25"/>
    <w:rsid w:val="00921394"/>
    <w:rsid w:val="00922418"/>
    <w:rsid w:val="00922D26"/>
    <w:rsid w:val="00926FB1"/>
    <w:rsid w:val="00930859"/>
    <w:rsid w:val="00934321"/>
    <w:rsid w:val="009347DF"/>
    <w:rsid w:val="00934ED7"/>
    <w:rsid w:val="00935FE3"/>
    <w:rsid w:val="0093601C"/>
    <w:rsid w:val="009464BD"/>
    <w:rsid w:val="00951E3B"/>
    <w:rsid w:val="009563E2"/>
    <w:rsid w:val="0095774A"/>
    <w:rsid w:val="00963753"/>
    <w:rsid w:val="009640EA"/>
    <w:rsid w:val="0096465C"/>
    <w:rsid w:val="009659BA"/>
    <w:rsid w:val="00966EB3"/>
    <w:rsid w:val="00973D52"/>
    <w:rsid w:val="00987EA0"/>
    <w:rsid w:val="0099108D"/>
    <w:rsid w:val="009952F7"/>
    <w:rsid w:val="00995D7E"/>
    <w:rsid w:val="0099606E"/>
    <w:rsid w:val="00996EA3"/>
    <w:rsid w:val="00997AFA"/>
    <w:rsid w:val="009A0D50"/>
    <w:rsid w:val="009A29F9"/>
    <w:rsid w:val="009A7494"/>
    <w:rsid w:val="009B0151"/>
    <w:rsid w:val="009B227E"/>
    <w:rsid w:val="009B2FA4"/>
    <w:rsid w:val="009B345D"/>
    <w:rsid w:val="009B4ACE"/>
    <w:rsid w:val="009B4E93"/>
    <w:rsid w:val="009C037B"/>
    <w:rsid w:val="009C0EB7"/>
    <w:rsid w:val="009C45D0"/>
    <w:rsid w:val="009C73D6"/>
    <w:rsid w:val="009D0F7A"/>
    <w:rsid w:val="009D16B3"/>
    <w:rsid w:val="009D18C4"/>
    <w:rsid w:val="009D7599"/>
    <w:rsid w:val="009E3F60"/>
    <w:rsid w:val="009E58DE"/>
    <w:rsid w:val="009F3073"/>
    <w:rsid w:val="009F31FA"/>
    <w:rsid w:val="009F3651"/>
    <w:rsid w:val="009F48FB"/>
    <w:rsid w:val="00A00C4D"/>
    <w:rsid w:val="00A04110"/>
    <w:rsid w:val="00A056CD"/>
    <w:rsid w:val="00A10174"/>
    <w:rsid w:val="00A145B1"/>
    <w:rsid w:val="00A163AE"/>
    <w:rsid w:val="00A203F9"/>
    <w:rsid w:val="00A20957"/>
    <w:rsid w:val="00A224BF"/>
    <w:rsid w:val="00A240B9"/>
    <w:rsid w:val="00A2433C"/>
    <w:rsid w:val="00A24FF8"/>
    <w:rsid w:val="00A31BA2"/>
    <w:rsid w:val="00A3285A"/>
    <w:rsid w:val="00A32C8C"/>
    <w:rsid w:val="00A3329C"/>
    <w:rsid w:val="00A333A7"/>
    <w:rsid w:val="00A43EAD"/>
    <w:rsid w:val="00A46BFF"/>
    <w:rsid w:val="00A504CF"/>
    <w:rsid w:val="00A53E4E"/>
    <w:rsid w:val="00A61436"/>
    <w:rsid w:val="00A63286"/>
    <w:rsid w:val="00A6404C"/>
    <w:rsid w:val="00A653F0"/>
    <w:rsid w:val="00A708B8"/>
    <w:rsid w:val="00A72EB5"/>
    <w:rsid w:val="00A73435"/>
    <w:rsid w:val="00A77EE8"/>
    <w:rsid w:val="00A8216D"/>
    <w:rsid w:val="00A85C1B"/>
    <w:rsid w:val="00A8634D"/>
    <w:rsid w:val="00A94773"/>
    <w:rsid w:val="00A96664"/>
    <w:rsid w:val="00A96972"/>
    <w:rsid w:val="00A96F0B"/>
    <w:rsid w:val="00AA5B26"/>
    <w:rsid w:val="00AA7AB1"/>
    <w:rsid w:val="00AB0CEB"/>
    <w:rsid w:val="00AB75A0"/>
    <w:rsid w:val="00AC0CED"/>
    <w:rsid w:val="00AC1A42"/>
    <w:rsid w:val="00AC7758"/>
    <w:rsid w:val="00AD0B14"/>
    <w:rsid w:val="00AD1ACF"/>
    <w:rsid w:val="00AD6D0E"/>
    <w:rsid w:val="00AD7AE3"/>
    <w:rsid w:val="00AD7D48"/>
    <w:rsid w:val="00AE1611"/>
    <w:rsid w:val="00AE16C7"/>
    <w:rsid w:val="00AE430A"/>
    <w:rsid w:val="00AE4EE1"/>
    <w:rsid w:val="00AF27EA"/>
    <w:rsid w:val="00AF4153"/>
    <w:rsid w:val="00AF5862"/>
    <w:rsid w:val="00B00660"/>
    <w:rsid w:val="00B029F0"/>
    <w:rsid w:val="00B04038"/>
    <w:rsid w:val="00B04753"/>
    <w:rsid w:val="00B062EA"/>
    <w:rsid w:val="00B0665A"/>
    <w:rsid w:val="00B0766C"/>
    <w:rsid w:val="00B07868"/>
    <w:rsid w:val="00B11A7C"/>
    <w:rsid w:val="00B128E6"/>
    <w:rsid w:val="00B1392C"/>
    <w:rsid w:val="00B22D0D"/>
    <w:rsid w:val="00B257CF"/>
    <w:rsid w:val="00B25909"/>
    <w:rsid w:val="00B304C0"/>
    <w:rsid w:val="00B33394"/>
    <w:rsid w:val="00B34DDB"/>
    <w:rsid w:val="00B35EF1"/>
    <w:rsid w:val="00B36573"/>
    <w:rsid w:val="00B4007A"/>
    <w:rsid w:val="00B41BC1"/>
    <w:rsid w:val="00B42E6B"/>
    <w:rsid w:val="00B43CAC"/>
    <w:rsid w:val="00B45557"/>
    <w:rsid w:val="00B457A3"/>
    <w:rsid w:val="00B47BF4"/>
    <w:rsid w:val="00B50119"/>
    <w:rsid w:val="00B50A37"/>
    <w:rsid w:val="00B50E18"/>
    <w:rsid w:val="00B532D7"/>
    <w:rsid w:val="00B537BF"/>
    <w:rsid w:val="00B71E4C"/>
    <w:rsid w:val="00B71EDC"/>
    <w:rsid w:val="00B7230D"/>
    <w:rsid w:val="00B74CFB"/>
    <w:rsid w:val="00B767F4"/>
    <w:rsid w:val="00B76CDE"/>
    <w:rsid w:val="00B8230D"/>
    <w:rsid w:val="00B9507E"/>
    <w:rsid w:val="00B965FE"/>
    <w:rsid w:val="00B9780D"/>
    <w:rsid w:val="00BA00BE"/>
    <w:rsid w:val="00BA4211"/>
    <w:rsid w:val="00BA5E0D"/>
    <w:rsid w:val="00BB2D4D"/>
    <w:rsid w:val="00BB3C7C"/>
    <w:rsid w:val="00BB51EB"/>
    <w:rsid w:val="00BB7CEB"/>
    <w:rsid w:val="00BC1513"/>
    <w:rsid w:val="00BC3EA5"/>
    <w:rsid w:val="00BC4258"/>
    <w:rsid w:val="00BD4E9A"/>
    <w:rsid w:val="00BD50EB"/>
    <w:rsid w:val="00BE645C"/>
    <w:rsid w:val="00BF19D1"/>
    <w:rsid w:val="00BF2F25"/>
    <w:rsid w:val="00C04331"/>
    <w:rsid w:val="00C1145A"/>
    <w:rsid w:val="00C14278"/>
    <w:rsid w:val="00C17021"/>
    <w:rsid w:val="00C20051"/>
    <w:rsid w:val="00C20896"/>
    <w:rsid w:val="00C221A2"/>
    <w:rsid w:val="00C236CE"/>
    <w:rsid w:val="00C24720"/>
    <w:rsid w:val="00C249E3"/>
    <w:rsid w:val="00C27640"/>
    <w:rsid w:val="00C30DF3"/>
    <w:rsid w:val="00C312E6"/>
    <w:rsid w:val="00C3222F"/>
    <w:rsid w:val="00C362F3"/>
    <w:rsid w:val="00C3651B"/>
    <w:rsid w:val="00C40DAB"/>
    <w:rsid w:val="00C415C2"/>
    <w:rsid w:val="00C44D57"/>
    <w:rsid w:val="00C451E0"/>
    <w:rsid w:val="00C46398"/>
    <w:rsid w:val="00C46BB4"/>
    <w:rsid w:val="00C5164B"/>
    <w:rsid w:val="00C533DF"/>
    <w:rsid w:val="00C5392A"/>
    <w:rsid w:val="00C5396F"/>
    <w:rsid w:val="00C53D22"/>
    <w:rsid w:val="00C55A89"/>
    <w:rsid w:val="00C57220"/>
    <w:rsid w:val="00C605E9"/>
    <w:rsid w:val="00C61FD3"/>
    <w:rsid w:val="00C64753"/>
    <w:rsid w:val="00C66B35"/>
    <w:rsid w:val="00C71137"/>
    <w:rsid w:val="00C73C75"/>
    <w:rsid w:val="00C744C1"/>
    <w:rsid w:val="00C7496F"/>
    <w:rsid w:val="00C74E41"/>
    <w:rsid w:val="00C75B89"/>
    <w:rsid w:val="00C76BF4"/>
    <w:rsid w:val="00C8157E"/>
    <w:rsid w:val="00C81A21"/>
    <w:rsid w:val="00C832EA"/>
    <w:rsid w:val="00C83669"/>
    <w:rsid w:val="00C83724"/>
    <w:rsid w:val="00C85FFB"/>
    <w:rsid w:val="00C90C5F"/>
    <w:rsid w:val="00C921DB"/>
    <w:rsid w:val="00C92931"/>
    <w:rsid w:val="00C95AFA"/>
    <w:rsid w:val="00C96412"/>
    <w:rsid w:val="00CA13D1"/>
    <w:rsid w:val="00CA6703"/>
    <w:rsid w:val="00CB26CB"/>
    <w:rsid w:val="00CB47A8"/>
    <w:rsid w:val="00CB4FA0"/>
    <w:rsid w:val="00CB56A2"/>
    <w:rsid w:val="00CB5DF9"/>
    <w:rsid w:val="00CC1854"/>
    <w:rsid w:val="00CC4398"/>
    <w:rsid w:val="00CC5385"/>
    <w:rsid w:val="00CC611B"/>
    <w:rsid w:val="00CD0CC0"/>
    <w:rsid w:val="00CD281D"/>
    <w:rsid w:val="00CD632A"/>
    <w:rsid w:val="00CD6D80"/>
    <w:rsid w:val="00CD6DF6"/>
    <w:rsid w:val="00CE087E"/>
    <w:rsid w:val="00CE3E74"/>
    <w:rsid w:val="00CE5AB2"/>
    <w:rsid w:val="00CE615F"/>
    <w:rsid w:val="00CE69A6"/>
    <w:rsid w:val="00CE6ABF"/>
    <w:rsid w:val="00CF01B7"/>
    <w:rsid w:val="00CF15E7"/>
    <w:rsid w:val="00CF3C29"/>
    <w:rsid w:val="00CF4A92"/>
    <w:rsid w:val="00D00EF3"/>
    <w:rsid w:val="00D04C6A"/>
    <w:rsid w:val="00D0719C"/>
    <w:rsid w:val="00D10243"/>
    <w:rsid w:val="00D10B58"/>
    <w:rsid w:val="00D15A72"/>
    <w:rsid w:val="00D15C86"/>
    <w:rsid w:val="00D24ECC"/>
    <w:rsid w:val="00D31D42"/>
    <w:rsid w:val="00D31D4E"/>
    <w:rsid w:val="00D35533"/>
    <w:rsid w:val="00D373F8"/>
    <w:rsid w:val="00D409B3"/>
    <w:rsid w:val="00D453EF"/>
    <w:rsid w:val="00D51624"/>
    <w:rsid w:val="00D537A6"/>
    <w:rsid w:val="00D54DDA"/>
    <w:rsid w:val="00D63E97"/>
    <w:rsid w:val="00D71094"/>
    <w:rsid w:val="00D71A6F"/>
    <w:rsid w:val="00D73ECC"/>
    <w:rsid w:val="00D73FB0"/>
    <w:rsid w:val="00D77675"/>
    <w:rsid w:val="00D77C66"/>
    <w:rsid w:val="00D82200"/>
    <w:rsid w:val="00D859A1"/>
    <w:rsid w:val="00D87A7B"/>
    <w:rsid w:val="00D9008D"/>
    <w:rsid w:val="00D91A9F"/>
    <w:rsid w:val="00D954D1"/>
    <w:rsid w:val="00DA4D09"/>
    <w:rsid w:val="00DB2250"/>
    <w:rsid w:val="00DB54FF"/>
    <w:rsid w:val="00DC29D5"/>
    <w:rsid w:val="00DC58BC"/>
    <w:rsid w:val="00DC7E36"/>
    <w:rsid w:val="00DC7EA4"/>
    <w:rsid w:val="00DD3570"/>
    <w:rsid w:val="00DD36D6"/>
    <w:rsid w:val="00DE1F4B"/>
    <w:rsid w:val="00DE394B"/>
    <w:rsid w:val="00DF1A4C"/>
    <w:rsid w:val="00DF2556"/>
    <w:rsid w:val="00DF4732"/>
    <w:rsid w:val="00DF6183"/>
    <w:rsid w:val="00DF7412"/>
    <w:rsid w:val="00E038ED"/>
    <w:rsid w:val="00E05054"/>
    <w:rsid w:val="00E10C1D"/>
    <w:rsid w:val="00E113C6"/>
    <w:rsid w:val="00E13D33"/>
    <w:rsid w:val="00E264AA"/>
    <w:rsid w:val="00E26E50"/>
    <w:rsid w:val="00E27284"/>
    <w:rsid w:val="00E3185C"/>
    <w:rsid w:val="00E3408D"/>
    <w:rsid w:val="00E34A0D"/>
    <w:rsid w:val="00E36A21"/>
    <w:rsid w:val="00E36DB0"/>
    <w:rsid w:val="00E37D11"/>
    <w:rsid w:val="00E4159B"/>
    <w:rsid w:val="00E4211E"/>
    <w:rsid w:val="00E43DB3"/>
    <w:rsid w:val="00E43DDE"/>
    <w:rsid w:val="00E43F7F"/>
    <w:rsid w:val="00E44A3E"/>
    <w:rsid w:val="00E454E0"/>
    <w:rsid w:val="00E4581E"/>
    <w:rsid w:val="00E46DCD"/>
    <w:rsid w:val="00E476E8"/>
    <w:rsid w:val="00E53BD8"/>
    <w:rsid w:val="00E5430F"/>
    <w:rsid w:val="00E55126"/>
    <w:rsid w:val="00E56B3B"/>
    <w:rsid w:val="00E56B53"/>
    <w:rsid w:val="00E56F98"/>
    <w:rsid w:val="00E60519"/>
    <w:rsid w:val="00E623B5"/>
    <w:rsid w:val="00E634C4"/>
    <w:rsid w:val="00E63861"/>
    <w:rsid w:val="00E6776E"/>
    <w:rsid w:val="00E7126A"/>
    <w:rsid w:val="00E7144C"/>
    <w:rsid w:val="00E71713"/>
    <w:rsid w:val="00E7239C"/>
    <w:rsid w:val="00E725AE"/>
    <w:rsid w:val="00E755FB"/>
    <w:rsid w:val="00E763BB"/>
    <w:rsid w:val="00E7708B"/>
    <w:rsid w:val="00E8110F"/>
    <w:rsid w:val="00E81245"/>
    <w:rsid w:val="00E82F07"/>
    <w:rsid w:val="00E876B8"/>
    <w:rsid w:val="00E87CFD"/>
    <w:rsid w:val="00E9219C"/>
    <w:rsid w:val="00E94E33"/>
    <w:rsid w:val="00E94F36"/>
    <w:rsid w:val="00E97E15"/>
    <w:rsid w:val="00EA1804"/>
    <w:rsid w:val="00EA2D7C"/>
    <w:rsid w:val="00EA33F5"/>
    <w:rsid w:val="00EA3B1E"/>
    <w:rsid w:val="00EA4992"/>
    <w:rsid w:val="00EA5CC6"/>
    <w:rsid w:val="00EA7779"/>
    <w:rsid w:val="00EA7839"/>
    <w:rsid w:val="00EA797D"/>
    <w:rsid w:val="00EB0CDC"/>
    <w:rsid w:val="00EB2DA0"/>
    <w:rsid w:val="00EB3C67"/>
    <w:rsid w:val="00EB6798"/>
    <w:rsid w:val="00EC59DA"/>
    <w:rsid w:val="00EC5CE4"/>
    <w:rsid w:val="00ED1E20"/>
    <w:rsid w:val="00ED1E2B"/>
    <w:rsid w:val="00ED23B9"/>
    <w:rsid w:val="00ED4773"/>
    <w:rsid w:val="00EE016F"/>
    <w:rsid w:val="00EE2FDD"/>
    <w:rsid w:val="00EE30CD"/>
    <w:rsid w:val="00EE50D0"/>
    <w:rsid w:val="00EE603F"/>
    <w:rsid w:val="00EE7B0B"/>
    <w:rsid w:val="00EF0ECA"/>
    <w:rsid w:val="00EF484F"/>
    <w:rsid w:val="00EF721E"/>
    <w:rsid w:val="00EF7476"/>
    <w:rsid w:val="00F020D2"/>
    <w:rsid w:val="00F053C4"/>
    <w:rsid w:val="00F06E03"/>
    <w:rsid w:val="00F120A6"/>
    <w:rsid w:val="00F20265"/>
    <w:rsid w:val="00F2176B"/>
    <w:rsid w:val="00F221DE"/>
    <w:rsid w:val="00F23432"/>
    <w:rsid w:val="00F23AB7"/>
    <w:rsid w:val="00F248D7"/>
    <w:rsid w:val="00F271E5"/>
    <w:rsid w:val="00F3050D"/>
    <w:rsid w:val="00F31797"/>
    <w:rsid w:val="00F36914"/>
    <w:rsid w:val="00F3712A"/>
    <w:rsid w:val="00F37751"/>
    <w:rsid w:val="00F41325"/>
    <w:rsid w:val="00F43BDE"/>
    <w:rsid w:val="00F52CEB"/>
    <w:rsid w:val="00F602FC"/>
    <w:rsid w:val="00F64375"/>
    <w:rsid w:val="00F64572"/>
    <w:rsid w:val="00F67B37"/>
    <w:rsid w:val="00F701F2"/>
    <w:rsid w:val="00F708DE"/>
    <w:rsid w:val="00F75B54"/>
    <w:rsid w:val="00F75F4D"/>
    <w:rsid w:val="00F762AF"/>
    <w:rsid w:val="00F77EDD"/>
    <w:rsid w:val="00F77EE9"/>
    <w:rsid w:val="00F84344"/>
    <w:rsid w:val="00F84BF9"/>
    <w:rsid w:val="00F85748"/>
    <w:rsid w:val="00F857E5"/>
    <w:rsid w:val="00F87B1A"/>
    <w:rsid w:val="00F87B64"/>
    <w:rsid w:val="00F91451"/>
    <w:rsid w:val="00F91781"/>
    <w:rsid w:val="00F92535"/>
    <w:rsid w:val="00F933EB"/>
    <w:rsid w:val="00F9433A"/>
    <w:rsid w:val="00F952CE"/>
    <w:rsid w:val="00F9690D"/>
    <w:rsid w:val="00FA3610"/>
    <w:rsid w:val="00FA5692"/>
    <w:rsid w:val="00FB1B1C"/>
    <w:rsid w:val="00FB2232"/>
    <w:rsid w:val="00FB5452"/>
    <w:rsid w:val="00FC080C"/>
    <w:rsid w:val="00FC2CC9"/>
    <w:rsid w:val="00FC3491"/>
    <w:rsid w:val="00FD033A"/>
    <w:rsid w:val="00FD0527"/>
    <w:rsid w:val="00FD3925"/>
    <w:rsid w:val="00FD39E6"/>
    <w:rsid w:val="00FD5386"/>
    <w:rsid w:val="00FD60A1"/>
    <w:rsid w:val="00FD74D4"/>
    <w:rsid w:val="00FD7FC7"/>
    <w:rsid w:val="00FE344A"/>
    <w:rsid w:val="00FE3B63"/>
    <w:rsid w:val="00FE4C6E"/>
    <w:rsid w:val="00FE57E3"/>
    <w:rsid w:val="00FE766F"/>
    <w:rsid w:val="00FF07C3"/>
    <w:rsid w:val="00FF59C7"/>
    <w:rsid w:val="00FF6F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F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048F8"/>
    <w:rPr>
      <w:sz w:val="18"/>
      <w:szCs w:val="18"/>
    </w:rPr>
  </w:style>
  <w:style w:type="character" w:styleId="a4">
    <w:name w:val="Hyperlink"/>
    <w:rsid w:val="001048F8"/>
    <w:rPr>
      <w:color w:val="0000FF"/>
      <w:u w:val="single"/>
    </w:rPr>
  </w:style>
  <w:style w:type="character" w:customStyle="1" w:styleId="Char0">
    <w:name w:val="页眉 Char"/>
    <w:link w:val="a5"/>
    <w:rsid w:val="001048F8"/>
    <w:rPr>
      <w:sz w:val="18"/>
      <w:szCs w:val="18"/>
    </w:rPr>
  </w:style>
  <w:style w:type="paragraph" w:styleId="a5">
    <w:name w:val="header"/>
    <w:basedOn w:val="a"/>
    <w:link w:val="Char0"/>
    <w:rsid w:val="001048F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3">
    <w:name w:val="footer"/>
    <w:basedOn w:val="a"/>
    <w:link w:val="Char"/>
    <w:uiPriority w:val="99"/>
    <w:rsid w:val="001048F8"/>
    <w:pPr>
      <w:tabs>
        <w:tab w:val="center" w:pos="4153"/>
        <w:tab w:val="right" w:pos="8306"/>
      </w:tabs>
      <w:snapToGrid w:val="0"/>
      <w:jc w:val="left"/>
    </w:pPr>
    <w:rPr>
      <w:rFonts w:ascii="Calibri" w:hAnsi="Calibri"/>
      <w:kern w:val="0"/>
      <w:sz w:val="18"/>
      <w:szCs w:val="18"/>
    </w:rPr>
  </w:style>
  <w:style w:type="paragraph" w:customStyle="1" w:styleId="Default">
    <w:name w:val="Default"/>
    <w:rsid w:val="001048F8"/>
    <w:pPr>
      <w:widowControl w:val="0"/>
      <w:autoSpaceDE w:val="0"/>
      <w:autoSpaceDN w:val="0"/>
      <w:adjustRightInd w:val="0"/>
    </w:pPr>
    <w:rPr>
      <w:rFonts w:ascii="宋体" w:cs="宋体"/>
      <w:color w:val="000000"/>
      <w:sz w:val="24"/>
      <w:szCs w:val="24"/>
    </w:rPr>
  </w:style>
  <w:style w:type="paragraph" w:styleId="a6">
    <w:name w:val="Balloon Text"/>
    <w:basedOn w:val="a"/>
    <w:link w:val="Char1"/>
    <w:uiPriority w:val="99"/>
    <w:semiHidden/>
    <w:unhideWhenUsed/>
    <w:rsid w:val="000B0C45"/>
    <w:rPr>
      <w:sz w:val="18"/>
      <w:szCs w:val="18"/>
    </w:rPr>
  </w:style>
  <w:style w:type="character" w:customStyle="1" w:styleId="Char1">
    <w:name w:val="批注框文本 Char"/>
    <w:link w:val="a6"/>
    <w:uiPriority w:val="99"/>
    <w:semiHidden/>
    <w:rsid w:val="000B0C45"/>
    <w:rPr>
      <w:rFonts w:ascii="Times New Roman" w:hAnsi="Times New Roman"/>
      <w:kern w:val="2"/>
      <w:sz w:val="18"/>
      <w:szCs w:val="18"/>
    </w:rPr>
  </w:style>
  <w:style w:type="paragraph" w:styleId="a7">
    <w:name w:val="Normal (Web)"/>
    <w:basedOn w:val="a"/>
    <w:uiPriority w:val="99"/>
    <w:unhideWhenUsed/>
    <w:rsid w:val="009563E2"/>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5C38FB"/>
    <w:pPr>
      <w:ind w:firstLineChars="200" w:firstLine="420"/>
    </w:pPr>
    <w:rPr>
      <w:rFonts w:ascii="Calibri" w:hAnsi="Calibri"/>
      <w:szCs w:val="22"/>
    </w:rPr>
  </w:style>
  <w:style w:type="character" w:styleId="a9">
    <w:name w:val="annotation reference"/>
    <w:basedOn w:val="a0"/>
    <w:uiPriority w:val="99"/>
    <w:semiHidden/>
    <w:unhideWhenUsed/>
    <w:rsid w:val="00F37751"/>
    <w:rPr>
      <w:sz w:val="21"/>
      <w:szCs w:val="21"/>
    </w:rPr>
  </w:style>
  <w:style w:type="paragraph" w:styleId="aa">
    <w:name w:val="annotation text"/>
    <w:basedOn w:val="a"/>
    <w:link w:val="Char2"/>
    <w:uiPriority w:val="99"/>
    <w:semiHidden/>
    <w:unhideWhenUsed/>
    <w:rsid w:val="00F37751"/>
    <w:pPr>
      <w:jc w:val="left"/>
    </w:pPr>
  </w:style>
  <w:style w:type="character" w:customStyle="1" w:styleId="Char2">
    <w:name w:val="批注文字 Char"/>
    <w:basedOn w:val="a0"/>
    <w:link w:val="aa"/>
    <w:uiPriority w:val="99"/>
    <w:semiHidden/>
    <w:rsid w:val="00F37751"/>
    <w:rPr>
      <w:rFonts w:ascii="Times New Roman" w:hAnsi="Times New Roman"/>
      <w:kern w:val="2"/>
      <w:sz w:val="21"/>
      <w:szCs w:val="24"/>
    </w:rPr>
  </w:style>
  <w:style w:type="paragraph" w:styleId="ab">
    <w:name w:val="annotation subject"/>
    <w:basedOn w:val="aa"/>
    <w:next w:val="aa"/>
    <w:link w:val="Char3"/>
    <w:uiPriority w:val="99"/>
    <w:semiHidden/>
    <w:unhideWhenUsed/>
    <w:rsid w:val="00F37751"/>
    <w:rPr>
      <w:b/>
      <w:bCs/>
    </w:rPr>
  </w:style>
  <w:style w:type="character" w:customStyle="1" w:styleId="Char3">
    <w:name w:val="批注主题 Char"/>
    <w:basedOn w:val="Char2"/>
    <w:link w:val="ab"/>
    <w:uiPriority w:val="99"/>
    <w:semiHidden/>
    <w:rsid w:val="00F37751"/>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divs>
    <w:div w:id="138158593">
      <w:bodyDiv w:val="1"/>
      <w:marLeft w:val="0"/>
      <w:marRight w:val="0"/>
      <w:marTop w:val="0"/>
      <w:marBottom w:val="0"/>
      <w:divBdr>
        <w:top w:val="none" w:sz="0" w:space="0" w:color="auto"/>
        <w:left w:val="none" w:sz="0" w:space="0" w:color="auto"/>
        <w:bottom w:val="none" w:sz="0" w:space="0" w:color="auto"/>
        <w:right w:val="none" w:sz="0" w:space="0" w:color="auto"/>
      </w:divBdr>
    </w:div>
    <w:div w:id="285742738">
      <w:bodyDiv w:val="1"/>
      <w:marLeft w:val="0"/>
      <w:marRight w:val="0"/>
      <w:marTop w:val="0"/>
      <w:marBottom w:val="0"/>
      <w:divBdr>
        <w:top w:val="none" w:sz="0" w:space="0" w:color="auto"/>
        <w:left w:val="none" w:sz="0" w:space="0" w:color="auto"/>
        <w:bottom w:val="none" w:sz="0" w:space="0" w:color="auto"/>
        <w:right w:val="none" w:sz="0" w:space="0" w:color="auto"/>
      </w:divBdr>
      <w:divsChild>
        <w:div w:id="1022318128">
          <w:marLeft w:val="0"/>
          <w:marRight w:val="0"/>
          <w:marTop w:val="0"/>
          <w:marBottom w:val="0"/>
          <w:divBdr>
            <w:top w:val="none" w:sz="0" w:space="0" w:color="auto"/>
            <w:left w:val="none" w:sz="0" w:space="0" w:color="auto"/>
            <w:bottom w:val="none" w:sz="0" w:space="0" w:color="auto"/>
            <w:right w:val="none" w:sz="0" w:space="0" w:color="auto"/>
          </w:divBdr>
        </w:div>
      </w:divsChild>
    </w:div>
    <w:div w:id="495876525">
      <w:bodyDiv w:val="1"/>
      <w:marLeft w:val="0"/>
      <w:marRight w:val="0"/>
      <w:marTop w:val="0"/>
      <w:marBottom w:val="0"/>
      <w:divBdr>
        <w:top w:val="none" w:sz="0" w:space="0" w:color="auto"/>
        <w:left w:val="none" w:sz="0" w:space="0" w:color="auto"/>
        <w:bottom w:val="none" w:sz="0" w:space="0" w:color="auto"/>
        <w:right w:val="none" w:sz="0" w:space="0" w:color="auto"/>
      </w:divBdr>
      <w:divsChild>
        <w:div w:id="787550196">
          <w:marLeft w:val="0"/>
          <w:marRight w:val="0"/>
          <w:marTop w:val="0"/>
          <w:marBottom w:val="0"/>
          <w:divBdr>
            <w:top w:val="none" w:sz="0" w:space="0" w:color="auto"/>
            <w:left w:val="none" w:sz="0" w:space="0" w:color="auto"/>
            <w:bottom w:val="none" w:sz="0" w:space="0" w:color="auto"/>
            <w:right w:val="none" w:sz="0" w:space="0" w:color="auto"/>
          </w:divBdr>
        </w:div>
      </w:divsChild>
    </w:div>
    <w:div w:id="541135232">
      <w:bodyDiv w:val="1"/>
      <w:marLeft w:val="0"/>
      <w:marRight w:val="0"/>
      <w:marTop w:val="0"/>
      <w:marBottom w:val="0"/>
      <w:divBdr>
        <w:top w:val="none" w:sz="0" w:space="0" w:color="auto"/>
        <w:left w:val="none" w:sz="0" w:space="0" w:color="auto"/>
        <w:bottom w:val="none" w:sz="0" w:space="0" w:color="auto"/>
        <w:right w:val="none" w:sz="0" w:space="0" w:color="auto"/>
      </w:divBdr>
    </w:div>
    <w:div w:id="647516149">
      <w:bodyDiv w:val="1"/>
      <w:marLeft w:val="0"/>
      <w:marRight w:val="0"/>
      <w:marTop w:val="0"/>
      <w:marBottom w:val="0"/>
      <w:divBdr>
        <w:top w:val="none" w:sz="0" w:space="0" w:color="auto"/>
        <w:left w:val="none" w:sz="0" w:space="0" w:color="auto"/>
        <w:bottom w:val="none" w:sz="0" w:space="0" w:color="auto"/>
        <w:right w:val="none" w:sz="0" w:space="0" w:color="auto"/>
      </w:divBdr>
    </w:div>
    <w:div w:id="699937481">
      <w:bodyDiv w:val="1"/>
      <w:marLeft w:val="0"/>
      <w:marRight w:val="0"/>
      <w:marTop w:val="0"/>
      <w:marBottom w:val="0"/>
      <w:divBdr>
        <w:top w:val="none" w:sz="0" w:space="0" w:color="auto"/>
        <w:left w:val="none" w:sz="0" w:space="0" w:color="auto"/>
        <w:bottom w:val="none" w:sz="0" w:space="0" w:color="auto"/>
        <w:right w:val="none" w:sz="0" w:space="0" w:color="auto"/>
      </w:divBdr>
    </w:div>
    <w:div w:id="993610957">
      <w:bodyDiv w:val="1"/>
      <w:marLeft w:val="0"/>
      <w:marRight w:val="0"/>
      <w:marTop w:val="0"/>
      <w:marBottom w:val="0"/>
      <w:divBdr>
        <w:top w:val="none" w:sz="0" w:space="0" w:color="auto"/>
        <w:left w:val="none" w:sz="0" w:space="0" w:color="auto"/>
        <w:bottom w:val="none" w:sz="0" w:space="0" w:color="auto"/>
        <w:right w:val="none" w:sz="0" w:space="0" w:color="auto"/>
      </w:divBdr>
    </w:div>
    <w:div w:id="1121387652">
      <w:bodyDiv w:val="1"/>
      <w:marLeft w:val="0"/>
      <w:marRight w:val="0"/>
      <w:marTop w:val="0"/>
      <w:marBottom w:val="0"/>
      <w:divBdr>
        <w:top w:val="none" w:sz="0" w:space="0" w:color="auto"/>
        <w:left w:val="none" w:sz="0" w:space="0" w:color="auto"/>
        <w:bottom w:val="none" w:sz="0" w:space="0" w:color="auto"/>
        <w:right w:val="none" w:sz="0" w:space="0" w:color="auto"/>
      </w:divBdr>
    </w:div>
    <w:div w:id="1245452649">
      <w:bodyDiv w:val="1"/>
      <w:marLeft w:val="0"/>
      <w:marRight w:val="0"/>
      <w:marTop w:val="0"/>
      <w:marBottom w:val="0"/>
      <w:divBdr>
        <w:top w:val="none" w:sz="0" w:space="0" w:color="auto"/>
        <w:left w:val="none" w:sz="0" w:space="0" w:color="auto"/>
        <w:bottom w:val="none" w:sz="0" w:space="0" w:color="auto"/>
        <w:right w:val="none" w:sz="0" w:space="0" w:color="auto"/>
      </w:divBdr>
      <w:divsChild>
        <w:div w:id="1127314365">
          <w:marLeft w:val="0"/>
          <w:marRight w:val="0"/>
          <w:marTop w:val="0"/>
          <w:marBottom w:val="0"/>
          <w:divBdr>
            <w:top w:val="none" w:sz="0" w:space="0" w:color="auto"/>
            <w:left w:val="none" w:sz="0" w:space="0" w:color="auto"/>
            <w:bottom w:val="none" w:sz="0" w:space="0" w:color="auto"/>
            <w:right w:val="none" w:sz="0" w:space="0" w:color="auto"/>
          </w:divBdr>
          <w:divsChild>
            <w:div w:id="1673751741">
              <w:marLeft w:val="0"/>
              <w:marRight w:val="0"/>
              <w:marTop w:val="0"/>
              <w:marBottom w:val="0"/>
              <w:divBdr>
                <w:top w:val="none" w:sz="0" w:space="0" w:color="auto"/>
                <w:left w:val="none" w:sz="0" w:space="0" w:color="auto"/>
                <w:bottom w:val="none" w:sz="0" w:space="0" w:color="auto"/>
                <w:right w:val="none" w:sz="0" w:space="0" w:color="auto"/>
              </w:divBdr>
              <w:divsChild>
                <w:div w:id="9509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253">
      <w:bodyDiv w:val="1"/>
      <w:marLeft w:val="0"/>
      <w:marRight w:val="0"/>
      <w:marTop w:val="0"/>
      <w:marBottom w:val="0"/>
      <w:divBdr>
        <w:top w:val="none" w:sz="0" w:space="0" w:color="auto"/>
        <w:left w:val="none" w:sz="0" w:space="0" w:color="auto"/>
        <w:bottom w:val="none" w:sz="0" w:space="0" w:color="auto"/>
        <w:right w:val="none" w:sz="0" w:space="0" w:color="auto"/>
      </w:divBdr>
    </w:div>
    <w:div w:id="1330792877">
      <w:bodyDiv w:val="1"/>
      <w:marLeft w:val="0"/>
      <w:marRight w:val="0"/>
      <w:marTop w:val="0"/>
      <w:marBottom w:val="0"/>
      <w:divBdr>
        <w:top w:val="none" w:sz="0" w:space="0" w:color="auto"/>
        <w:left w:val="none" w:sz="0" w:space="0" w:color="auto"/>
        <w:bottom w:val="none" w:sz="0" w:space="0" w:color="auto"/>
        <w:right w:val="none" w:sz="0" w:space="0" w:color="auto"/>
      </w:divBdr>
    </w:div>
    <w:div w:id="1371412973">
      <w:bodyDiv w:val="1"/>
      <w:marLeft w:val="0"/>
      <w:marRight w:val="0"/>
      <w:marTop w:val="0"/>
      <w:marBottom w:val="0"/>
      <w:divBdr>
        <w:top w:val="none" w:sz="0" w:space="0" w:color="auto"/>
        <w:left w:val="none" w:sz="0" w:space="0" w:color="auto"/>
        <w:bottom w:val="none" w:sz="0" w:space="0" w:color="auto"/>
        <w:right w:val="none" w:sz="0" w:space="0" w:color="auto"/>
      </w:divBdr>
    </w:div>
    <w:div w:id="1407872666">
      <w:bodyDiv w:val="1"/>
      <w:marLeft w:val="0"/>
      <w:marRight w:val="0"/>
      <w:marTop w:val="0"/>
      <w:marBottom w:val="0"/>
      <w:divBdr>
        <w:top w:val="none" w:sz="0" w:space="0" w:color="auto"/>
        <w:left w:val="none" w:sz="0" w:space="0" w:color="auto"/>
        <w:bottom w:val="none" w:sz="0" w:space="0" w:color="auto"/>
        <w:right w:val="none" w:sz="0" w:space="0" w:color="auto"/>
      </w:divBdr>
    </w:div>
    <w:div w:id="1587379118">
      <w:bodyDiv w:val="1"/>
      <w:marLeft w:val="0"/>
      <w:marRight w:val="0"/>
      <w:marTop w:val="0"/>
      <w:marBottom w:val="0"/>
      <w:divBdr>
        <w:top w:val="none" w:sz="0" w:space="0" w:color="auto"/>
        <w:left w:val="none" w:sz="0" w:space="0" w:color="auto"/>
        <w:bottom w:val="none" w:sz="0" w:space="0" w:color="auto"/>
        <w:right w:val="none" w:sz="0" w:space="0" w:color="auto"/>
      </w:divBdr>
      <w:divsChild>
        <w:div w:id="1932932025">
          <w:marLeft w:val="0"/>
          <w:marRight w:val="0"/>
          <w:marTop w:val="0"/>
          <w:marBottom w:val="0"/>
          <w:divBdr>
            <w:top w:val="none" w:sz="0" w:space="0" w:color="auto"/>
            <w:left w:val="none" w:sz="0" w:space="0" w:color="auto"/>
            <w:bottom w:val="none" w:sz="0" w:space="0" w:color="auto"/>
            <w:right w:val="none" w:sz="0" w:space="0" w:color="auto"/>
          </w:divBdr>
        </w:div>
      </w:divsChild>
    </w:div>
    <w:div w:id="1603220645">
      <w:bodyDiv w:val="1"/>
      <w:marLeft w:val="0"/>
      <w:marRight w:val="0"/>
      <w:marTop w:val="0"/>
      <w:marBottom w:val="0"/>
      <w:divBdr>
        <w:top w:val="none" w:sz="0" w:space="0" w:color="auto"/>
        <w:left w:val="none" w:sz="0" w:space="0" w:color="auto"/>
        <w:bottom w:val="none" w:sz="0" w:space="0" w:color="auto"/>
        <w:right w:val="none" w:sz="0" w:space="0" w:color="auto"/>
      </w:divBdr>
    </w:div>
    <w:div w:id="1784105977">
      <w:bodyDiv w:val="1"/>
      <w:marLeft w:val="0"/>
      <w:marRight w:val="0"/>
      <w:marTop w:val="0"/>
      <w:marBottom w:val="0"/>
      <w:divBdr>
        <w:top w:val="none" w:sz="0" w:space="0" w:color="auto"/>
        <w:left w:val="none" w:sz="0" w:space="0" w:color="auto"/>
        <w:bottom w:val="none" w:sz="0" w:space="0" w:color="auto"/>
        <w:right w:val="none" w:sz="0" w:space="0" w:color="auto"/>
      </w:divBdr>
    </w:div>
    <w:div w:id="1784573951">
      <w:bodyDiv w:val="1"/>
      <w:marLeft w:val="0"/>
      <w:marRight w:val="0"/>
      <w:marTop w:val="0"/>
      <w:marBottom w:val="0"/>
      <w:divBdr>
        <w:top w:val="none" w:sz="0" w:space="0" w:color="auto"/>
        <w:left w:val="none" w:sz="0" w:space="0" w:color="auto"/>
        <w:bottom w:val="none" w:sz="0" w:space="0" w:color="auto"/>
        <w:right w:val="none" w:sz="0" w:space="0" w:color="auto"/>
      </w:divBdr>
    </w:div>
    <w:div w:id="1926259944">
      <w:bodyDiv w:val="1"/>
      <w:marLeft w:val="0"/>
      <w:marRight w:val="0"/>
      <w:marTop w:val="0"/>
      <w:marBottom w:val="0"/>
      <w:divBdr>
        <w:top w:val="none" w:sz="0" w:space="0" w:color="auto"/>
        <w:left w:val="none" w:sz="0" w:space="0" w:color="auto"/>
        <w:bottom w:val="none" w:sz="0" w:space="0" w:color="auto"/>
        <w:right w:val="none" w:sz="0" w:space="0" w:color="auto"/>
      </w:divBdr>
      <w:divsChild>
        <w:div w:id="671882258">
          <w:marLeft w:val="0"/>
          <w:marRight w:val="0"/>
          <w:marTop w:val="0"/>
          <w:marBottom w:val="0"/>
          <w:divBdr>
            <w:top w:val="none" w:sz="0" w:space="0" w:color="auto"/>
            <w:left w:val="none" w:sz="0" w:space="0" w:color="auto"/>
            <w:bottom w:val="none" w:sz="0" w:space="0" w:color="auto"/>
            <w:right w:val="none" w:sz="0" w:space="0" w:color="auto"/>
          </w:divBdr>
          <w:divsChild>
            <w:div w:id="1288002681">
              <w:marLeft w:val="0"/>
              <w:marRight w:val="0"/>
              <w:marTop w:val="0"/>
              <w:marBottom w:val="0"/>
              <w:divBdr>
                <w:top w:val="none" w:sz="0" w:space="0" w:color="auto"/>
                <w:left w:val="none" w:sz="0" w:space="0" w:color="auto"/>
                <w:bottom w:val="none" w:sz="0" w:space="0" w:color="auto"/>
                <w:right w:val="none" w:sz="0" w:space="0" w:color="auto"/>
              </w:divBdr>
              <w:divsChild>
                <w:div w:id="10967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3322">
      <w:bodyDiv w:val="1"/>
      <w:marLeft w:val="0"/>
      <w:marRight w:val="0"/>
      <w:marTop w:val="0"/>
      <w:marBottom w:val="0"/>
      <w:divBdr>
        <w:top w:val="none" w:sz="0" w:space="0" w:color="auto"/>
        <w:left w:val="none" w:sz="0" w:space="0" w:color="auto"/>
        <w:bottom w:val="none" w:sz="0" w:space="0" w:color="auto"/>
        <w:right w:val="none" w:sz="0" w:space="0" w:color="auto"/>
      </w:divBdr>
      <w:divsChild>
        <w:div w:id="532697715">
          <w:marLeft w:val="0"/>
          <w:marRight w:val="0"/>
          <w:marTop w:val="0"/>
          <w:marBottom w:val="0"/>
          <w:divBdr>
            <w:top w:val="none" w:sz="0" w:space="0" w:color="auto"/>
            <w:left w:val="none" w:sz="0" w:space="0" w:color="auto"/>
            <w:bottom w:val="none" w:sz="0" w:space="0" w:color="auto"/>
            <w:right w:val="none" w:sz="0" w:space="0" w:color="auto"/>
          </w:divBdr>
        </w:div>
        <w:div w:id="494299172">
          <w:marLeft w:val="0"/>
          <w:marRight w:val="0"/>
          <w:marTop w:val="0"/>
          <w:marBottom w:val="0"/>
          <w:divBdr>
            <w:top w:val="none" w:sz="0" w:space="0" w:color="auto"/>
            <w:left w:val="none" w:sz="0" w:space="0" w:color="auto"/>
            <w:bottom w:val="none" w:sz="0" w:space="0" w:color="auto"/>
            <w:right w:val="none" w:sz="0" w:space="0" w:color="auto"/>
          </w:divBdr>
        </w:div>
        <w:div w:id="1349064806">
          <w:marLeft w:val="0"/>
          <w:marRight w:val="0"/>
          <w:marTop w:val="0"/>
          <w:marBottom w:val="0"/>
          <w:divBdr>
            <w:top w:val="none" w:sz="0" w:space="0" w:color="auto"/>
            <w:left w:val="none" w:sz="0" w:space="0" w:color="auto"/>
            <w:bottom w:val="none" w:sz="0" w:space="0" w:color="auto"/>
            <w:right w:val="none" w:sz="0" w:space="0" w:color="auto"/>
          </w:divBdr>
        </w:div>
        <w:div w:id="335809110">
          <w:marLeft w:val="0"/>
          <w:marRight w:val="0"/>
          <w:marTop w:val="0"/>
          <w:marBottom w:val="0"/>
          <w:divBdr>
            <w:top w:val="none" w:sz="0" w:space="0" w:color="auto"/>
            <w:left w:val="none" w:sz="0" w:space="0" w:color="auto"/>
            <w:bottom w:val="none" w:sz="0" w:space="0" w:color="auto"/>
            <w:right w:val="none" w:sz="0" w:space="0" w:color="auto"/>
          </w:divBdr>
        </w:div>
        <w:div w:id="282351360">
          <w:marLeft w:val="0"/>
          <w:marRight w:val="0"/>
          <w:marTop w:val="0"/>
          <w:marBottom w:val="0"/>
          <w:divBdr>
            <w:top w:val="none" w:sz="0" w:space="0" w:color="auto"/>
            <w:left w:val="none" w:sz="0" w:space="0" w:color="auto"/>
            <w:bottom w:val="none" w:sz="0" w:space="0" w:color="auto"/>
            <w:right w:val="none" w:sz="0" w:space="0" w:color="auto"/>
          </w:divBdr>
        </w:div>
        <w:div w:id="956106638">
          <w:marLeft w:val="0"/>
          <w:marRight w:val="0"/>
          <w:marTop w:val="0"/>
          <w:marBottom w:val="0"/>
          <w:divBdr>
            <w:top w:val="none" w:sz="0" w:space="0" w:color="auto"/>
            <w:left w:val="none" w:sz="0" w:space="0" w:color="auto"/>
            <w:bottom w:val="none" w:sz="0" w:space="0" w:color="auto"/>
            <w:right w:val="none" w:sz="0" w:space="0" w:color="auto"/>
          </w:divBdr>
        </w:div>
        <w:div w:id="1516311479">
          <w:marLeft w:val="0"/>
          <w:marRight w:val="0"/>
          <w:marTop w:val="0"/>
          <w:marBottom w:val="0"/>
          <w:divBdr>
            <w:top w:val="none" w:sz="0" w:space="0" w:color="auto"/>
            <w:left w:val="none" w:sz="0" w:space="0" w:color="auto"/>
            <w:bottom w:val="none" w:sz="0" w:space="0" w:color="auto"/>
            <w:right w:val="none" w:sz="0" w:space="0" w:color="auto"/>
          </w:divBdr>
        </w:div>
        <w:div w:id="1536579312">
          <w:marLeft w:val="0"/>
          <w:marRight w:val="0"/>
          <w:marTop w:val="0"/>
          <w:marBottom w:val="0"/>
          <w:divBdr>
            <w:top w:val="none" w:sz="0" w:space="0" w:color="auto"/>
            <w:left w:val="none" w:sz="0" w:space="0" w:color="auto"/>
            <w:bottom w:val="none" w:sz="0" w:space="0" w:color="auto"/>
            <w:right w:val="none" w:sz="0" w:space="0" w:color="auto"/>
          </w:divBdr>
        </w:div>
        <w:div w:id="1779135341">
          <w:marLeft w:val="0"/>
          <w:marRight w:val="0"/>
          <w:marTop w:val="0"/>
          <w:marBottom w:val="0"/>
          <w:divBdr>
            <w:top w:val="none" w:sz="0" w:space="0" w:color="auto"/>
            <w:left w:val="none" w:sz="0" w:space="0" w:color="auto"/>
            <w:bottom w:val="none" w:sz="0" w:space="0" w:color="auto"/>
            <w:right w:val="none" w:sz="0" w:space="0" w:color="auto"/>
          </w:divBdr>
        </w:div>
        <w:div w:id="1262565973">
          <w:marLeft w:val="0"/>
          <w:marRight w:val="0"/>
          <w:marTop w:val="0"/>
          <w:marBottom w:val="0"/>
          <w:divBdr>
            <w:top w:val="none" w:sz="0" w:space="0" w:color="auto"/>
            <w:left w:val="none" w:sz="0" w:space="0" w:color="auto"/>
            <w:bottom w:val="none" w:sz="0" w:space="0" w:color="auto"/>
            <w:right w:val="none" w:sz="0" w:space="0" w:color="auto"/>
          </w:divBdr>
        </w:div>
        <w:div w:id="1798334663">
          <w:marLeft w:val="0"/>
          <w:marRight w:val="0"/>
          <w:marTop w:val="0"/>
          <w:marBottom w:val="0"/>
          <w:divBdr>
            <w:top w:val="none" w:sz="0" w:space="0" w:color="auto"/>
            <w:left w:val="none" w:sz="0" w:space="0" w:color="auto"/>
            <w:bottom w:val="none" w:sz="0" w:space="0" w:color="auto"/>
            <w:right w:val="none" w:sz="0" w:space="0" w:color="auto"/>
          </w:divBdr>
        </w:div>
        <w:div w:id="869146671">
          <w:marLeft w:val="0"/>
          <w:marRight w:val="0"/>
          <w:marTop w:val="0"/>
          <w:marBottom w:val="0"/>
          <w:divBdr>
            <w:top w:val="none" w:sz="0" w:space="0" w:color="auto"/>
            <w:left w:val="none" w:sz="0" w:space="0" w:color="auto"/>
            <w:bottom w:val="none" w:sz="0" w:space="0" w:color="auto"/>
            <w:right w:val="none" w:sz="0" w:space="0" w:color="auto"/>
          </w:divBdr>
        </w:div>
        <w:div w:id="1013646108">
          <w:marLeft w:val="0"/>
          <w:marRight w:val="0"/>
          <w:marTop w:val="0"/>
          <w:marBottom w:val="0"/>
          <w:divBdr>
            <w:top w:val="none" w:sz="0" w:space="0" w:color="auto"/>
            <w:left w:val="none" w:sz="0" w:space="0" w:color="auto"/>
            <w:bottom w:val="none" w:sz="0" w:space="0" w:color="auto"/>
            <w:right w:val="none" w:sz="0" w:space="0" w:color="auto"/>
          </w:divBdr>
        </w:div>
        <w:div w:id="1100951672">
          <w:marLeft w:val="0"/>
          <w:marRight w:val="0"/>
          <w:marTop w:val="0"/>
          <w:marBottom w:val="0"/>
          <w:divBdr>
            <w:top w:val="none" w:sz="0" w:space="0" w:color="auto"/>
            <w:left w:val="none" w:sz="0" w:space="0" w:color="auto"/>
            <w:bottom w:val="none" w:sz="0" w:space="0" w:color="auto"/>
            <w:right w:val="none" w:sz="0" w:space="0" w:color="auto"/>
          </w:divBdr>
        </w:div>
        <w:div w:id="2174676">
          <w:marLeft w:val="0"/>
          <w:marRight w:val="0"/>
          <w:marTop w:val="0"/>
          <w:marBottom w:val="0"/>
          <w:divBdr>
            <w:top w:val="none" w:sz="0" w:space="0" w:color="auto"/>
            <w:left w:val="none" w:sz="0" w:space="0" w:color="auto"/>
            <w:bottom w:val="none" w:sz="0" w:space="0" w:color="auto"/>
            <w:right w:val="none" w:sz="0" w:space="0" w:color="auto"/>
          </w:divBdr>
        </w:div>
        <w:div w:id="2050444">
          <w:marLeft w:val="0"/>
          <w:marRight w:val="0"/>
          <w:marTop w:val="0"/>
          <w:marBottom w:val="0"/>
          <w:divBdr>
            <w:top w:val="none" w:sz="0" w:space="0" w:color="auto"/>
            <w:left w:val="none" w:sz="0" w:space="0" w:color="auto"/>
            <w:bottom w:val="none" w:sz="0" w:space="0" w:color="auto"/>
            <w:right w:val="none" w:sz="0" w:space="0" w:color="auto"/>
          </w:divBdr>
        </w:div>
        <w:div w:id="464543755">
          <w:marLeft w:val="0"/>
          <w:marRight w:val="0"/>
          <w:marTop w:val="0"/>
          <w:marBottom w:val="0"/>
          <w:divBdr>
            <w:top w:val="none" w:sz="0" w:space="0" w:color="auto"/>
            <w:left w:val="none" w:sz="0" w:space="0" w:color="auto"/>
            <w:bottom w:val="none" w:sz="0" w:space="0" w:color="auto"/>
            <w:right w:val="none" w:sz="0" w:space="0" w:color="auto"/>
          </w:divBdr>
        </w:div>
        <w:div w:id="605114033">
          <w:marLeft w:val="0"/>
          <w:marRight w:val="0"/>
          <w:marTop w:val="0"/>
          <w:marBottom w:val="0"/>
          <w:divBdr>
            <w:top w:val="none" w:sz="0" w:space="0" w:color="auto"/>
            <w:left w:val="none" w:sz="0" w:space="0" w:color="auto"/>
            <w:bottom w:val="none" w:sz="0" w:space="0" w:color="auto"/>
            <w:right w:val="none" w:sz="0" w:space="0" w:color="auto"/>
          </w:divBdr>
        </w:div>
        <w:div w:id="2110272487">
          <w:marLeft w:val="0"/>
          <w:marRight w:val="0"/>
          <w:marTop w:val="0"/>
          <w:marBottom w:val="0"/>
          <w:divBdr>
            <w:top w:val="none" w:sz="0" w:space="0" w:color="auto"/>
            <w:left w:val="none" w:sz="0" w:space="0" w:color="auto"/>
            <w:bottom w:val="none" w:sz="0" w:space="0" w:color="auto"/>
            <w:right w:val="none" w:sz="0" w:space="0" w:color="auto"/>
          </w:divBdr>
        </w:div>
        <w:div w:id="761949922">
          <w:marLeft w:val="0"/>
          <w:marRight w:val="0"/>
          <w:marTop w:val="0"/>
          <w:marBottom w:val="0"/>
          <w:divBdr>
            <w:top w:val="none" w:sz="0" w:space="0" w:color="auto"/>
            <w:left w:val="none" w:sz="0" w:space="0" w:color="auto"/>
            <w:bottom w:val="none" w:sz="0" w:space="0" w:color="auto"/>
            <w:right w:val="none" w:sz="0" w:space="0" w:color="auto"/>
          </w:divBdr>
        </w:div>
        <w:div w:id="1862356189">
          <w:marLeft w:val="0"/>
          <w:marRight w:val="0"/>
          <w:marTop w:val="0"/>
          <w:marBottom w:val="0"/>
          <w:divBdr>
            <w:top w:val="none" w:sz="0" w:space="0" w:color="auto"/>
            <w:left w:val="none" w:sz="0" w:space="0" w:color="auto"/>
            <w:bottom w:val="none" w:sz="0" w:space="0" w:color="auto"/>
            <w:right w:val="none" w:sz="0" w:space="0" w:color="auto"/>
          </w:divBdr>
        </w:div>
        <w:div w:id="1696341178">
          <w:marLeft w:val="0"/>
          <w:marRight w:val="0"/>
          <w:marTop w:val="0"/>
          <w:marBottom w:val="0"/>
          <w:divBdr>
            <w:top w:val="none" w:sz="0" w:space="0" w:color="auto"/>
            <w:left w:val="none" w:sz="0" w:space="0" w:color="auto"/>
            <w:bottom w:val="none" w:sz="0" w:space="0" w:color="auto"/>
            <w:right w:val="none" w:sz="0" w:space="0" w:color="auto"/>
          </w:divBdr>
        </w:div>
        <w:div w:id="275602196">
          <w:marLeft w:val="0"/>
          <w:marRight w:val="0"/>
          <w:marTop w:val="0"/>
          <w:marBottom w:val="0"/>
          <w:divBdr>
            <w:top w:val="none" w:sz="0" w:space="0" w:color="auto"/>
            <w:left w:val="none" w:sz="0" w:space="0" w:color="auto"/>
            <w:bottom w:val="none" w:sz="0" w:space="0" w:color="auto"/>
            <w:right w:val="none" w:sz="0" w:space="0" w:color="auto"/>
          </w:divBdr>
        </w:div>
        <w:div w:id="711923333">
          <w:marLeft w:val="0"/>
          <w:marRight w:val="0"/>
          <w:marTop w:val="0"/>
          <w:marBottom w:val="0"/>
          <w:divBdr>
            <w:top w:val="none" w:sz="0" w:space="0" w:color="auto"/>
            <w:left w:val="none" w:sz="0" w:space="0" w:color="auto"/>
            <w:bottom w:val="none" w:sz="0" w:space="0" w:color="auto"/>
            <w:right w:val="none" w:sz="0" w:space="0" w:color="auto"/>
          </w:divBdr>
        </w:div>
        <w:div w:id="1747801576">
          <w:marLeft w:val="0"/>
          <w:marRight w:val="0"/>
          <w:marTop w:val="0"/>
          <w:marBottom w:val="0"/>
          <w:divBdr>
            <w:top w:val="none" w:sz="0" w:space="0" w:color="auto"/>
            <w:left w:val="none" w:sz="0" w:space="0" w:color="auto"/>
            <w:bottom w:val="none" w:sz="0" w:space="0" w:color="auto"/>
            <w:right w:val="none" w:sz="0" w:space="0" w:color="auto"/>
          </w:divBdr>
        </w:div>
        <w:div w:id="12871969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2649-C3D2-4B8B-8D7B-6896CD9B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261</Words>
  <Characters>1489</Characters>
  <Application>Microsoft Office Word</Application>
  <DocSecurity>0</DocSecurity>
  <PresentationFormat/>
  <Lines>12</Lines>
  <Paragraphs>3</Paragraphs>
  <Slides>0</Slides>
  <Notes>0</Notes>
  <HiddenSlides>0</HiddenSlides>
  <MMClips>0</MMClips>
  <ScaleCrop>false</ScaleCrop>
  <Company>PRC</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证券代码：002544                                  证券简称：杰赛科技</dc:title>
  <dc:creator>Admin</dc:creator>
  <cp:lastModifiedBy>张凤珍</cp:lastModifiedBy>
  <cp:revision>34</cp:revision>
  <cp:lastPrinted>2016-05-16T02:14:00Z</cp:lastPrinted>
  <dcterms:created xsi:type="dcterms:W3CDTF">2020-06-16T06:09:00Z</dcterms:created>
  <dcterms:modified xsi:type="dcterms:W3CDTF">2020-07-03T03:18:00Z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2052-9.1.0.3935</vt:lpwstr>
  </property>
</Properties>
</file>