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宋体" w:eastAsia="黑体"/>
          <w:bCs/>
          <w:iCs/>
          <w:color w:val="000000"/>
          <w:sz w:val="24"/>
        </w:rPr>
      </w:pPr>
      <w:r>
        <w:rPr>
          <w:rFonts w:hint="eastAsia" w:ascii="黑体" w:hAnsi="宋体" w:eastAsia="黑体"/>
          <w:bCs/>
          <w:iCs/>
          <w:color w:val="000000"/>
          <w:sz w:val="24"/>
        </w:rPr>
        <w:t>证券代码：</w:t>
      </w:r>
      <w:r>
        <w:rPr>
          <w:rFonts w:hint="eastAsia" w:ascii="Arial" w:hAnsi="Arial" w:cs="Arial"/>
          <w:b/>
          <w:bCs/>
          <w:iCs/>
          <w:color w:val="000000"/>
          <w:sz w:val="24"/>
        </w:rPr>
        <w:t xml:space="preserve">000408 </w:t>
      </w:r>
      <w:r>
        <w:rPr>
          <w:rFonts w:hint="eastAsia" w:ascii="黑体" w:hAnsi="宋体" w:eastAsia="黑体"/>
          <w:bCs/>
          <w:iCs/>
          <w:color w:val="000000"/>
          <w:sz w:val="24"/>
        </w:rPr>
        <w:t xml:space="preserve">                                 证券简称：</w:t>
      </w:r>
      <w:r>
        <w:rPr>
          <w:rFonts w:hint="eastAsia" w:ascii="黑体" w:hAnsi="宋体" w:eastAsia="黑体"/>
          <w:bCs/>
          <w:iCs/>
          <w:color w:val="000000"/>
          <w:sz w:val="24"/>
          <w:lang w:val="en-US" w:eastAsia="zh-CN"/>
        </w:rPr>
        <w:t>*ST</w:t>
      </w:r>
      <w:r>
        <w:rPr>
          <w:rFonts w:hint="eastAsia" w:ascii="黑体" w:hAnsi="宋体" w:eastAsia="黑体"/>
          <w:bCs/>
          <w:iCs/>
          <w:color w:val="000000"/>
          <w:sz w:val="24"/>
        </w:rPr>
        <w:t>藏格</w:t>
      </w:r>
    </w:p>
    <w:p>
      <w:pPr>
        <w:spacing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>
      <w:pPr>
        <w:jc w:val="center"/>
        <w:rPr>
          <w:rFonts w:ascii="Arial" w:hAnsi="Arial" w:cs="Arial"/>
          <w:b/>
          <w:bCs/>
          <w:iCs/>
          <w:color w:val="000000"/>
          <w:sz w:val="24"/>
        </w:rPr>
      </w:pPr>
      <w:r>
        <w:rPr>
          <w:rFonts w:hint="eastAsia" w:ascii="黑体" w:hAnsi="华文中宋" w:eastAsia="黑体"/>
          <w:bCs/>
          <w:iCs/>
          <w:color w:val="000000"/>
          <w:sz w:val="30"/>
          <w:szCs w:val="30"/>
        </w:rPr>
        <w:t>藏格控股股份有限公司投资者关系活动记录表</w:t>
      </w:r>
    </w:p>
    <w:p>
      <w:pPr>
        <w:jc w:val="right"/>
        <w:rPr>
          <w:rFonts w:hint="eastAsia" w:ascii="宋体" w:hAnsi="宋体" w:eastAsia="宋体"/>
          <w:bCs/>
          <w:iCs/>
          <w:color w:val="000000"/>
          <w:sz w:val="24"/>
          <w:lang w:eastAsia="zh-CN"/>
        </w:rPr>
      </w:pPr>
      <w:r>
        <w:rPr>
          <w:rFonts w:hint="eastAsia" w:ascii="Arial" w:hAnsi="Arial" w:cs="Arial"/>
          <w:b/>
          <w:bCs/>
          <w:i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/>
          <w:bCs/>
          <w:iCs/>
          <w:color w:val="000000"/>
          <w:sz w:val="24"/>
        </w:rPr>
        <w:t>编号：</w:t>
      </w:r>
      <w:r>
        <w:rPr>
          <w:rFonts w:hint="eastAsia" w:ascii="Arial" w:hAnsi="Arial" w:cs="Arial"/>
          <w:b/>
          <w:bCs/>
          <w:iCs/>
          <w:color w:val="000000"/>
          <w:sz w:val="24"/>
        </w:rPr>
        <w:t>20</w:t>
      </w:r>
      <w:r>
        <w:rPr>
          <w:rFonts w:hint="eastAsia" w:ascii="Arial" w:hAnsi="Arial" w:cs="Arial"/>
          <w:b/>
          <w:bCs/>
          <w:iCs/>
          <w:color w:val="000000"/>
          <w:sz w:val="24"/>
          <w:lang w:val="en-US" w:eastAsia="zh-CN"/>
        </w:rPr>
        <w:t>20</w:t>
      </w:r>
      <w:r>
        <w:rPr>
          <w:rFonts w:hint="eastAsia" w:ascii="Arial" w:hAnsi="Arial" w:cs="Arial"/>
          <w:b/>
          <w:bCs/>
          <w:iCs/>
          <w:color w:val="000000"/>
          <w:sz w:val="24"/>
        </w:rPr>
        <w:t>-00</w:t>
      </w:r>
      <w:r>
        <w:rPr>
          <w:rFonts w:hint="eastAsia" w:ascii="Arial" w:hAnsi="Arial" w:cs="Arial"/>
          <w:b/>
          <w:bCs/>
          <w:iCs/>
          <w:color w:val="000000"/>
          <w:sz w:val="24"/>
          <w:lang w:val="en-US" w:eastAsia="zh-CN"/>
        </w:rPr>
        <w:t>1</w:t>
      </w:r>
    </w:p>
    <w:tbl>
      <w:tblPr>
        <w:tblStyle w:val="9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投资者关系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活动类别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</w:p>
        </w:tc>
        <w:tc>
          <w:tcPr>
            <w:tcW w:w="7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■</w:t>
            </w:r>
            <w:r>
              <w:rPr>
                <w:rFonts w:hint="eastAsia" w:ascii="宋体" w:hAnsi="宋体"/>
                <w:szCs w:val="21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分析师会议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业绩说明会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现场参观</w:t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 （</w:t>
            </w:r>
            <w:r>
              <w:rPr>
                <w:rFonts w:hint="eastAsia" w:ascii="宋体" w:hAnsi="宋体"/>
                <w:szCs w:val="21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参与单位名称及人员姓名</w:t>
            </w:r>
          </w:p>
        </w:tc>
        <w:tc>
          <w:tcPr>
            <w:tcW w:w="7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 xml:space="preserve">长江证券 王筱茜、靳昕 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 xml:space="preserve">鹏华基金管理有限公司 徐 慧 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 xml:space="preserve">农银汇理基金管理有限公司 周子涵 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 xml:space="preserve">中融基金管理有限公司 朱晓明 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 xml:space="preserve">朱雀基金管理有限公司 黄 昊 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 xml:space="preserve">上海汐泰投资管理有限公司 陈扬亚 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华夏基金 彭锐哲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2020年7月7日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7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default" w:ascii="宋体" w:hAnsi="宋体" w:eastAsia="宋体"/>
                <w:bCs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藏格锂业2楼会议室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上市公司接待人员姓名</w:t>
            </w:r>
          </w:p>
        </w:tc>
        <w:tc>
          <w:tcPr>
            <w:tcW w:w="7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="宋体"/>
                <w:bCs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董事会秘书曹东林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highlight w:val="none"/>
                <w:lang w:val="en-US" w:eastAsia="zh-CN"/>
              </w:rPr>
              <w:t>藏格锂业生产部长马存彪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</w:p>
        </w:tc>
        <w:tc>
          <w:tcPr>
            <w:tcW w:w="7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首先公司董事会秘书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曹东林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先生介绍了公司基本情况，氯化钾、碳酸锂的生产工艺，市场现状，未来发展趋势和公司潜力。</w:t>
            </w:r>
          </w:p>
          <w:p>
            <w:pPr>
              <w:adjustRightInd w:val="0"/>
              <w:snapToGrid w:val="0"/>
              <w:spacing w:line="360" w:lineRule="auto"/>
              <w:ind w:firstLine="422" w:firstLineChars="200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</w:rPr>
              <w:t>1、公司碳酸锂项目投产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  <w:lang w:val="en-US" w:eastAsia="zh-CN"/>
              </w:rPr>
              <w:t>情况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</w:rPr>
              <w:t>？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答：公司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2019年生产了1,827.67吨，目前碳酸锂生产在产能爬坡过程中，每日生产20吨左右，计划今年年内完全达产。</w:t>
            </w:r>
          </w:p>
          <w:p>
            <w:pPr>
              <w:adjustRightInd w:val="0"/>
              <w:snapToGrid w:val="0"/>
              <w:spacing w:line="360" w:lineRule="auto"/>
              <w:ind w:firstLine="422" w:firstLineChars="200"/>
              <w:jc w:val="left"/>
              <w:rPr>
                <w:rFonts w:hint="eastAsia" w:ascii="宋体" w:hAnsi="宋体"/>
                <w:b/>
                <w:bCs w:val="0"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iCs/>
                <w:color w:val="000000"/>
                <w:kern w:val="0"/>
                <w:szCs w:val="21"/>
                <w:lang w:val="en-US" w:eastAsia="zh-CN"/>
              </w:rPr>
              <w:t>2、公司碳酸锂销售情况？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default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答：公司在今年上半年已小批量进行销售，与多家企业保持着密切沟通，并已向十多家企业发送了样品用于对标，公司将根据生产情况和市场情况，合理的进行有序销售。</w:t>
            </w:r>
          </w:p>
          <w:p>
            <w:pPr>
              <w:adjustRightInd w:val="0"/>
              <w:snapToGrid w:val="0"/>
              <w:spacing w:line="360" w:lineRule="auto"/>
              <w:ind w:firstLine="422" w:firstLineChars="200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</w:rPr>
              <w:t>、公司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  <w:lang w:val="en-US" w:eastAsia="zh-CN"/>
              </w:rPr>
              <w:t>采用的提锂工艺技术优势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</w:rPr>
              <w:t>？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default" w:ascii="宋体" w:hAnsi="宋体" w:eastAsia="宋体"/>
                <w:bCs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答：公司生产碳酸锂采用的是吸附法，该提锂工艺技术具有操作简便、成本低、产品纯度高、工艺稳定性强的特点，并且对盐湖卤水的镁／锂比没有苛刻的要求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iCs/>
                <w:color w:val="auto"/>
                <w:kern w:val="0"/>
                <w:szCs w:val="21"/>
                <w:lang w:val="en-US" w:eastAsia="zh-CN"/>
              </w:rPr>
              <w:t>同时能满足经济效益开发要求。</w:t>
            </w:r>
          </w:p>
          <w:p>
            <w:pPr>
              <w:adjustRightInd w:val="0"/>
              <w:snapToGrid w:val="0"/>
              <w:spacing w:line="360" w:lineRule="auto"/>
              <w:ind w:firstLine="422" w:firstLineChars="200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  <w:lang w:val="en-US" w:eastAsia="zh-CN"/>
              </w:rPr>
              <w:t>公司碳酸锂生产成本情况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</w:rPr>
              <w:t>？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答：公司2019年度生产碳酸锂产品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未达产，设备折旧金额较大，导致碳酸锂单位成本较高。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随着碳酸锂项目达产，将进一步摊薄固定成本，生产成本将会逐渐降低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422" w:firstLineChars="200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</w:rPr>
              <w:t>、公司是否存在环境污染？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答：公司直接使用生产氯化钾之后排出的老卤水进行碳酸锂产品生产，不需要进行二次摊晒。提锂后的老卤水将重新回灌察尔汗盐湖，形成循环，并不会对环境造成污染。</w:t>
            </w:r>
          </w:p>
          <w:p>
            <w:pPr>
              <w:adjustRightInd w:val="0"/>
              <w:snapToGrid w:val="0"/>
              <w:spacing w:line="360" w:lineRule="auto"/>
              <w:ind w:firstLine="422" w:firstLineChars="200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</w:rPr>
              <w:t>、公司目前拥有资源情况如何？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答：公司采矿区位于中国最大的可溶性钾镁盐矿床--察尔汗盐湖，其中公司拥有青藏铁路以东矿区724.35平方公里的钾盐采矿权证，矿区内氯化钾储量约6700万吨，氯化锂储量200多万吨，察尔汗盐湖充足的资源储量为公司可持续发展提供了保障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除上述资源外，子公司藏格钾肥已取得青海省茫崖行委大浪滩黑北钾盐矿492.56平方公里探矿权，为公司后续发展提供进一步的资源保障。</w:t>
            </w:r>
          </w:p>
          <w:p>
            <w:pPr>
              <w:adjustRightInd w:val="0"/>
              <w:snapToGrid w:val="0"/>
              <w:spacing w:line="360" w:lineRule="auto"/>
              <w:ind w:firstLine="422" w:firstLineChars="200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</w:rPr>
              <w:t>、公司碳酸锂项目一年生产周期多久，气温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  <w:lang w:val="en-US" w:eastAsia="zh-CN"/>
              </w:rPr>
              <w:t>对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</w:rPr>
              <w:t>生产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  <w:lang w:val="en-US" w:eastAsia="zh-CN"/>
              </w:rPr>
              <w:t>的影响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</w:rPr>
              <w:t>？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答：公司碳酸</w:t>
            </w:r>
            <w:r>
              <w:rPr>
                <w:rFonts w:hint="eastAsia" w:ascii="宋体" w:hAnsi="宋体"/>
                <w:bCs/>
                <w:iCs/>
                <w:color w:val="auto"/>
                <w:kern w:val="0"/>
                <w:szCs w:val="21"/>
              </w:rPr>
              <w:t>锂项目按照每年270天的生产天数设计，</w:t>
            </w:r>
            <w:r>
              <w:rPr>
                <w:rFonts w:hint="eastAsia" w:ascii="宋体" w:hAnsi="宋体"/>
                <w:bCs/>
                <w:iCs/>
                <w:color w:val="auto"/>
                <w:kern w:val="0"/>
                <w:szCs w:val="21"/>
                <w:lang w:val="en-US" w:eastAsia="zh-CN"/>
              </w:rPr>
              <w:t>气温对生产有部分影响，但公司在设计项目时已充分考虑了该影响，并合理安排了不同季节时的生产量。公司</w:t>
            </w:r>
            <w:r>
              <w:rPr>
                <w:rFonts w:hint="eastAsia" w:ascii="宋体" w:hAnsi="宋体"/>
                <w:bCs/>
                <w:iCs/>
                <w:color w:val="auto"/>
                <w:kern w:val="0"/>
                <w:szCs w:val="21"/>
              </w:rPr>
              <w:t>配备相应的锅炉设施，在冬季仍可正常生产。</w:t>
            </w:r>
          </w:p>
          <w:p>
            <w:pPr>
              <w:adjustRightInd w:val="0"/>
              <w:snapToGrid w:val="0"/>
              <w:spacing w:line="360" w:lineRule="auto"/>
              <w:ind w:firstLine="422" w:firstLineChars="200"/>
              <w:jc w:val="left"/>
              <w:rPr>
                <w:rFonts w:hint="eastAsia" w:ascii="宋体" w:hAnsi="宋体"/>
                <w:b/>
                <w:bCs w:val="0"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iCs/>
                <w:color w:val="000000"/>
                <w:kern w:val="0"/>
                <w:szCs w:val="21"/>
                <w:lang w:val="en-US" w:eastAsia="zh-CN"/>
              </w:rPr>
              <w:t>8、公司后期发展规划？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答：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公司回归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主营业务氯化钾、碳酸锂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充分利用盐湖资源，进一步深入开发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422" w:firstLineChars="200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  <w:lang w:val="en-US" w:eastAsia="zh-CN"/>
              </w:rPr>
              <w:t>公司氯化钾生产情况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Cs w:val="21"/>
              </w:rPr>
              <w:t>？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b/>
                <w:bCs w:val="0"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答：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公司今年复工复产后，截止目前氯化钾生产销售一切正常，疫情未给公司造成重大影响。</w:t>
            </w:r>
          </w:p>
          <w:p>
            <w:pPr>
              <w:adjustRightInd w:val="0"/>
              <w:snapToGrid w:val="0"/>
              <w:spacing w:line="360" w:lineRule="auto"/>
              <w:ind w:firstLine="422" w:firstLineChars="200"/>
              <w:jc w:val="left"/>
              <w:rPr>
                <w:rFonts w:hint="eastAsia" w:ascii="宋体" w:hAnsi="宋体"/>
                <w:b/>
                <w:bCs w:val="0"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iCs/>
                <w:color w:val="000000"/>
                <w:kern w:val="0"/>
                <w:szCs w:val="21"/>
                <w:lang w:val="en-US" w:eastAsia="zh-CN"/>
              </w:rPr>
              <w:t>10、巨龙铜业未来发展规划？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答：控股股东及其关联方已将所持巨龙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铜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业股权出售，目前已完成交割过户。巨龙铜业控股股东变更为西藏紫金，未来将由西藏紫金为主导开发建设。西藏紫金是紫金矿业全资子公司，该公司拥有优秀的团队、先进的技术、丰富的经验和雄厚的资金，有利于尽早出产品。</w:t>
            </w:r>
          </w:p>
          <w:p>
            <w:pPr>
              <w:adjustRightInd w:val="0"/>
              <w:snapToGrid w:val="0"/>
              <w:spacing w:line="360" w:lineRule="auto"/>
              <w:ind w:firstLine="465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接待过程中，公司接待人员与投资者进行了充分的交流与沟通，严格按照《信息披露管理制度》等规定，保证信息披露的真实、准确、完整、及时、公平。没有出现未公开重大信息泄露等情况。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附件清单（如有）</w:t>
            </w:r>
          </w:p>
        </w:tc>
        <w:tc>
          <w:tcPr>
            <w:tcW w:w="7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7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Cs w:val="21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4A66"/>
    <w:rsid w:val="0000013D"/>
    <w:rsid w:val="000029DA"/>
    <w:rsid w:val="00002CC2"/>
    <w:rsid w:val="00016110"/>
    <w:rsid w:val="0001652A"/>
    <w:rsid w:val="000306C9"/>
    <w:rsid w:val="0003141F"/>
    <w:rsid w:val="00031FE1"/>
    <w:rsid w:val="00040717"/>
    <w:rsid w:val="000416AF"/>
    <w:rsid w:val="000544A9"/>
    <w:rsid w:val="00055729"/>
    <w:rsid w:val="00065F71"/>
    <w:rsid w:val="00075C6C"/>
    <w:rsid w:val="00085BC4"/>
    <w:rsid w:val="00087DE3"/>
    <w:rsid w:val="0009270F"/>
    <w:rsid w:val="00095596"/>
    <w:rsid w:val="00095957"/>
    <w:rsid w:val="000A6F9B"/>
    <w:rsid w:val="000E68F0"/>
    <w:rsid w:val="000E787D"/>
    <w:rsid w:val="000F282A"/>
    <w:rsid w:val="001017BB"/>
    <w:rsid w:val="00101E71"/>
    <w:rsid w:val="00113343"/>
    <w:rsid w:val="00123B8E"/>
    <w:rsid w:val="00124470"/>
    <w:rsid w:val="00131889"/>
    <w:rsid w:val="00136541"/>
    <w:rsid w:val="001365E0"/>
    <w:rsid w:val="00136C4B"/>
    <w:rsid w:val="00145503"/>
    <w:rsid w:val="00150358"/>
    <w:rsid w:val="001512AF"/>
    <w:rsid w:val="00151A81"/>
    <w:rsid w:val="0016600E"/>
    <w:rsid w:val="0016647A"/>
    <w:rsid w:val="0017029B"/>
    <w:rsid w:val="00171A99"/>
    <w:rsid w:val="00173535"/>
    <w:rsid w:val="001814BF"/>
    <w:rsid w:val="00191361"/>
    <w:rsid w:val="001921E3"/>
    <w:rsid w:val="0019586C"/>
    <w:rsid w:val="001A0F20"/>
    <w:rsid w:val="001A52D8"/>
    <w:rsid w:val="001A5C80"/>
    <w:rsid w:val="001B3540"/>
    <w:rsid w:val="001B52E8"/>
    <w:rsid w:val="001B7538"/>
    <w:rsid w:val="001C0EBB"/>
    <w:rsid w:val="001C30DB"/>
    <w:rsid w:val="001C57E8"/>
    <w:rsid w:val="001D51FB"/>
    <w:rsid w:val="001D6CA4"/>
    <w:rsid w:val="001E10AD"/>
    <w:rsid w:val="001E3375"/>
    <w:rsid w:val="001E3C0C"/>
    <w:rsid w:val="001E7492"/>
    <w:rsid w:val="001F3452"/>
    <w:rsid w:val="001F4ECD"/>
    <w:rsid w:val="001F7F67"/>
    <w:rsid w:val="002045AD"/>
    <w:rsid w:val="00207DC3"/>
    <w:rsid w:val="00217B28"/>
    <w:rsid w:val="0022427C"/>
    <w:rsid w:val="00244183"/>
    <w:rsid w:val="00254398"/>
    <w:rsid w:val="002549B6"/>
    <w:rsid w:val="00262BEB"/>
    <w:rsid w:val="00272475"/>
    <w:rsid w:val="00273D43"/>
    <w:rsid w:val="00274764"/>
    <w:rsid w:val="002768DA"/>
    <w:rsid w:val="00282525"/>
    <w:rsid w:val="002900DD"/>
    <w:rsid w:val="002956D4"/>
    <w:rsid w:val="002A2601"/>
    <w:rsid w:val="002A4A66"/>
    <w:rsid w:val="002B4B98"/>
    <w:rsid w:val="002B6B90"/>
    <w:rsid w:val="002B753E"/>
    <w:rsid w:val="002B7C87"/>
    <w:rsid w:val="002C6BEC"/>
    <w:rsid w:val="002E2338"/>
    <w:rsid w:val="002E738D"/>
    <w:rsid w:val="002F0B17"/>
    <w:rsid w:val="002F28A4"/>
    <w:rsid w:val="002F7EE0"/>
    <w:rsid w:val="003032A9"/>
    <w:rsid w:val="00304B48"/>
    <w:rsid w:val="00304F72"/>
    <w:rsid w:val="00315B6A"/>
    <w:rsid w:val="00320F06"/>
    <w:rsid w:val="00341BA9"/>
    <w:rsid w:val="003558A3"/>
    <w:rsid w:val="0036020D"/>
    <w:rsid w:val="00360B4B"/>
    <w:rsid w:val="00365DE5"/>
    <w:rsid w:val="00375E9B"/>
    <w:rsid w:val="0038351D"/>
    <w:rsid w:val="003848CE"/>
    <w:rsid w:val="003904A4"/>
    <w:rsid w:val="00390DEC"/>
    <w:rsid w:val="00393677"/>
    <w:rsid w:val="003A108D"/>
    <w:rsid w:val="003B713C"/>
    <w:rsid w:val="003C0B9A"/>
    <w:rsid w:val="003C66F0"/>
    <w:rsid w:val="003D1D3F"/>
    <w:rsid w:val="003E1CE6"/>
    <w:rsid w:val="003E246F"/>
    <w:rsid w:val="003E369F"/>
    <w:rsid w:val="003F5E5C"/>
    <w:rsid w:val="00405B4D"/>
    <w:rsid w:val="00407CD2"/>
    <w:rsid w:val="00407DBB"/>
    <w:rsid w:val="004220AA"/>
    <w:rsid w:val="004229FE"/>
    <w:rsid w:val="00425D8D"/>
    <w:rsid w:val="00425DD7"/>
    <w:rsid w:val="00434234"/>
    <w:rsid w:val="00434908"/>
    <w:rsid w:val="00437682"/>
    <w:rsid w:val="004436FF"/>
    <w:rsid w:val="0047415D"/>
    <w:rsid w:val="00475D27"/>
    <w:rsid w:val="00477DFE"/>
    <w:rsid w:val="00480718"/>
    <w:rsid w:val="00483459"/>
    <w:rsid w:val="00485167"/>
    <w:rsid w:val="0049173B"/>
    <w:rsid w:val="00493045"/>
    <w:rsid w:val="004A45DA"/>
    <w:rsid w:val="004A529B"/>
    <w:rsid w:val="004A6E42"/>
    <w:rsid w:val="004A6ECE"/>
    <w:rsid w:val="004B194B"/>
    <w:rsid w:val="004B5107"/>
    <w:rsid w:val="004B5190"/>
    <w:rsid w:val="004B7632"/>
    <w:rsid w:val="004C5B41"/>
    <w:rsid w:val="004D0AC3"/>
    <w:rsid w:val="004D29BE"/>
    <w:rsid w:val="004D7FDE"/>
    <w:rsid w:val="004E31A2"/>
    <w:rsid w:val="004F17E8"/>
    <w:rsid w:val="004F2406"/>
    <w:rsid w:val="004F32F4"/>
    <w:rsid w:val="004F7928"/>
    <w:rsid w:val="005143D0"/>
    <w:rsid w:val="00516581"/>
    <w:rsid w:val="005247C1"/>
    <w:rsid w:val="00525C97"/>
    <w:rsid w:val="005273DF"/>
    <w:rsid w:val="00530D93"/>
    <w:rsid w:val="005360A4"/>
    <w:rsid w:val="005470EF"/>
    <w:rsid w:val="005516F5"/>
    <w:rsid w:val="0055442E"/>
    <w:rsid w:val="005577AE"/>
    <w:rsid w:val="005709CA"/>
    <w:rsid w:val="00571CE6"/>
    <w:rsid w:val="00573A9D"/>
    <w:rsid w:val="00575989"/>
    <w:rsid w:val="0058096C"/>
    <w:rsid w:val="005813C4"/>
    <w:rsid w:val="005854BC"/>
    <w:rsid w:val="0058665D"/>
    <w:rsid w:val="00595F4B"/>
    <w:rsid w:val="00596090"/>
    <w:rsid w:val="005B7013"/>
    <w:rsid w:val="005C38CD"/>
    <w:rsid w:val="005C5213"/>
    <w:rsid w:val="005C6A02"/>
    <w:rsid w:val="005C70D3"/>
    <w:rsid w:val="005D0A91"/>
    <w:rsid w:val="005D3DF5"/>
    <w:rsid w:val="005D5587"/>
    <w:rsid w:val="005E615D"/>
    <w:rsid w:val="005E77C3"/>
    <w:rsid w:val="005F670A"/>
    <w:rsid w:val="005F7B55"/>
    <w:rsid w:val="00600044"/>
    <w:rsid w:val="00605A59"/>
    <w:rsid w:val="006237BB"/>
    <w:rsid w:val="00633F4C"/>
    <w:rsid w:val="006350C4"/>
    <w:rsid w:val="00637F7D"/>
    <w:rsid w:val="00644315"/>
    <w:rsid w:val="00660828"/>
    <w:rsid w:val="00661532"/>
    <w:rsid w:val="006773A9"/>
    <w:rsid w:val="00681015"/>
    <w:rsid w:val="006842D0"/>
    <w:rsid w:val="006A04C4"/>
    <w:rsid w:val="006A2AA9"/>
    <w:rsid w:val="006A2ECD"/>
    <w:rsid w:val="006A6086"/>
    <w:rsid w:val="006B1289"/>
    <w:rsid w:val="006C71DC"/>
    <w:rsid w:val="006D21B8"/>
    <w:rsid w:val="006D4C4B"/>
    <w:rsid w:val="006D50CD"/>
    <w:rsid w:val="006E633F"/>
    <w:rsid w:val="006E6C93"/>
    <w:rsid w:val="006E794C"/>
    <w:rsid w:val="006E7B2A"/>
    <w:rsid w:val="006F41E4"/>
    <w:rsid w:val="00706BB6"/>
    <w:rsid w:val="007160B4"/>
    <w:rsid w:val="007301BA"/>
    <w:rsid w:val="00734AAC"/>
    <w:rsid w:val="00766222"/>
    <w:rsid w:val="007723B7"/>
    <w:rsid w:val="00784F6D"/>
    <w:rsid w:val="00787073"/>
    <w:rsid w:val="00790314"/>
    <w:rsid w:val="007938AC"/>
    <w:rsid w:val="007938BF"/>
    <w:rsid w:val="00797015"/>
    <w:rsid w:val="007B1B72"/>
    <w:rsid w:val="007B51C2"/>
    <w:rsid w:val="007B5DBD"/>
    <w:rsid w:val="007C2BD1"/>
    <w:rsid w:val="007E6F1C"/>
    <w:rsid w:val="008147BA"/>
    <w:rsid w:val="008173E1"/>
    <w:rsid w:val="0081748B"/>
    <w:rsid w:val="0082107D"/>
    <w:rsid w:val="00830E05"/>
    <w:rsid w:val="00831924"/>
    <w:rsid w:val="00831C07"/>
    <w:rsid w:val="00835857"/>
    <w:rsid w:val="008360A5"/>
    <w:rsid w:val="008418C5"/>
    <w:rsid w:val="00844C26"/>
    <w:rsid w:val="00845814"/>
    <w:rsid w:val="0087420E"/>
    <w:rsid w:val="008833FF"/>
    <w:rsid w:val="00894073"/>
    <w:rsid w:val="008A3CBA"/>
    <w:rsid w:val="008B5065"/>
    <w:rsid w:val="008B737E"/>
    <w:rsid w:val="008E1AED"/>
    <w:rsid w:val="008E2EDC"/>
    <w:rsid w:val="008E57AC"/>
    <w:rsid w:val="008E7F96"/>
    <w:rsid w:val="008F15DE"/>
    <w:rsid w:val="008F4E0A"/>
    <w:rsid w:val="008F7B95"/>
    <w:rsid w:val="00902ECA"/>
    <w:rsid w:val="00907B3E"/>
    <w:rsid w:val="009333E2"/>
    <w:rsid w:val="00935B72"/>
    <w:rsid w:val="009476CD"/>
    <w:rsid w:val="0095768E"/>
    <w:rsid w:val="009658D5"/>
    <w:rsid w:val="009676DE"/>
    <w:rsid w:val="00967A86"/>
    <w:rsid w:val="00971D8F"/>
    <w:rsid w:val="0097391C"/>
    <w:rsid w:val="00975BEA"/>
    <w:rsid w:val="009811D4"/>
    <w:rsid w:val="009831D3"/>
    <w:rsid w:val="00983502"/>
    <w:rsid w:val="00983E8D"/>
    <w:rsid w:val="009870CA"/>
    <w:rsid w:val="00995198"/>
    <w:rsid w:val="009A255E"/>
    <w:rsid w:val="009B0319"/>
    <w:rsid w:val="009C1CFF"/>
    <w:rsid w:val="009E2278"/>
    <w:rsid w:val="009F532B"/>
    <w:rsid w:val="009F795E"/>
    <w:rsid w:val="00A065FD"/>
    <w:rsid w:val="00A172AD"/>
    <w:rsid w:val="00A340A6"/>
    <w:rsid w:val="00A345E0"/>
    <w:rsid w:val="00A40007"/>
    <w:rsid w:val="00A5255E"/>
    <w:rsid w:val="00A53687"/>
    <w:rsid w:val="00A54E18"/>
    <w:rsid w:val="00A6594F"/>
    <w:rsid w:val="00A67568"/>
    <w:rsid w:val="00A67D81"/>
    <w:rsid w:val="00A81ABE"/>
    <w:rsid w:val="00A85852"/>
    <w:rsid w:val="00A95335"/>
    <w:rsid w:val="00A962A3"/>
    <w:rsid w:val="00AA220C"/>
    <w:rsid w:val="00AA509E"/>
    <w:rsid w:val="00AA558C"/>
    <w:rsid w:val="00AB53EE"/>
    <w:rsid w:val="00AC6B48"/>
    <w:rsid w:val="00AE3AA0"/>
    <w:rsid w:val="00AE3DB0"/>
    <w:rsid w:val="00AE470C"/>
    <w:rsid w:val="00AE697A"/>
    <w:rsid w:val="00AF53FA"/>
    <w:rsid w:val="00AF57FE"/>
    <w:rsid w:val="00AF7489"/>
    <w:rsid w:val="00AF7A12"/>
    <w:rsid w:val="00B13EB8"/>
    <w:rsid w:val="00B14AE1"/>
    <w:rsid w:val="00B152F6"/>
    <w:rsid w:val="00B22297"/>
    <w:rsid w:val="00B308DF"/>
    <w:rsid w:val="00B371E1"/>
    <w:rsid w:val="00B41CA9"/>
    <w:rsid w:val="00B475FF"/>
    <w:rsid w:val="00B53856"/>
    <w:rsid w:val="00B56A3B"/>
    <w:rsid w:val="00B57AD8"/>
    <w:rsid w:val="00B61E58"/>
    <w:rsid w:val="00B62048"/>
    <w:rsid w:val="00B650FA"/>
    <w:rsid w:val="00B71878"/>
    <w:rsid w:val="00B71D2D"/>
    <w:rsid w:val="00B74D23"/>
    <w:rsid w:val="00B76BA4"/>
    <w:rsid w:val="00B8443F"/>
    <w:rsid w:val="00B95E7E"/>
    <w:rsid w:val="00BA2A2F"/>
    <w:rsid w:val="00BA51F2"/>
    <w:rsid w:val="00BA6F42"/>
    <w:rsid w:val="00BC01FB"/>
    <w:rsid w:val="00BC6F09"/>
    <w:rsid w:val="00BD023E"/>
    <w:rsid w:val="00BD6087"/>
    <w:rsid w:val="00BF507C"/>
    <w:rsid w:val="00BF606F"/>
    <w:rsid w:val="00C04A62"/>
    <w:rsid w:val="00C06611"/>
    <w:rsid w:val="00C327BE"/>
    <w:rsid w:val="00C37983"/>
    <w:rsid w:val="00C40B7F"/>
    <w:rsid w:val="00C5077E"/>
    <w:rsid w:val="00C52452"/>
    <w:rsid w:val="00C53621"/>
    <w:rsid w:val="00C5536F"/>
    <w:rsid w:val="00C55FB0"/>
    <w:rsid w:val="00C55FDA"/>
    <w:rsid w:val="00C66710"/>
    <w:rsid w:val="00C70C5D"/>
    <w:rsid w:val="00C719A8"/>
    <w:rsid w:val="00C962A6"/>
    <w:rsid w:val="00C97F14"/>
    <w:rsid w:val="00CA3600"/>
    <w:rsid w:val="00CA75FD"/>
    <w:rsid w:val="00CB1172"/>
    <w:rsid w:val="00CC08AD"/>
    <w:rsid w:val="00CC2784"/>
    <w:rsid w:val="00CC32AD"/>
    <w:rsid w:val="00CD3416"/>
    <w:rsid w:val="00CF0501"/>
    <w:rsid w:val="00CF35F3"/>
    <w:rsid w:val="00D03E5E"/>
    <w:rsid w:val="00D142B1"/>
    <w:rsid w:val="00D34CBA"/>
    <w:rsid w:val="00D35BA8"/>
    <w:rsid w:val="00D44618"/>
    <w:rsid w:val="00D52F8E"/>
    <w:rsid w:val="00D57225"/>
    <w:rsid w:val="00D60747"/>
    <w:rsid w:val="00D67787"/>
    <w:rsid w:val="00D810CE"/>
    <w:rsid w:val="00D85CDC"/>
    <w:rsid w:val="00D95C5C"/>
    <w:rsid w:val="00DA7A6B"/>
    <w:rsid w:val="00DB4491"/>
    <w:rsid w:val="00DC3900"/>
    <w:rsid w:val="00DC3A73"/>
    <w:rsid w:val="00DC4C48"/>
    <w:rsid w:val="00DD39CC"/>
    <w:rsid w:val="00DD77E9"/>
    <w:rsid w:val="00DE6C43"/>
    <w:rsid w:val="00E014EB"/>
    <w:rsid w:val="00E01D40"/>
    <w:rsid w:val="00E02838"/>
    <w:rsid w:val="00E13A9D"/>
    <w:rsid w:val="00E27EB0"/>
    <w:rsid w:val="00E31F0F"/>
    <w:rsid w:val="00E35E31"/>
    <w:rsid w:val="00E46F8D"/>
    <w:rsid w:val="00E52D1A"/>
    <w:rsid w:val="00E548E6"/>
    <w:rsid w:val="00E578F4"/>
    <w:rsid w:val="00E67219"/>
    <w:rsid w:val="00E83E51"/>
    <w:rsid w:val="00E85543"/>
    <w:rsid w:val="00E9249E"/>
    <w:rsid w:val="00E92FDA"/>
    <w:rsid w:val="00EA4CA3"/>
    <w:rsid w:val="00EB1EA4"/>
    <w:rsid w:val="00EC3A35"/>
    <w:rsid w:val="00EC7796"/>
    <w:rsid w:val="00ED0447"/>
    <w:rsid w:val="00ED0CFF"/>
    <w:rsid w:val="00EE0EF4"/>
    <w:rsid w:val="00EE7E39"/>
    <w:rsid w:val="00EF05C2"/>
    <w:rsid w:val="00EF2CCC"/>
    <w:rsid w:val="00EF4BD3"/>
    <w:rsid w:val="00EF4C0C"/>
    <w:rsid w:val="00F03C91"/>
    <w:rsid w:val="00F06929"/>
    <w:rsid w:val="00F06C0D"/>
    <w:rsid w:val="00F06D79"/>
    <w:rsid w:val="00F07D3C"/>
    <w:rsid w:val="00F1131C"/>
    <w:rsid w:val="00F14B9A"/>
    <w:rsid w:val="00F17351"/>
    <w:rsid w:val="00F22B7D"/>
    <w:rsid w:val="00F269B2"/>
    <w:rsid w:val="00F27EDA"/>
    <w:rsid w:val="00F33755"/>
    <w:rsid w:val="00F44D5E"/>
    <w:rsid w:val="00F4572D"/>
    <w:rsid w:val="00F60DFC"/>
    <w:rsid w:val="00F6217D"/>
    <w:rsid w:val="00F66D3F"/>
    <w:rsid w:val="00F81C3B"/>
    <w:rsid w:val="00F86B89"/>
    <w:rsid w:val="00F87D55"/>
    <w:rsid w:val="00F9556F"/>
    <w:rsid w:val="00F967DB"/>
    <w:rsid w:val="00FA53D8"/>
    <w:rsid w:val="00FA6948"/>
    <w:rsid w:val="00FA7409"/>
    <w:rsid w:val="00FA74DC"/>
    <w:rsid w:val="00FA7724"/>
    <w:rsid w:val="00FA7BC3"/>
    <w:rsid w:val="00FC2AD4"/>
    <w:rsid w:val="00FC5ABF"/>
    <w:rsid w:val="00FD2EE7"/>
    <w:rsid w:val="00FD6AE3"/>
    <w:rsid w:val="00FE3255"/>
    <w:rsid w:val="00FE4A5B"/>
    <w:rsid w:val="00FE5562"/>
    <w:rsid w:val="00FE6C42"/>
    <w:rsid w:val="00FF1189"/>
    <w:rsid w:val="00FF2806"/>
    <w:rsid w:val="00FF3C33"/>
    <w:rsid w:val="00FF4503"/>
    <w:rsid w:val="00FF65D7"/>
    <w:rsid w:val="022F740F"/>
    <w:rsid w:val="02875D0E"/>
    <w:rsid w:val="07683813"/>
    <w:rsid w:val="07750367"/>
    <w:rsid w:val="08244FD4"/>
    <w:rsid w:val="083679F7"/>
    <w:rsid w:val="124043F6"/>
    <w:rsid w:val="15AC158A"/>
    <w:rsid w:val="16FA1DEB"/>
    <w:rsid w:val="1871250F"/>
    <w:rsid w:val="18B6326D"/>
    <w:rsid w:val="1EE92BA8"/>
    <w:rsid w:val="214A3644"/>
    <w:rsid w:val="218823B8"/>
    <w:rsid w:val="22441982"/>
    <w:rsid w:val="23EE0CEF"/>
    <w:rsid w:val="24197AF7"/>
    <w:rsid w:val="26640FB0"/>
    <w:rsid w:val="29EF7DD5"/>
    <w:rsid w:val="2CCA51CA"/>
    <w:rsid w:val="2E45639C"/>
    <w:rsid w:val="30B564FA"/>
    <w:rsid w:val="30C50D96"/>
    <w:rsid w:val="37C169B4"/>
    <w:rsid w:val="38DC01C7"/>
    <w:rsid w:val="39857519"/>
    <w:rsid w:val="3C557D8B"/>
    <w:rsid w:val="3E5144B6"/>
    <w:rsid w:val="3EB97459"/>
    <w:rsid w:val="40112C02"/>
    <w:rsid w:val="416E1245"/>
    <w:rsid w:val="41761217"/>
    <w:rsid w:val="42663327"/>
    <w:rsid w:val="44AE1BA0"/>
    <w:rsid w:val="45570BFF"/>
    <w:rsid w:val="495B3E19"/>
    <w:rsid w:val="4AB92AF9"/>
    <w:rsid w:val="4B4F4AE8"/>
    <w:rsid w:val="51382CF8"/>
    <w:rsid w:val="58223F62"/>
    <w:rsid w:val="5C1B4BB2"/>
    <w:rsid w:val="5CE72631"/>
    <w:rsid w:val="5F8029BE"/>
    <w:rsid w:val="5FD43422"/>
    <w:rsid w:val="609A0BC0"/>
    <w:rsid w:val="60A12EC9"/>
    <w:rsid w:val="61FC2836"/>
    <w:rsid w:val="698D365D"/>
    <w:rsid w:val="6A563064"/>
    <w:rsid w:val="6C753E40"/>
    <w:rsid w:val="717B0F53"/>
    <w:rsid w:val="741A1C4B"/>
    <w:rsid w:val="75AE1440"/>
    <w:rsid w:val="75E91C2F"/>
    <w:rsid w:val="763A6667"/>
    <w:rsid w:val="7D3133DF"/>
    <w:rsid w:val="7D9F49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ody Text Indent"/>
    <w:basedOn w:val="1"/>
    <w:link w:val="15"/>
    <w:unhideWhenUsed/>
    <w:qFormat/>
    <w:uiPriority w:val="0"/>
    <w:pPr>
      <w:spacing w:after="120"/>
      <w:ind w:left="200" w:leftChars="200"/>
    </w:pPr>
    <w:rPr>
      <w:rFonts w:ascii="Times New Roman" w:hAnsi="Times New Roman"/>
      <w:szCs w:val="20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8"/>
    <w:qFormat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000FF" w:themeColor="hyperlink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正文文本缩进 Char"/>
    <w:basedOn w:val="10"/>
    <w:link w:val="3"/>
    <w:qFormat/>
    <w:locked/>
    <w:uiPriority w:val="0"/>
    <w:rPr>
      <w:kern w:val="2"/>
      <w:sz w:val="21"/>
    </w:rPr>
  </w:style>
  <w:style w:type="character" w:customStyle="1" w:styleId="16">
    <w:name w:val="正文文本缩进 Char1"/>
    <w:basedOn w:val="10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批注文字 Char"/>
    <w:basedOn w:val="10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8">
    <w:name w:val="批注主题 Char"/>
    <w:basedOn w:val="17"/>
    <w:link w:val="8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9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光大正文"/>
    <w:qFormat/>
    <w:uiPriority w:val="0"/>
    <w:pPr>
      <w:spacing w:after="120"/>
      <w:jc w:val="both"/>
    </w:pPr>
    <w:rPr>
      <w:rFonts w:ascii="Arial" w:hAnsi="Arial" w:eastAsia="华文楷体" w:cs="Arial"/>
      <w:sz w:val="21"/>
      <w:szCs w:val="24"/>
      <w:lang w:val="en-US" w:eastAsia="zh-CN" w:bidi="ar-SA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2C0265-9F1D-4897-9F8A-7A76A73DFE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387</Words>
  <Characters>2209</Characters>
  <Lines>18</Lines>
  <Paragraphs>5</Paragraphs>
  <TotalTime>20</TotalTime>
  <ScaleCrop>false</ScaleCrop>
  <LinksUpToDate>false</LinksUpToDate>
  <CharactersWithSpaces>2591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2017-09-11T12:43:00Z</dcterms:created>
  <dc:creator>微软用户</dc:creator>
  <cp:lastModifiedBy>藏格</cp:lastModifiedBy>
  <dcterms:modified xsi:type="dcterms:W3CDTF">2020-07-09T13:12:39Z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