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80" w:rsidRDefault="0024010C">
      <w:pPr>
        <w:widowControl/>
        <w:shd w:val="clear" w:color="auto" w:fill="FFFFFF"/>
        <w:spacing w:line="424" w:lineRule="atLeast"/>
        <w:jc w:val="left"/>
        <w:outlineLvl w:val="0"/>
        <w:rPr>
          <w:rFonts w:asciiTheme="minorEastAsia" w:hAnsiTheme="minorEastAsia" w:cs="宋体"/>
          <w:kern w:val="36"/>
          <w:sz w:val="24"/>
          <w:szCs w:val="24"/>
        </w:rPr>
      </w:pPr>
      <w:r>
        <w:rPr>
          <w:rFonts w:asciiTheme="minorEastAsia" w:hAnsiTheme="minorEastAsia" w:cs="宋体" w:hint="eastAsia"/>
          <w:kern w:val="36"/>
          <w:sz w:val="24"/>
          <w:szCs w:val="24"/>
        </w:rPr>
        <w:t>证券代码：300740                                     证券简称：御家汇</w:t>
      </w:r>
    </w:p>
    <w:p w:rsidR="002A1980" w:rsidRDefault="002A1980">
      <w:pPr>
        <w:widowControl/>
        <w:shd w:val="clear" w:color="auto" w:fill="FFFFFF"/>
        <w:spacing w:line="424" w:lineRule="atLeast"/>
        <w:jc w:val="left"/>
        <w:outlineLvl w:val="0"/>
        <w:rPr>
          <w:rFonts w:asciiTheme="minorEastAsia" w:hAnsiTheme="minorEastAsia" w:cs="宋体"/>
          <w:kern w:val="36"/>
          <w:sz w:val="24"/>
          <w:szCs w:val="24"/>
        </w:rPr>
      </w:pPr>
    </w:p>
    <w:p w:rsidR="002A1980" w:rsidRDefault="0024010C">
      <w:pPr>
        <w:widowControl/>
        <w:shd w:val="clear" w:color="auto" w:fill="FFFFFF"/>
        <w:spacing w:line="424" w:lineRule="atLeast"/>
        <w:ind w:hanging="360"/>
        <w:jc w:val="center"/>
        <w:outlineLvl w:val="0"/>
        <w:rPr>
          <w:rFonts w:ascii="黑体" w:eastAsia="黑体" w:hAnsi="黑体" w:cs="宋体"/>
          <w:b/>
          <w:kern w:val="36"/>
          <w:sz w:val="30"/>
          <w:szCs w:val="30"/>
        </w:rPr>
      </w:pPr>
      <w:proofErr w:type="gramStart"/>
      <w:r>
        <w:rPr>
          <w:rFonts w:ascii="黑体" w:eastAsia="黑体" w:hAnsi="黑体" w:cs="宋体" w:hint="eastAsia"/>
          <w:b/>
          <w:kern w:val="36"/>
          <w:sz w:val="30"/>
          <w:szCs w:val="30"/>
        </w:rPr>
        <w:t>御家汇股份有限公司</w:t>
      </w:r>
      <w:proofErr w:type="gramEnd"/>
      <w:r>
        <w:rPr>
          <w:rFonts w:ascii="黑体" w:eastAsia="黑体" w:hAnsi="黑体" w:cs="宋体" w:hint="eastAsia"/>
          <w:b/>
          <w:kern w:val="36"/>
          <w:sz w:val="30"/>
          <w:szCs w:val="30"/>
        </w:rPr>
        <w:t>投资者关系活动记录表</w:t>
      </w:r>
    </w:p>
    <w:p w:rsidR="002A1980" w:rsidRDefault="0024010C">
      <w:pPr>
        <w:widowControl/>
        <w:shd w:val="clear" w:color="auto" w:fill="FFFFFF"/>
        <w:spacing w:afterLines="50" w:after="156" w:line="424" w:lineRule="atLeast"/>
        <w:ind w:leftChars="-1" w:left="-2" w:right="2" w:firstLineChars="100" w:firstLine="240"/>
        <w:jc w:val="right"/>
        <w:outlineLvl w:val="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sz w:val="24"/>
          <w:szCs w:val="24"/>
        </w:rPr>
        <w:t>编号：</w:t>
      </w:r>
      <w:r>
        <w:rPr>
          <w:rFonts w:ascii="Arial" w:eastAsia="宋体" w:hAnsi="Arial" w:cs="Arial" w:hint="eastAsia"/>
          <w:sz w:val="24"/>
          <w:szCs w:val="24"/>
        </w:rPr>
        <w:t>2020-00</w:t>
      </w:r>
      <w:r>
        <w:rPr>
          <w:rFonts w:ascii="Arial" w:eastAsia="宋体" w:hAnsi="Arial" w:cs="Arial"/>
          <w:sz w:val="24"/>
          <w:szCs w:val="24"/>
        </w:rPr>
        <w:t>3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7230"/>
      </w:tblGrid>
      <w:tr w:rsidR="002A1980">
        <w:trPr>
          <w:trHeight w:val="1729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特定对象调研 □分析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师会议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□媒体调研      □业绩说明会 □新闻发布会 □路演活动       □现场参观 □其他（）</w:t>
            </w:r>
          </w:p>
        </w:tc>
      </w:tr>
      <w:tr w:rsidR="002A1980">
        <w:trPr>
          <w:trHeight w:val="1414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参与单位名称</w:t>
            </w:r>
          </w:p>
          <w:p w:rsidR="002A1980" w:rsidRDefault="0024010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及人员姓名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睿远基金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唐倩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华泰证券 张萌、孙丹阳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永大宏庆 闫永波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万泰华瑞 刘志刚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盈泰投资 尹健宇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融通基金 苏林洁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三湘银行 朱巧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中金公司 樊俊豪、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徐卓楠</w:t>
            </w:r>
            <w:proofErr w:type="gramEnd"/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博道基金 陈磊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广发证券 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嵇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文欣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天风证券</w:t>
            </w:r>
            <w:r w:rsidR="008863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742E66">
              <w:rPr>
                <w:rFonts w:asciiTheme="minorEastAsia" w:hAnsiTheme="minorEastAsia" w:cs="宋体"/>
                <w:kern w:val="0"/>
                <w:sz w:val="24"/>
                <w:szCs w:val="24"/>
              </w:rPr>
              <w:t>刘章明</w:t>
            </w:r>
            <w:r w:rsidR="00742E6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方心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诣</w:t>
            </w:r>
            <w:proofErr w:type="gramEnd"/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中信证券 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付欣宇</w:t>
            </w:r>
            <w:proofErr w:type="gramEnd"/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源泉投资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马丽卿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由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榕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投资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王文沁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永安国富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王超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大象资产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邬丹妮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万家基金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丁玉杰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大成基金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张珊珊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国元证券</w:t>
            </w:r>
            <w:proofErr w:type="gramEnd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杨柳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赤兔投资</w:t>
            </w:r>
            <w:proofErr w:type="gramEnd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肖静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海基金</w:t>
            </w:r>
            <w:proofErr w:type="gramEnd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姚晨曦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景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林资产</w:t>
            </w:r>
            <w:proofErr w:type="gramEnd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郑卉妤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雷沃基金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庄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国信证券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="008863C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张峻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豪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聚鸣投资</w:t>
            </w:r>
            <w:proofErr w:type="gramEnd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靳晓婷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银基金</w:t>
            </w:r>
            <w:proofErr w:type="gramEnd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丁雅纯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浙商证券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汤秀洁</w:t>
            </w:r>
            <w:proofErr w:type="gramEnd"/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和资本 汤晨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晨</w:t>
            </w:r>
            <w:proofErr w:type="gramEnd"/>
          </w:p>
          <w:p w:rsidR="00720F52" w:rsidRDefault="00720F5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誉辉资本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唐宋媛</w:t>
            </w:r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国泰君安 </w:t>
            </w:r>
            <w:proofErr w:type="gramStart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訾</w:t>
            </w:r>
            <w:proofErr w:type="gramEnd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猛、彭英</w:t>
            </w:r>
          </w:p>
        </w:tc>
      </w:tr>
      <w:tr w:rsidR="002A1980">
        <w:trPr>
          <w:trHeight w:val="8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2020年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9日下午1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A1980">
        <w:trPr>
          <w:trHeight w:val="8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地点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公司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8楼会议室</w:t>
            </w:r>
          </w:p>
        </w:tc>
      </w:tr>
      <w:tr w:rsidR="002A1980">
        <w:trPr>
          <w:trHeight w:val="8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董  事  长 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戴跃锋</w:t>
            </w:r>
            <w:proofErr w:type="gramEnd"/>
          </w:p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董事会秘书 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吴小瑾</w:t>
            </w:r>
            <w:proofErr w:type="gramEnd"/>
          </w:p>
        </w:tc>
      </w:tr>
      <w:tr w:rsidR="002A1980">
        <w:trPr>
          <w:trHeight w:val="1486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投资者关系活动</w:t>
            </w:r>
          </w:p>
          <w:p w:rsidR="002A1980" w:rsidRDefault="0024010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主要内容介绍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980" w:rsidRDefault="0024010C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一、参观公司展示大厅</w:t>
            </w:r>
          </w:p>
          <w:p w:rsidR="002A1980" w:rsidRDefault="0024010C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二、现场交流</w:t>
            </w:r>
          </w:p>
          <w:p w:rsidR="002A1980" w:rsidRDefault="0024010C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（一）、公司情况介绍</w:t>
            </w:r>
          </w:p>
          <w:p w:rsidR="002A1980" w:rsidRDefault="0024010C">
            <w:pPr>
              <w:spacing w:line="360" w:lineRule="auto"/>
              <w:ind w:firstLine="495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1、管理团队</w:t>
            </w:r>
          </w:p>
          <w:p w:rsidR="002A1980" w:rsidRDefault="0024010C">
            <w:pPr>
              <w:spacing w:line="360" w:lineRule="auto"/>
              <w:ind w:firstLine="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公司业务、财务、研发等板块管理人员的情况介绍。</w:t>
            </w: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2、自有品牌： </w:t>
            </w: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（1）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御泥坊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从内核到外形的升级，现已呈现全新形象。品牌升级，推出九法泥浆面膜，未来会做更多中国文化传承。产品结构优化，氨基酸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泥成为爆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款</w:t>
            </w:r>
            <w:r>
              <w:rPr>
                <w:rFonts w:ascii="宋体" w:eastAsia="宋体" w:hAnsi="宋体"/>
                <w:sz w:val="24"/>
                <w:szCs w:val="24"/>
              </w:rPr>
              <w:t>，毛利率水平有较大提升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。此外，市场投放能力、库存均持续改善。</w:t>
            </w:r>
            <w:r w:rsidR="00B90AE0">
              <w:rPr>
                <w:rFonts w:ascii="宋体" w:eastAsia="宋体" w:hAnsi="宋体" w:hint="eastAsia"/>
                <w:sz w:val="24"/>
                <w:szCs w:val="24"/>
              </w:rPr>
              <w:t>线下渠道也有所增长。</w:t>
            </w: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（2）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小迷糊：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品牌定位I</w:t>
            </w:r>
            <w:r>
              <w:rPr>
                <w:rFonts w:ascii="宋体" w:eastAsia="宋体" w:hAnsi="宋体"/>
                <w:sz w:val="24"/>
                <w:szCs w:val="24"/>
              </w:rPr>
              <w:t>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化、主打年轻市场，在中国的</w:t>
            </w:r>
            <w:r>
              <w:rPr>
                <w:rFonts w:ascii="宋体" w:eastAsia="宋体" w:hAnsi="宋体"/>
                <w:sz w:val="24"/>
                <w:szCs w:val="24"/>
              </w:rPr>
              <w:t>00后市场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里小迷糊的品牌知名度远高于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御泥坊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，已经拥有几个亿的收入规模。</w:t>
            </w:r>
          </w:p>
          <w:p w:rsidR="002A1980" w:rsidRDefault="0024010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（3）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薇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风：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更名为大水滴，定位熬夜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肌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人群，创始人是台湾几十年的药剂师，品牌起源于为护士太太研制护理熬夜肌肤配方，2</w:t>
            </w:r>
            <w:r>
              <w:rPr>
                <w:rFonts w:ascii="宋体" w:eastAsia="宋体" w:hAnsi="宋体"/>
                <w:sz w:val="24"/>
                <w:szCs w:val="24"/>
              </w:rPr>
              <w:t>019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年同比实现较快增长，拥有良好的产品口碑。</w:t>
            </w:r>
          </w:p>
          <w:p w:rsidR="002A1980" w:rsidRDefault="0024010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（4）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御M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EN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御泥坊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男士全新升级为御MEN，主打清洁控油。</w:t>
            </w:r>
          </w:p>
          <w:p w:rsidR="002A1980" w:rsidRDefault="0024010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（5）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新品牌孵化：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2019年推出功效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修肤品牌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H</w:t>
            </w:r>
            <w:r>
              <w:rPr>
                <w:rFonts w:ascii="宋体" w:eastAsia="宋体" w:hAnsi="宋体"/>
                <w:sz w:val="24"/>
                <w:szCs w:val="24"/>
              </w:rPr>
              <w:t>PH，未来将持续孵化新品牌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2A1980" w:rsidRDefault="0024010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3、代理业务：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水羊国际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承接强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生业务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同时还有其他国际品牌，2019年有较大投入，预计2</w:t>
            </w:r>
            <w:r>
              <w:rPr>
                <w:rFonts w:ascii="宋体" w:eastAsia="宋体" w:hAnsi="宋体"/>
                <w:sz w:val="24"/>
                <w:szCs w:val="24"/>
              </w:rPr>
              <w:t>020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年会逐步进入良性轨道。</w:t>
            </w:r>
          </w:p>
          <w:p w:rsidR="002A1980" w:rsidRDefault="0024010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强生：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公司在2019年开始全面承接强生代理业务，目前已有16个品牌的部分渠道切给御家汇，近期承接的品牌有美国外用生发品牌</w:t>
            </w:r>
            <w:r>
              <w:rPr>
                <w:rFonts w:ascii="宋体" w:eastAsia="宋体" w:hAnsi="宋体"/>
                <w:sz w:val="24"/>
                <w:szCs w:val="24"/>
              </w:rPr>
              <w:t>Rogaine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，未来预计更多。强生中国预计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全渠道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收入为50亿元，未来线上收入占比预计提升至40-50%，长期预计给御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家汇贡献营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收20亿</w:t>
            </w: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以上。</w:t>
            </w:r>
            <w:r>
              <w:rPr>
                <w:rFonts w:ascii="宋体" w:eastAsia="宋体" w:hAnsi="宋体"/>
                <w:sz w:val="24"/>
                <w:szCs w:val="24"/>
              </w:rPr>
              <w:t>去年开始，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>
              <w:rPr>
                <w:rFonts w:ascii="宋体" w:eastAsia="宋体" w:hAnsi="宋体"/>
                <w:sz w:val="24"/>
                <w:szCs w:val="24"/>
              </w:rPr>
              <w:t>陆续接手强生旗下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大部分品牌</w:t>
            </w:r>
            <w:r>
              <w:rPr>
                <w:rFonts w:ascii="宋体" w:eastAsia="宋体" w:hAnsi="宋体"/>
                <w:sz w:val="24"/>
                <w:szCs w:val="24"/>
              </w:rPr>
              <w:t>，半年时间，帮助强生旗下大部分品牌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实现</w:t>
            </w:r>
            <w:r>
              <w:rPr>
                <w:rFonts w:ascii="宋体" w:eastAsia="宋体" w:hAnsi="宋体"/>
                <w:sz w:val="24"/>
                <w:szCs w:val="24"/>
              </w:rPr>
              <w:t>线上销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售价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提价</w:t>
            </w:r>
            <w:r>
              <w:rPr>
                <w:rFonts w:ascii="宋体" w:eastAsia="宋体" w:hAnsi="宋体"/>
                <w:sz w:val="24"/>
                <w:szCs w:val="24"/>
              </w:rPr>
              <w:t>20%左右，同时依然实现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销售</w:t>
            </w:r>
            <w:r>
              <w:rPr>
                <w:rFonts w:ascii="宋体" w:eastAsia="宋体" w:hAnsi="宋体"/>
                <w:sz w:val="24"/>
                <w:szCs w:val="24"/>
              </w:rPr>
              <w:t>同比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增长，验证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公司电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商运营能力。</w:t>
            </w:r>
          </w:p>
          <w:p w:rsidR="002A1980" w:rsidRDefault="0024010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其他国际品牌：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K</w:t>
            </w:r>
            <w:r>
              <w:rPr>
                <w:rFonts w:ascii="宋体" w:eastAsia="宋体" w:hAnsi="宋体"/>
                <w:sz w:val="24"/>
                <w:szCs w:val="24"/>
              </w:rPr>
              <w:t>IKO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：意大利知名彩妆品牌，2</w:t>
            </w:r>
            <w:r>
              <w:rPr>
                <w:rFonts w:ascii="宋体" w:eastAsia="宋体" w:hAnsi="宋体"/>
                <w:sz w:val="24"/>
                <w:szCs w:val="24"/>
              </w:rPr>
              <w:t>019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年也实现较快增长。L</w:t>
            </w:r>
            <w:r>
              <w:rPr>
                <w:rFonts w:ascii="宋体" w:eastAsia="宋体" w:hAnsi="宋体"/>
                <w:sz w:val="24"/>
                <w:szCs w:val="24"/>
              </w:rPr>
              <w:t>UMENE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芬兰市占率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%的护肤品牌，公司是中国区总代。Z</w:t>
            </w:r>
            <w:r>
              <w:rPr>
                <w:rFonts w:ascii="宋体" w:eastAsia="宋体" w:hAnsi="宋体"/>
                <w:sz w:val="24"/>
                <w:szCs w:val="24"/>
              </w:rPr>
              <w:t>ELENS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：哈佛医学院科学家创立的品牌，主打产品是粉底液。</w:t>
            </w:r>
            <w:r>
              <w:rPr>
                <w:rFonts w:ascii="宋体" w:eastAsia="宋体" w:hAnsi="宋体"/>
                <w:sz w:val="24"/>
                <w:szCs w:val="24"/>
              </w:rPr>
              <w:t>Hawkins &amp; Brimble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：英国男士品牌，其男士发蜡产品在中国已经有一定声量。</w:t>
            </w:r>
          </w:p>
          <w:p w:rsidR="002A1980" w:rsidRDefault="0024010C">
            <w:pPr>
              <w:spacing w:line="360" w:lineRule="auto"/>
              <w:ind w:firstLineChars="200" w:firstLine="48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公司持续在洽谈新的品牌，陆续将有结果落地。</w:t>
            </w: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4、T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P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业务：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目前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公司代运营日本</w:t>
            </w:r>
            <w:r>
              <w:rPr>
                <w:rFonts w:ascii="宋体" w:eastAsia="宋体" w:hAnsi="宋体"/>
                <w:sz w:val="24"/>
                <w:szCs w:val="24"/>
              </w:rPr>
              <w:t>ALBION海外旗舰店、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韩国L</w:t>
            </w:r>
            <w:r>
              <w:rPr>
                <w:rFonts w:ascii="宋体" w:eastAsia="宋体" w:hAnsi="宋体"/>
                <w:sz w:val="24"/>
                <w:szCs w:val="24"/>
              </w:rPr>
              <w:t>G生活健康海外旗舰店等业务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2A1980" w:rsidRDefault="0024010C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（二）、主要问题及解答</w:t>
            </w:r>
          </w:p>
          <w:p w:rsidR="002A1980" w:rsidRDefault="0024010C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1、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公司的面膜品类分类及占比情况？</w:t>
            </w:r>
          </w:p>
          <w:p w:rsidR="002A1980" w:rsidRDefault="0024010C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公司面膜分四个细分品类，面膜贴、泥浆面膜、非泥浆水洗面膜，睡眠面膜，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御泥坊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是唯一做了四个细分品类面膜的品牌。公司是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全渠道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运营的，非面膜类产品</w:t>
            </w:r>
            <w:r w:rsidR="00742E66">
              <w:rPr>
                <w:rFonts w:ascii="宋体" w:eastAsia="宋体" w:hAnsi="宋体" w:hint="eastAsia"/>
                <w:sz w:val="24"/>
                <w:szCs w:val="24"/>
              </w:rPr>
              <w:t>收入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占比会较大家所认为的要高</w:t>
            </w:r>
            <w:r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:rsidR="002A1980" w:rsidRDefault="002A1980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2、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主品牌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毛利情况是如何改善的？</w:t>
            </w:r>
            <w:r>
              <w:rPr>
                <w:rFonts w:ascii="宋体" w:eastAsia="宋体" w:hAnsi="宋体"/>
                <w:sz w:val="24"/>
                <w:szCs w:val="24"/>
              </w:rPr>
              <w:br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品牌升级、产品结构优化、投放能力的提升这三个原因是毛利提升的主要因素。</w:t>
            </w:r>
          </w:p>
          <w:p w:rsidR="002A1980" w:rsidRDefault="002A198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3、公司认为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发展最重要的底层逻辑是什么？</w:t>
            </w:r>
          </w:p>
          <w:p w:rsidR="002A1980" w:rsidRDefault="002401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对公司来讲主要是品牌、产品、市场、渠道、运营这5件事情，我们认为核心的还是品牌。</w:t>
            </w:r>
          </w:p>
          <w:p w:rsidR="002A1980" w:rsidRDefault="002A198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4、公司是否考虑并购？</w:t>
            </w:r>
          </w:p>
          <w:p w:rsidR="002A1980" w:rsidRDefault="002401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公司实行多品牌发展战略来满足不同类型消费者的护肤需求，通过自主培育和外延式收购方式实施多品牌计划。公司会持续关注市场是否有合适机会。</w:t>
            </w:r>
          </w:p>
          <w:p w:rsidR="002A1980" w:rsidRDefault="002A198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、公司如何定义全球十大美妆企业？</w:t>
            </w:r>
          </w:p>
          <w:p w:rsidR="002A1980" w:rsidRDefault="002401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公司认为未来10-20年，全球十大美妆企业，有3-5家会是中国的企业。如果公司想成为其中的一员，那么在最近的3-5年必须要进入中国的前5，为此公司在2019年对业务、组织及人员进行了系列调整。以量化指标来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考量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，目前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前十企业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营收达到300~400亿元，未来10~20年要进入前十，营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收至少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要达到500亿元以上。</w:t>
            </w:r>
          </w:p>
          <w:p w:rsidR="002A1980" w:rsidRDefault="002A198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、公司自有品牌和代理品牌收入占比分别是多少？长期来看自有和代理品牌占比如何？</w:t>
            </w:r>
          </w:p>
          <w:p w:rsidR="002A1980" w:rsidRDefault="002401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年代理品牌收入占比是上升的，预计2</w:t>
            </w:r>
            <w:r>
              <w:rPr>
                <w:rFonts w:ascii="宋体" w:eastAsia="宋体" w:hAnsi="宋体"/>
                <w:sz w:val="24"/>
                <w:szCs w:val="24"/>
              </w:rPr>
              <w:t>020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年代理品牌收入占比还会上升。公司并没有对长期占比有太多确定性的预设，公司坚持有什么能力就解决什么问题做什么事情，关键是组织的核心能力，能否帮助品牌去解决相应问题。</w:t>
            </w:r>
          </w:p>
          <w:p w:rsidR="002A1980" w:rsidRDefault="002A1980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7、公司出新品的能力如何？</w:t>
            </w:r>
          </w:p>
          <w:p w:rsidR="002A1980" w:rsidRDefault="002401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公司出新品的能力</w:t>
            </w:r>
            <w:r>
              <w:rPr>
                <w:rFonts w:ascii="宋体" w:eastAsia="宋体" w:hAnsi="宋体"/>
                <w:sz w:val="24"/>
                <w:szCs w:val="24"/>
              </w:rPr>
              <w:t>较强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，公司去年做了组织和人员的调整，品牌和团队的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锲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合度更好，新品创新能力更上一个台阶。</w:t>
            </w:r>
            <w:r>
              <w:rPr>
                <w:rFonts w:ascii="宋体" w:eastAsia="宋体" w:hAnsi="宋体"/>
                <w:sz w:val="24"/>
                <w:szCs w:val="24"/>
              </w:rPr>
              <w:t>公司最近几年研发专利数一直</w:t>
            </w:r>
            <w:r w:rsidR="00B90AE0">
              <w:rPr>
                <w:rFonts w:ascii="宋体" w:eastAsia="宋体" w:hAnsi="宋体"/>
                <w:sz w:val="24"/>
                <w:szCs w:val="24"/>
              </w:rPr>
              <w:t>在增加</w:t>
            </w:r>
            <w:r w:rsidR="00B90AE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2A1980" w:rsidRDefault="002A198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8、公司下半年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还有爆款吗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？主要是什么产品品类？</w:t>
            </w:r>
          </w:p>
          <w:p w:rsidR="002A1980" w:rsidRDefault="002401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公司已经有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三款爆款产品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了，分别是氨基酸泥、九法泥浆面膜、美白面膜贴，销售情况都</w:t>
            </w:r>
            <w:r w:rsidR="00B90AE0">
              <w:rPr>
                <w:rFonts w:ascii="宋体" w:eastAsia="宋体" w:hAnsi="宋体" w:hint="eastAsia"/>
                <w:sz w:val="24"/>
                <w:szCs w:val="24"/>
              </w:rPr>
              <w:t>不错。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公司在泥浆产品领域具备独到的优势</w:t>
            </w:r>
            <w:r w:rsidR="00B90AE0">
              <w:rPr>
                <w:rFonts w:ascii="宋体" w:eastAsia="宋体" w:hAnsi="宋体" w:hint="eastAsia"/>
                <w:sz w:val="24"/>
                <w:szCs w:val="24"/>
              </w:rPr>
              <w:t>，具有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文化、技术储备，这是公司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打造爆款产品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B90AE0">
              <w:rPr>
                <w:rFonts w:ascii="宋体" w:eastAsia="宋体" w:hAnsi="宋体" w:hint="eastAsia"/>
                <w:sz w:val="24"/>
                <w:szCs w:val="24"/>
              </w:rPr>
              <w:t>基础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。当然公司的产品品类是多样的，下半年还有其他产品，公司会视情况决定主推的产品。</w:t>
            </w:r>
          </w:p>
          <w:p w:rsidR="002A1980" w:rsidRDefault="002A198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9、公司做代理品牌业务的初衷是什么？</w:t>
            </w:r>
          </w:p>
          <w:p w:rsidR="002A1980" w:rsidRDefault="002401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全球前十大美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妆企业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都做过代理品牌业务，我们认为公司要想成为全球前十大美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妆企业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需要先学习世界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级美妆公司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是怎么做的。</w:t>
            </w:r>
          </w:p>
          <w:p w:rsidR="002A1980" w:rsidRDefault="002A198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、公司研发的情况？</w:t>
            </w:r>
          </w:p>
          <w:p w:rsidR="002A1980" w:rsidRDefault="002401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公司的营收是包括代理品牌的，若剔除掉代理品牌的营收，公司研发费用占比还是较高的。公司研究目前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偏应用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的多，但是基础研究我们也在做，并已经取得了一些专利成果，未来也会和外部机构加大基础类研究的合作，这些基础研究会陆续产生成果。</w:t>
            </w:r>
          </w:p>
          <w:p w:rsidR="002A1980" w:rsidRDefault="002A1980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2A1980" w:rsidRDefault="0024010C" w:rsidP="00742E66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公司在各平台投放资源会有所倾斜吗？</w:t>
            </w:r>
          </w:p>
          <w:p w:rsidR="002A1980" w:rsidRDefault="0024010C" w:rsidP="0024010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公司会根据每个平台的特点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有计划的进行广告费用投放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包含品牌宣传及与销售强关联的推广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资源会侧重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ROI相对高的平台。</w:t>
            </w:r>
          </w:p>
        </w:tc>
      </w:tr>
      <w:tr w:rsidR="002A1980">
        <w:trPr>
          <w:trHeight w:val="8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2A1980">
        <w:trPr>
          <w:trHeight w:val="8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80" w:rsidRDefault="0024010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2020年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月9日</w:t>
            </w:r>
          </w:p>
        </w:tc>
      </w:tr>
    </w:tbl>
    <w:p w:rsidR="002A1980" w:rsidRDefault="002A1980">
      <w:pPr>
        <w:widowControl/>
        <w:shd w:val="clear" w:color="auto" w:fill="FFFFFF"/>
        <w:spacing w:line="440" w:lineRule="exact"/>
        <w:jc w:val="left"/>
        <w:rPr>
          <w:rFonts w:ascii="Arial" w:eastAsia="宋体" w:hAnsi="Arial" w:cs="Arial"/>
          <w:sz w:val="24"/>
          <w:szCs w:val="24"/>
        </w:rPr>
      </w:pPr>
    </w:p>
    <w:p w:rsidR="002A1980" w:rsidRDefault="002A1980"/>
    <w:sectPr w:rsidR="002A1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小小">
    <w15:presenceInfo w15:providerId="None" w15:userId="小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76"/>
    <w:rsid w:val="D7FB0ABD"/>
    <w:rsid w:val="E875CFFF"/>
    <w:rsid w:val="ED5F03E0"/>
    <w:rsid w:val="EE766DCF"/>
    <w:rsid w:val="F7EA24AE"/>
    <w:rsid w:val="FFA795C2"/>
    <w:rsid w:val="000075AD"/>
    <w:rsid w:val="000163C2"/>
    <w:rsid w:val="00017E1E"/>
    <w:rsid w:val="000204C7"/>
    <w:rsid w:val="00020EA1"/>
    <w:rsid w:val="0003506E"/>
    <w:rsid w:val="00037471"/>
    <w:rsid w:val="00050430"/>
    <w:rsid w:val="0006564E"/>
    <w:rsid w:val="00071109"/>
    <w:rsid w:val="00073CFB"/>
    <w:rsid w:val="00097AF3"/>
    <w:rsid w:val="000A40FE"/>
    <w:rsid w:val="000D61D0"/>
    <w:rsid w:val="000E4A2E"/>
    <w:rsid w:val="000F49B3"/>
    <w:rsid w:val="00114019"/>
    <w:rsid w:val="0014437C"/>
    <w:rsid w:val="001578E7"/>
    <w:rsid w:val="00166689"/>
    <w:rsid w:val="001A14A3"/>
    <w:rsid w:val="001C1A61"/>
    <w:rsid w:val="001D3469"/>
    <w:rsid w:val="001D49E9"/>
    <w:rsid w:val="001E1A6A"/>
    <w:rsid w:val="001F45FB"/>
    <w:rsid w:val="00217645"/>
    <w:rsid w:val="0024010C"/>
    <w:rsid w:val="00243052"/>
    <w:rsid w:val="00243910"/>
    <w:rsid w:val="00282A82"/>
    <w:rsid w:val="00286AB9"/>
    <w:rsid w:val="00292431"/>
    <w:rsid w:val="0029245D"/>
    <w:rsid w:val="002942D3"/>
    <w:rsid w:val="002A1980"/>
    <w:rsid w:val="002A2E62"/>
    <w:rsid w:val="002C11FA"/>
    <w:rsid w:val="002D4C16"/>
    <w:rsid w:val="002E0340"/>
    <w:rsid w:val="002F55DE"/>
    <w:rsid w:val="00303EF7"/>
    <w:rsid w:val="00313FBD"/>
    <w:rsid w:val="00332098"/>
    <w:rsid w:val="00360FAD"/>
    <w:rsid w:val="00376688"/>
    <w:rsid w:val="00380142"/>
    <w:rsid w:val="00381EC5"/>
    <w:rsid w:val="003B1E44"/>
    <w:rsid w:val="003B76B8"/>
    <w:rsid w:val="003C5F50"/>
    <w:rsid w:val="003D3FBD"/>
    <w:rsid w:val="003E59BA"/>
    <w:rsid w:val="003F71A2"/>
    <w:rsid w:val="0041500D"/>
    <w:rsid w:val="00420982"/>
    <w:rsid w:val="00445BC1"/>
    <w:rsid w:val="0045404C"/>
    <w:rsid w:val="00460C28"/>
    <w:rsid w:val="00461705"/>
    <w:rsid w:val="00482387"/>
    <w:rsid w:val="00485A29"/>
    <w:rsid w:val="0049220D"/>
    <w:rsid w:val="004936D2"/>
    <w:rsid w:val="00496F5F"/>
    <w:rsid w:val="004C2A45"/>
    <w:rsid w:val="004C7629"/>
    <w:rsid w:val="004E23EC"/>
    <w:rsid w:val="004E4021"/>
    <w:rsid w:val="004F4276"/>
    <w:rsid w:val="004F6B0E"/>
    <w:rsid w:val="00503551"/>
    <w:rsid w:val="00515553"/>
    <w:rsid w:val="005318C5"/>
    <w:rsid w:val="005509CF"/>
    <w:rsid w:val="00550E5D"/>
    <w:rsid w:val="00563EBB"/>
    <w:rsid w:val="005923EE"/>
    <w:rsid w:val="005C5A59"/>
    <w:rsid w:val="005F3B37"/>
    <w:rsid w:val="00612754"/>
    <w:rsid w:val="00614C8A"/>
    <w:rsid w:val="0065409A"/>
    <w:rsid w:val="0066163F"/>
    <w:rsid w:val="0067071C"/>
    <w:rsid w:val="0067480C"/>
    <w:rsid w:val="0067717E"/>
    <w:rsid w:val="006A5FA4"/>
    <w:rsid w:val="006A7837"/>
    <w:rsid w:val="006B23A6"/>
    <w:rsid w:val="006B48F3"/>
    <w:rsid w:val="006B5853"/>
    <w:rsid w:val="006B7255"/>
    <w:rsid w:val="006B7E09"/>
    <w:rsid w:val="006C1347"/>
    <w:rsid w:val="006D54EB"/>
    <w:rsid w:val="006E102D"/>
    <w:rsid w:val="006E3592"/>
    <w:rsid w:val="006E451B"/>
    <w:rsid w:val="006F0E1D"/>
    <w:rsid w:val="007009E8"/>
    <w:rsid w:val="00710EDA"/>
    <w:rsid w:val="00716FAE"/>
    <w:rsid w:val="00717537"/>
    <w:rsid w:val="00720F52"/>
    <w:rsid w:val="00730859"/>
    <w:rsid w:val="00730B1C"/>
    <w:rsid w:val="00732327"/>
    <w:rsid w:val="00742E66"/>
    <w:rsid w:val="00746B3B"/>
    <w:rsid w:val="00747D6A"/>
    <w:rsid w:val="00780448"/>
    <w:rsid w:val="007943F7"/>
    <w:rsid w:val="00795A8E"/>
    <w:rsid w:val="00797134"/>
    <w:rsid w:val="007D53DA"/>
    <w:rsid w:val="007E2B4E"/>
    <w:rsid w:val="007F07D2"/>
    <w:rsid w:val="007F1865"/>
    <w:rsid w:val="0080026D"/>
    <w:rsid w:val="00832038"/>
    <w:rsid w:val="0084440B"/>
    <w:rsid w:val="00846621"/>
    <w:rsid w:val="008863CF"/>
    <w:rsid w:val="008A3657"/>
    <w:rsid w:val="008B2574"/>
    <w:rsid w:val="008B55A6"/>
    <w:rsid w:val="008C0104"/>
    <w:rsid w:val="008C4AB8"/>
    <w:rsid w:val="008C60FC"/>
    <w:rsid w:val="008D50C4"/>
    <w:rsid w:val="008D6AE7"/>
    <w:rsid w:val="009442AD"/>
    <w:rsid w:val="00944BF9"/>
    <w:rsid w:val="009668FF"/>
    <w:rsid w:val="0096691D"/>
    <w:rsid w:val="00975F9F"/>
    <w:rsid w:val="00976EBC"/>
    <w:rsid w:val="00977B1F"/>
    <w:rsid w:val="009816E7"/>
    <w:rsid w:val="0099055F"/>
    <w:rsid w:val="009A5F46"/>
    <w:rsid w:val="009C04A8"/>
    <w:rsid w:val="009C7333"/>
    <w:rsid w:val="009D04F7"/>
    <w:rsid w:val="009D3E25"/>
    <w:rsid w:val="009E28E8"/>
    <w:rsid w:val="009F736A"/>
    <w:rsid w:val="00A06305"/>
    <w:rsid w:val="00A250FC"/>
    <w:rsid w:val="00A409D9"/>
    <w:rsid w:val="00A4237B"/>
    <w:rsid w:val="00A64FCC"/>
    <w:rsid w:val="00A67B3C"/>
    <w:rsid w:val="00A800E1"/>
    <w:rsid w:val="00A8375C"/>
    <w:rsid w:val="00AB3916"/>
    <w:rsid w:val="00AB67AC"/>
    <w:rsid w:val="00AC0CB7"/>
    <w:rsid w:val="00AC5216"/>
    <w:rsid w:val="00AD504C"/>
    <w:rsid w:val="00AF6905"/>
    <w:rsid w:val="00AF723D"/>
    <w:rsid w:val="00B06719"/>
    <w:rsid w:val="00B1265A"/>
    <w:rsid w:val="00B17D04"/>
    <w:rsid w:val="00B23D30"/>
    <w:rsid w:val="00B51AA3"/>
    <w:rsid w:val="00B53E3E"/>
    <w:rsid w:val="00B561B8"/>
    <w:rsid w:val="00B62A76"/>
    <w:rsid w:val="00B8061A"/>
    <w:rsid w:val="00B82F7E"/>
    <w:rsid w:val="00B84281"/>
    <w:rsid w:val="00B84CCB"/>
    <w:rsid w:val="00B90AE0"/>
    <w:rsid w:val="00B91C68"/>
    <w:rsid w:val="00B94DBE"/>
    <w:rsid w:val="00BA285D"/>
    <w:rsid w:val="00BB005E"/>
    <w:rsid w:val="00BB313F"/>
    <w:rsid w:val="00BD20DB"/>
    <w:rsid w:val="00BE2C2B"/>
    <w:rsid w:val="00BE46B8"/>
    <w:rsid w:val="00BF2878"/>
    <w:rsid w:val="00BF384B"/>
    <w:rsid w:val="00C0745B"/>
    <w:rsid w:val="00C14768"/>
    <w:rsid w:val="00C217FD"/>
    <w:rsid w:val="00C55402"/>
    <w:rsid w:val="00C60433"/>
    <w:rsid w:val="00C63422"/>
    <w:rsid w:val="00C82960"/>
    <w:rsid w:val="00CA3E62"/>
    <w:rsid w:val="00CA4AD4"/>
    <w:rsid w:val="00CB0FF8"/>
    <w:rsid w:val="00CB4C1B"/>
    <w:rsid w:val="00CB5C1F"/>
    <w:rsid w:val="00CE5810"/>
    <w:rsid w:val="00CF6740"/>
    <w:rsid w:val="00D24D09"/>
    <w:rsid w:val="00D33018"/>
    <w:rsid w:val="00D33E31"/>
    <w:rsid w:val="00D4228D"/>
    <w:rsid w:val="00D43B74"/>
    <w:rsid w:val="00D5209C"/>
    <w:rsid w:val="00D6021F"/>
    <w:rsid w:val="00D71D45"/>
    <w:rsid w:val="00D7459B"/>
    <w:rsid w:val="00D97434"/>
    <w:rsid w:val="00DA1D02"/>
    <w:rsid w:val="00DC3342"/>
    <w:rsid w:val="00DD4CDE"/>
    <w:rsid w:val="00DD51F5"/>
    <w:rsid w:val="00DF3F17"/>
    <w:rsid w:val="00DF6345"/>
    <w:rsid w:val="00E05866"/>
    <w:rsid w:val="00E15360"/>
    <w:rsid w:val="00E43505"/>
    <w:rsid w:val="00E63593"/>
    <w:rsid w:val="00E70F9A"/>
    <w:rsid w:val="00E906AF"/>
    <w:rsid w:val="00ED29DE"/>
    <w:rsid w:val="00ED37EA"/>
    <w:rsid w:val="00EE4AE5"/>
    <w:rsid w:val="00F146EC"/>
    <w:rsid w:val="00F25588"/>
    <w:rsid w:val="00F402EA"/>
    <w:rsid w:val="00F414F7"/>
    <w:rsid w:val="00FA59D1"/>
    <w:rsid w:val="00FB0826"/>
    <w:rsid w:val="00FB57BA"/>
    <w:rsid w:val="00FC7CF8"/>
    <w:rsid w:val="00FD1ED8"/>
    <w:rsid w:val="3FDE4171"/>
    <w:rsid w:val="5EB9483F"/>
    <w:rsid w:val="663BE7A1"/>
    <w:rsid w:val="7AFF1E8D"/>
    <w:rsid w:val="7BBFDE4D"/>
    <w:rsid w:val="7BFF9931"/>
    <w:rsid w:val="7DF1EFD8"/>
    <w:rsid w:val="7F97DEA3"/>
    <w:rsid w:val="7FEE9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2E6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42E6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42E6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42E6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42E66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2E6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42E6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42E6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42E6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42E6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F867D-23AA-44F9-BD0B-FEF70041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欧妈</dc:creator>
  <cp:lastModifiedBy>joy</cp:lastModifiedBy>
  <cp:revision>12</cp:revision>
  <cp:lastPrinted>2020-05-31T22:24:00Z</cp:lastPrinted>
  <dcterms:created xsi:type="dcterms:W3CDTF">2020-07-10T17:19:00Z</dcterms:created>
  <dcterms:modified xsi:type="dcterms:W3CDTF">2020-07-10T11:02:00Z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