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F9D" w:rsidRPr="00952078" w:rsidRDefault="00324F9D" w:rsidP="00324F9D">
      <w:pPr>
        <w:pStyle w:val="Default"/>
        <w:spacing w:line="312" w:lineRule="auto"/>
        <w:jc w:val="center"/>
        <w:rPr>
          <w:b/>
          <w:sz w:val="23"/>
          <w:szCs w:val="23"/>
        </w:rPr>
      </w:pPr>
      <w:r w:rsidRPr="00952078">
        <w:rPr>
          <w:rFonts w:hint="eastAsia"/>
          <w:b/>
          <w:sz w:val="23"/>
          <w:szCs w:val="23"/>
        </w:rPr>
        <w:t>江西同和药业股份有限公司投资者关系活动记录表</w:t>
      </w:r>
    </w:p>
    <w:p w:rsidR="00324F9D" w:rsidRPr="00952078" w:rsidRDefault="00411246" w:rsidP="00411246">
      <w:pPr>
        <w:pStyle w:val="Default"/>
        <w:spacing w:line="312" w:lineRule="auto"/>
        <w:rPr>
          <w:sz w:val="23"/>
          <w:szCs w:val="23"/>
        </w:rPr>
      </w:pPr>
      <w:r>
        <w:rPr>
          <w:rFonts w:hint="eastAsia"/>
          <w:sz w:val="23"/>
          <w:szCs w:val="23"/>
        </w:rPr>
        <w:t xml:space="preserve">   </w:t>
      </w:r>
      <w:r w:rsidR="00324F9D" w:rsidRPr="00952078">
        <w:rPr>
          <w:rFonts w:hint="eastAsia"/>
          <w:sz w:val="23"/>
          <w:szCs w:val="23"/>
        </w:rPr>
        <w:t>证券简称</w:t>
      </w:r>
      <w:r w:rsidR="00324F9D" w:rsidRPr="00952078">
        <w:rPr>
          <w:sz w:val="23"/>
          <w:szCs w:val="23"/>
        </w:rPr>
        <w:t>:</w:t>
      </w:r>
      <w:r w:rsidR="00324F9D" w:rsidRPr="00952078">
        <w:rPr>
          <w:rFonts w:hint="eastAsia"/>
          <w:sz w:val="23"/>
          <w:szCs w:val="23"/>
        </w:rPr>
        <w:t>同和药业</w:t>
      </w:r>
      <w:r>
        <w:rPr>
          <w:rFonts w:hint="eastAsia"/>
          <w:sz w:val="23"/>
          <w:szCs w:val="23"/>
        </w:rPr>
        <w:t xml:space="preserve">          </w:t>
      </w:r>
      <w:r w:rsidR="00324F9D" w:rsidRPr="00952078">
        <w:rPr>
          <w:rFonts w:hint="eastAsia"/>
          <w:sz w:val="23"/>
          <w:szCs w:val="23"/>
        </w:rPr>
        <w:t>证券代码</w:t>
      </w:r>
      <w:r w:rsidR="00324F9D" w:rsidRPr="00952078">
        <w:rPr>
          <w:sz w:val="23"/>
          <w:szCs w:val="23"/>
        </w:rPr>
        <w:t>:300</w:t>
      </w:r>
      <w:r w:rsidR="00324F9D" w:rsidRPr="00952078">
        <w:rPr>
          <w:rFonts w:hint="eastAsia"/>
          <w:sz w:val="23"/>
          <w:szCs w:val="23"/>
        </w:rPr>
        <w:t>636</w:t>
      </w:r>
      <w:r>
        <w:rPr>
          <w:rFonts w:hint="eastAsia"/>
          <w:sz w:val="23"/>
          <w:szCs w:val="23"/>
        </w:rPr>
        <w:t xml:space="preserve">          </w:t>
      </w:r>
      <w:r w:rsidR="00324F9D" w:rsidRPr="00952078">
        <w:rPr>
          <w:rFonts w:hint="eastAsia"/>
          <w:sz w:val="23"/>
          <w:szCs w:val="23"/>
        </w:rPr>
        <w:t>编号</w:t>
      </w:r>
      <w:r w:rsidR="00324F9D" w:rsidRPr="00952078">
        <w:rPr>
          <w:sz w:val="23"/>
          <w:szCs w:val="23"/>
        </w:rPr>
        <w:t>:</w:t>
      </w:r>
      <w:r w:rsidR="00FD0816">
        <w:rPr>
          <w:rFonts w:hint="eastAsia"/>
          <w:sz w:val="23"/>
          <w:szCs w:val="23"/>
        </w:rPr>
        <w:t>20</w:t>
      </w:r>
      <w:r>
        <w:rPr>
          <w:rFonts w:hint="eastAsia"/>
          <w:sz w:val="23"/>
          <w:szCs w:val="23"/>
        </w:rPr>
        <w:t>20</w:t>
      </w:r>
      <w:r w:rsidR="00D763BE">
        <w:rPr>
          <w:rFonts w:hint="eastAsia"/>
          <w:sz w:val="23"/>
          <w:szCs w:val="23"/>
        </w:rPr>
        <w:t>00</w:t>
      </w:r>
      <w:r w:rsidR="00136294">
        <w:rPr>
          <w:rFonts w:hint="eastAsia"/>
          <w:sz w:val="23"/>
          <w:szCs w:val="23"/>
        </w:rPr>
        <w:t>5</w:t>
      </w:r>
    </w:p>
    <w:tbl>
      <w:tblPr>
        <w:tblStyle w:val="a3"/>
        <w:tblW w:w="4991" w:type="pct"/>
        <w:tblInd w:w="-34" w:type="dxa"/>
        <w:tblLook w:val="04A0" w:firstRow="1" w:lastRow="0" w:firstColumn="1" w:lastColumn="0" w:noHBand="0" w:noVBand="1"/>
      </w:tblPr>
      <w:tblGrid>
        <w:gridCol w:w="2901"/>
        <w:gridCol w:w="5380"/>
      </w:tblGrid>
      <w:tr w:rsidR="00324F9D" w:rsidRPr="00952078" w:rsidTr="00324F9D">
        <w:trPr>
          <w:trHeight w:hRule="exact" w:val="2035"/>
        </w:trPr>
        <w:tc>
          <w:tcPr>
            <w:tcW w:w="2977" w:type="dxa"/>
            <w:tcBorders>
              <w:right w:val="single" w:sz="4" w:space="0" w:color="auto"/>
            </w:tcBorders>
            <w:vAlign w:val="center"/>
          </w:tcPr>
          <w:p w:rsidR="00324F9D" w:rsidRPr="00952078" w:rsidRDefault="00324F9D" w:rsidP="00AF447C">
            <w:pPr>
              <w:pStyle w:val="Default"/>
              <w:spacing w:line="312" w:lineRule="auto"/>
              <w:jc w:val="both"/>
              <w:rPr>
                <w:sz w:val="23"/>
                <w:szCs w:val="23"/>
              </w:rPr>
            </w:pPr>
            <w:r w:rsidRPr="00952078">
              <w:rPr>
                <w:rFonts w:hint="eastAsia"/>
                <w:sz w:val="23"/>
                <w:szCs w:val="23"/>
              </w:rPr>
              <w:t>投资者关系活动类型</w:t>
            </w:r>
          </w:p>
        </w:tc>
        <w:tc>
          <w:tcPr>
            <w:tcW w:w="5530" w:type="dxa"/>
            <w:tcBorders>
              <w:left w:val="single" w:sz="4" w:space="0" w:color="auto"/>
            </w:tcBorders>
            <w:vAlign w:val="center"/>
          </w:tcPr>
          <w:p w:rsidR="00324F9D" w:rsidRDefault="00324F9D" w:rsidP="00AF447C">
            <w:pPr>
              <w:pStyle w:val="Default"/>
              <w:jc w:val="both"/>
              <w:rPr>
                <w:sz w:val="23"/>
                <w:szCs w:val="23"/>
              </w:rPr>
            </w:pPr>
          </w:p>
          <w:p w:rsidR="00324F9D" w:rsidRDefault="00AA741C" w:rsidP="00AF447C">
            <w:pPr>
              <w:pStyle w:val="Default"/>
              <w:jc w:val="both"/>
              <w:rPr>
                <w:sz w:val="23"/>
                <w:szCs w:val="23"/>
              </w:rPr>
            </w:pPr>
            <w:r w:rsidRPr="00095BFD">
              <w:rPr>
                <w:rFonts w:hAnsi="宋体" w:hint="eastAsia"/>
                <w:bCs/>
                <w:iCs/>
              </w:rPr>
              <w:t>√</w:t>
            </w:r>
            <w:r w:rsidR="00324F9D" w:rsidRPr="00952078">
              <w:rPr>
                <w:rFonts w:hint="eastAsia"/>
                <w:sz w:val="23"/>
                <w:szCs w:val="23"/>
              </w:rPr>
              <w:t>特定对象调研</w:t>
            </w:r>
            <w:r w:rsidR="00324F9D">
              <w:rPr>
                <w:rFonts w:hint="eastAsia"/>
                <w:sz w:val="23"/>
                <w:szCs w:val="23"/>
              </w:rPr>
              <w:t xml:space="preserve">      </w:t>
            </w:r>
            <w:r w:rsidR="00324F9D" w:rsidRPr="00952078">
              <w:rPr>
                <w:rFonts w:hint="eastAsia"/>
                <w:sz w:val="23"/>
                <w:szCs w:val="23"/>
              </w:rPr>
              <w:t>□分析师会议</w:t>
            </w:r>
          </w:p>
          <w:p w:rsidR="00324F9D" w:rsidRDefault="00324F9D" w:rsidP="00AF447C">
            <w:pPr>
              <w:pStyle w:val="Default"/>
              <w:jc w:val="both"/>
              <w:rPr>
                <w:sz w:val="23"/>
                <w:szCs w:val="23"/>
              </w:rPr>
            </w:pPr>
            <w:r w:rsidRPr="00952078">
              <w:rPr>
                <w:rFonts w:hint="eastAsia"/>
                <w:sz w:val="23"/>
                <w:szCs w:val="23"/>
              </w:rPr>
              <w:t>□媒体采访</w:t>
            </w:r>
            <w:r>
              <w:rPr>
                <w:rFonts w:hint="eastAsia"/>
                <w:sz w:val="23"/>
                <w:szCs w:val="23"/>
              </w:rPr>
              <w:t xml:space="preserve">          </w:t>
            </w:r>
            <w:r w:rsidRPr="00952078">
              <w:rPr>
                <w:rFonts w:hint="eastAsia"/>
                <w:sz w:val="23"/>
                <w:szCs w:val="23"/>
              </w:rPr>
              <w:t>□业绩说明会</w:t>
            </w:r>
          </w:p>
          <w:p w:rsidR="00324F9D" w:rsidRDefault="00324F9D" w:rsidP="00AF447C">
            <w:pPr>
              <w:pStyle w:val="Default"/>
              <w:jc w:val="both"/>
              <w:rPr>
                <w:sz w:val="23"/>
                <w:szCs w:val="23"/>
              </w:rPr>
            </w:pPr>
            <w:r w:rsidRPr="00952078">
              <w:rPr>
                <w:rFonts w:hint="eastAsia"/>
                <w:sz w:val="23"/>
                <w:szCs w:val="23"/>
              </w:rPr>
              <w:t>□新闻发布会</w:t>
            </w:r>
            <w:r>
              <w:rPr>
                <w:rFonts w:hint="eastAsia"/>
                <w:sz w:val="23"/>
                <w:szCs w:val="23"/>
              </w:rPr>
              <w:t xml:space="preserve">        </w:t>
            </w:r>
            <w:r w:rsidRPr="00952078">
              <w:rPr>
                <w:rFonts w:hint="eastAsia"/>
                <w:sz w:val="23"/>
                <w:szCs w:val="23"/>
              </w:rPr>
              <w:t>□路演活动</w:t>
            </w:r>
          </w:p>
          <w:p w:rsidR="00324F9D" w:rsidRPr="00952078" w:rsidRDefault="00136294" w:rsidP="00AF447C">
            <w:pPr>
              <w:pStyle w:val="Default"/>
              <w:jc w:val="both"/>
              <w:rPr>
                <w:sz w:val="23"/>
                <w:szCs w:val="23"/>
              </w:rPr>
            </w:pPr>
            <w:r w:rsidRPr="00952078">
              <w:rPr>
                <w:rFonts w:hint="eastAsia"/>
                <w:sz w:val="23"/>
                <w:szCs w:val="23"/>
              </w:rPr>
              <w:t>□</w:t>
            </w:r>
            <w:r w:rsidR="00324F9D" w:rsidRPr="00952078">
              <w:rPr>
                <w:rFonts w:hint="eastAsia"/>
                <w:sz w:val="23"/>
                <w:szCs w:val="23"/>
              </w:rPr>
              <w:t>现场参观</w:t>
            </w:r>
            <w:r w:rsidR="00324F9D">
              <w:rPr>
                <w:rFonts w:hint="eastAsia"/>
                <w:sz w:val="23"/>
                <w:szCs w:val="23"/>
              </w:rPr>
              <w:t xml:space="preserve">          </w:t>
            </w:r>
            <w:r w:rsidR="00324F9D" w:rsidRPr="00952078">
              <w:rPr>
                <w:rFonts w:hint="eastAsia"/>
                <w:sz w:val="23"/>
                <w:szCs w:val="23"/>
              </w:rPr>
              <w:t>□其他</w:t>
            </w:r>
            <w:r w:rsidR="00324F9D" w:rsidRPr="00952078">
              <w:rPr>
                <w:sz w:val="23"/>
                <w:szCs w:val="23"/>
              </w:rPr>
              <w:t xml:space="preserve">( ) </w:t>
            </w:r>
          </w:p>
          <w:p w:rsidR="00324F9D" w:rsidRPr="00952078" w:rsidRDefault="00324F9D" w:rsidP="00AF447C">
            <w:pPr>
              <w:pStyle w:val="Default"/>
              <w:jc w:val="both"/>
              <w:rPr>
                <w:sz w:val="23"/>
                <w:szCs w:val="23"/>
              </w:rPr>
            </w:pPr>
          </w:p>
        </w:tc>
      </w:tr>
      <w:tr w:rsidR="00324F9D" w:rsidRPr="00952078" w:rsidTr="0095473E">
        <w:trPr>
          <w:trHeight w:hRule="exact" w:val="1978"/>
        </w:trPr>
        <w:tc>
          <w:tcPr>
            <w:tcW w:w="2977" w:type="dxa"/>
            <w:tcBorders>
              <w:right w:val="single" w:sz="4" w:space="0" w:color="auto"/>
            </w:tcBorders>
            <w:vAlign w:val="center"/>
          </w:tcPr>
          <w:p w:rsidR="00324F9D" w:rsidRPr="00952078" w:rsidRDefault="00324F9D" w:rsidP="00AF447C">
            <w:pPr>
              <w:pStyle w:val="Default"/>
              <w:jc w:val="both"/>
              <w:rPr>
                <w:sz w:val="23"/>
                <w:szCs w:val="23"/>
              </w:rPr>
            </w:pPr>
            <w:r w:rsidRPr="00F6726E">
              <w:rPr>
                <w:rFonts w:hint="eastAsia"/>
                <w:sz w:val="23"/>
                <w:szCs w:val="23"/>
              </w:rPr>
              <w:t>参与单位名称及人员姓名</w:t>
            </w:r>
          </w:p>
        </w:tc>
        <w:tc>
          <w:tcPr>
            <w:tcW w:w="5530" w:type="dxa"/>
            <w:tcBorders>
              <w:left w:val="single" w:sz="4" w:space="0" w:color="auto"/>
            </w:tcBorders>
            <w:vAlign w:val="center"/>
          </w:tcPr>
          <w:p w:rsidR="007C759D" w:rsidRDefault="007C759D" w:rsidP="007C759D">
            <w:pPr>
              <w:pStyle w:val="Default"/>
              <w:spacing w:line="312" w:lineRule="auto"/>
              <w:rPr>
                <w:sz w:val="23"/>
                <w:szCs w:val="23"/>
              </w:rPr>
            </w:pPr>
            <w:r>
              <w:rPr>
                <w:rFonts w:hint="eastAsia"/>
                <w:sz w:val="23"/>
                <w:szCs w:val="23"/>
              </w:rPr>
              <w:t>1、</w:t>
            </w:r>
            <w:proofErr w:type="gramStart"/>
            <w:r w:rsidRPr="007C759D">
              <w:rPr>
                <w:rFonts w:hint="eastAsia"/>
                <w:sz w:val="23"/>
                <w:szCs w:val="23"/>
              </w:rPr>
              <w:t>工银瑞信</w:t>
            </w:r>
            <w:proofErr w:type="gramEnd"/>
            <w:r w:rsidRPr="007C759D">
              <w:rPr>
                <w:rFonts w:hint="eastAsia"/>
                <w:sz w:val="23"/>
                <w:szCs w:val="23"/>
              </w:rPr>
              <w:t>基金管理有限公司</w:t>
            </w:r>
          </w:p>
          <w:p w:rsidR="007C759D" w:rsidRPr="007C759D" w:rsidRDefault="007C759D" w:rsidP="007C759D">
            <w:pPr>
              <w:pStyle w:val="Default"/>
              <w:spacing w:line="312" w:lineRule="auto"/>
              <w:rPr>
                <w:sz w:val="23"/>
                <w:szCs w:val="23"/>
              </w:rPr>
            </w:pPr>
            <w:r w:rsidRPr="007C759D">
              <w:rPr>
                <w:rFonts w:hint="eastAsia"/>
                <w:sz w:val="23"/>
                <w:szCs w:val="23"/>
              </w:rPr>
              <w:t>基金经理：赵蓓、</w:t>
            </w:r>
            <w:proofErr w:type="gramStart"/>
            <w:r w:rsidRPr="007C759D">
              <w:rPr>
                <w:rFonts w:hint="eastAsia"/>
                <w:sz w:val="23"/>
                <w:szCs w:val="23"/>
              </w:rPr>
              <w:t>谭</w:t>
            </w:r>
            <w:proofErr w:type="gramEnd"/>
            <w:r w:rsidRPr="007C759D">
              <w:rPr>
                <w:rFonts w:hint="eastAsia"/>
                <w:sz w:val="23"/>
                <w:szCs w:val="23"/>
              </w:rPr>
              <w:t>冬寒、王君正、胡志利、王鹏</w:t>
            </w:r>
          </w:p>
          <w:p w:rsidR="00A4633F" w:rsidRDefault="007C759D" w:rsidP="007C759D">
            <w:pPr>
              <w:pStyle w:val="Default"/>
              <w:spacing w:line="312" w:lineRule="auto"/>
              <w:jc w:val="both"/>
              <w:rPr>
                <w:sz w:val="23"/>
                <w:szCs w:val="23"/>
              </w:rPr>
            </w:pPr>
            <w:r w:rsidRPr="007C759D">
              <w:rPr>
                <w:rFonts w:hint="eastAsia"/>
                <w:sz w:val="23"/>
                <w:szCs w:val="23"/>
              </w:rPr>
              <w:t>医药研究员：李善欣、丁洋、李乾宁</w:t>
            </w:r>
          </w:p>
          <w:p w:rsidR="0095473E" w:rsidRDefault="0095473E" w:rsidP="007C759D">
            <w:pPr>
              <w:pStyle w:val="Default"/>
              <w:spacing w:line="312" w:lineRule="auto"/>
              <w:jc w:val="both"/>
              <w:rPr>
                <w:sz w:val="23"/>
                <w:szCs w:val="23"/>
              </w:rPr>
            </w:pPr>
            <w:r>
              <w:rPr>
                <w:rFonts w:hint="eastAsia"/>
                <w:sz w:val="23"/>
                <w:szCs w:val="23"/>
              </w:rPr>
              <w:t>2、</w:t>
            </w:r>
            <w:r>
              <w:rPr>
                <w:sz w:val="23"/>
                <w:szCs w:val="23"/>
              </w:rPr>
              <w:t>中泰证券</w:t>
            </w:r>
          </w:p>
          <w:p w:rsidR="0095473E" w:rsidRPr="007C759D" w:rsidRDefault="0095473E" w:rsidP="007C759D">
            <w:pPr>
              <w:pStyle w:val="Default"/>
              <w:spacing w:line="312" w:lineRule="auto"/>
              <w:jc w:val="both"/>
              <w:rPr>
                <w:sz w:val="23"/>
                <w:szCs w:val="23"/>
              </w:rPr>
            </w:pPr>
            <w:r>
              <w:rPr>
                <w:rFonts w:hint="eastAsia"/>
                <w:sz w:val="23"/>
                <w:szCs w:val="23"/>
              </w:rPr>
              <w:t>医药</w:t>
            </w:r>
            <w:r>
              <w:rPr>
                <w:sz w:val="23"/>
                <w:szCs w:val="23"/>
              </w:rPr>
              <w:t>研究员：</w:t>
            </w:r>
            <w:proofErr w:type="gramStart"/>
            <w:r>
              <w:rPr>
                <w:rFonts w:hint="eastAsia"/>
                <w:sz w:val="23"/>
                <w:szCs w:val="23"/>
              </w:rPr>
              <w:t>祝</w:t>
            </w:r>
            <w:r>
              <w:rPr>
                <w:sz w:val="23"/>
                <w:szCs w:val="23"/>
              </w:rPr>
              <w:t>嘉琦</w:t>
            </w:r>
            <w:proofErr w:type="gramEnd"/>
          </w:p>
        </w:tc>
      </w:tr>
      <w:tr w:rsidR="00324F9D" w:rsidRPr="00952078" w:rsidTr="00B65D9B">
        <w:trPr>
          <w:trHeight w:hRule="exact" w:val="1131"/>
        </w:trPr>
        <w:tc>
          <w:tcPr>
            <w:tcW w:w="2977" w:type="dxa"/>
            <w:tcBorders>
              <w:right w:val="single" w:sz="4" w:space="0" w:color="auto"/>
            </w:tcBorders>
            <w:vAlign w:val="center"/>
          </w:tcPr>
          <w:p w:rsidR="00324F9D" w:rsidRPr="00952078" w:rsidRDefault="00324F9D" w:rsidP="00AF447C">
            <w:pPr>
              <w:pStyle w:val="Default"/>
              <w:jc w:val="both"/>
              <w:rPr>
                <w:sz w:val="23"/>
                <w:szCs w:val="23"/>
              </w:rPr>
            </w:pPr>
            <w:r w:rsidRPr="00952078">
              <w:rPr>
                <w:rFonts w:hint="eastAsia"/>
                <w:sz w:val="23"/>
                <w:szCs w:val="23"/>
              </w:rPr>
              <w:t>时间</w:t>
            </w:r>
          </w:p>
        </w:tc>
        <w:tc>
          <w:tcPr>
            <w:tcW w:w="5530" w:type="dxa"/>
            <w:tcBorders>
              <w:left w:val="single" w:sz="4" w:space="0" w:color="auto"/>
            </w:tcBorders>
            <w:vAlign w:val="center"/>
          </w:tcPr>
          <w:p w:rsidR="00324F9D" w:rsidRPr="00952078" w:rsidRDefault="00AA741C" w:rsidP="0022465C">
            <w:pPr>
              <w:pStyle w:val="Default"/>
              <w:spacing w:line="312" w:lineRule="auto"/>
              <w:jc w:val="both"/>
              <w:rPr>
                <w:sz w:val="23"/>
                <w:szCs w:val="23"/>
              </w:rPr>
            </w:pPr>
            <w:r>
              <w:rPr>
                <w:rFonts w:hint="eastAsia"/>
                <w:sz w:val="23"/>
                <w:szCs w:val="23"/>
              </w:rPr>
              <w:t xml:space="preserve"> </w:t>
            </w:r>
            <w:r w:rsidR="00FD0816">
              <w:rPr>
                <w:rFonts w:hint="eastAsia"/>
                <w:sz w:val="23"/>
                <w:szCs w:val="23"/>
              </w:rPr>
              <w:t>20</w:t>
            </w:r>
            <w:r w:rsidR="003F62B2">
              <w:rPr>
                <w:rFonts w:hint="eastAsia"/>
                <w:sz w:val="23"/>
                <w:szCs w:val="23"/>
              </w:rPr>
              <w:t>20</w:t>
            </w:r>
            <w:r w:rsidR="00324F9D" w:rsidRPr="00952078">
              <w:rPr>
                <w:rFonts w:hint="eastAsia"/>
                <w:sz w:val="23"/>
                <w:szCs w:val="23"/>
              </w:rPr>
              <w:t>年</w:t>
            </w:r>
            <w:r w:rsidR="00974170">
              <w:rPr>
                <w:rFonts w:hint="eastAsia"/>
                <w:sz w:val="23"/>
                <w:szCs w:val="23"/>
              </w:rPr>
              <w:t>7</w:t>
            </w:r>
            <w:r w:rsidR="00324F9D" w:rsidRPr="00952078">
              <w:rPr>
                <w:rFonts w:hint="eastAsia"/>
                <w:sz w:val="23"/>
                <w:szCs w:val="23"/>
              </w:rPr>
              <w:t>月</w:t>
            </w:r>
            <w:r w:rsidR="0022465C">
              <w:rPr>
                <w:rFonts w:hint="eastAsia"/>
                <w:sz w:val="23"/>
                <w:szCs w:val="23"/>
              </w:rPr>
              <w:t>10</w:t>
            </w:r>
            <w:r w:rsidR="00324F9D" w:rsidRPr="00952078">
              <w:rPr>
                <w:rFonts w:hint="eastAsia"/>
                <w:sz w:val="23"/>
                <w:szCs w:val="23"/>
              </w:rPr>
              <w:t>日</w:t>
            </w:r>
          </w:p>
        </w:tc>
      </w:tr>
      <w:tr w:rsidR="00324F9D" w:rsidRPr="00952078" w:rsidTr="00B65D9B">
        <w:trPr>
          <w:trHeight w:hRule="exact" w:val="1275"/>
        </w:trPr>
        <w:tc>
          <w:tcPr>
            <w:tcW w:w="2977" w:type="dxa"/>
            <w:tcBorders>
              <w:right w:val="single" w:sz="4" w:space="0" w:color="auto"/>
            </w:tcBorders>
            <w:vAlign w:val="center"/>
          </w:tcPr>
          <w:p w:rsidR="00324F9D" w:rsidRPr="00952078" w:rsidRDefault="00324F9D" w:rsidP="00AF447C">
            <w:pPr>
              <w:pStyle w:val="Default"/>
              <w:jc w:val="both"/>
              <w:rPr>
                <w:sz w:val="23"/>
                <w:szCs w:val="23"/>
              </w:rPr>
            </w:pPr>
            <w:r w:rsidRPr="00952078">
              <w:rPr>
                <w:rFonts w:hint="eastAsia"/>
                <w:sz w:val="23"/>
                <w:szCs w:val="23"/>
              </w:rPr>
              <w:t>地点</w:t>
            </w:r>
          </w:p>
        </w:tc>
        <w:tc>
          <w:tcPr>
            <w:tcW w:w="5530" w:type="dxa"/>
            <w:tcBorders>
              <w:left w:val="single" w:sz="4" w:space="0" w:color="auto"/>
            </w:tcBorders>
            <w:vAlign w:val="center"/>
          </w:tcPr>
          <w:p w:rsidR="00324F9D" w:rsidRPr="00FD0816" w:rsidRDefault="009118DF" w:rsidP="00AF447C">
            <w:pPr>
              <w:pStyle w:val="Default"/>
              <w:spacing w:line="312" w:lineRule="auto"/>
              <w:jc w:val="both"/>
              <w:rPr>
                <w:sz w:val="23"/>
                <w:szCs w:val="23"/>
              </w:rPr>
            </w:pPr>
            <w:r>
              <w:rPr>
                <w:rFonts w:hint="eastAsia"/>
                <w:sz w:val="23"/>
                <w:szCs w:val="23"/>
              </w:rPr>
              <w:t>电话会议</w:t>
            </w:r>
            <w:r>
              <w:rPr>
                <w:sz w:val="23"/>
                <w:szCs w:val="23"/>
              </w:rPr>
              <w:t>方式</w:t>
            </w:r>
          </w:p>
        </w:tc>
      </w:tr>
      <w:tr w:rsidR="00324F9D" w:rsidRPr="00952078" w:rsidTr="00B65D9B">
        <w:trPr>
          <w:trHeight w:hRule="exact" w:val="1137"/>
        </w:trPr>
        <w:tc>
          <w:tcPr>
            <w:tcW w:w="2977" w:type="dxa"/>
            <w:tcBorders>
              <w:right w:val="single" w:sz="4" w:space="0" w:color="auto"/>
            </w:tcBorders>
            <w:vAlign w:val="center"/>
          </w:tcPr>
          <w:p w:rsidR="00324F9D" w:rsidRPr="00952078" w:rsidRDefault="00324F9D" w:rsidP="00AF447C">
            <w:pPr>
              <w:pStyle w:val="Default"/>
              <w:jc w:val="both"/>
              <w:rPr>
                <w:sz w:val="23"/>
                <w:szCs w:val="23"/>
              </w:rPr>
            </w:pPr>
            <w:r w:rsidRPr="00952078">
              <w:rPr>
                <w:rFonts w:hint="eastAsia"/>
                <w:sz w:val="23"/>
                <w:szCs w:val="23"/>
              </w:rPr>
              <w:t>公司接待人员姓名</w:t>
            </w:r>
          </w:p>
        </w:tc>
        <w:tc>
          <w:tcPr>
            <w:tcW w:w="5530" w:type="dxa"/>
            <w:tcBorders>
              <w:left w:val="single" w:sz="4" w:space="0" w:color="auto"/>
            </w:tcBorders>
            <w:vAlign w:val="center"/>
          </w:tcPr>
          <w:p w:rsidR="00324F9D" w:rsidRPr="00AF447C" w:rsidRDefault="00FD0816" w:rsidP="005701A1">
            <w:pPr>
              <w:pStyle w:val="Default"/>
              <w:tabs>
                <w:tab w:val="left" w:pos="675"/>
              </w:tabs>
              <w:spacing w:line="312" w:lineRule="auto"/>
              <w:jc w:val="both"/>
              <w:rPr>
                <w:sz w:val="23"/>
                <w:szCs w:val="23"/>
              </w:rPr>
            </w:pPr>
            <w:r w:rsidRPr="00AF447C">
              <w:rPr>
                <w:rFonts w:hint="eastAsia"/>
                <w:sz w:val="23"/>
                <w:szCs w:val="23"/>
              </w:rPr>
              <w:t>庞正伟（董事长</w:t>
            </w:r>
            <w:r w:rsidR="005B61A4">
              <w:rPr>
                <w:rFonts w:hint="eastAsia"/>
                <w:sz w:val="23"/>
                <w:szCs w:val="23"/>
              </w:rPr>
              <w:t>、总经理</w:t>
            </w:r>
            <w:r w:rsidRPr="00AF447C">
              <w:rPr>
                <w:rFonts w:hint="eastAsia"/>
                <w:sz w:val="23"/>
                <w:szCs w:val="23"/>
              </w:rPr>
              <w:t>）、周志承（</w:t>
            </w:r>
            <w:r w:rsidR="005B61A4">
              <w:rPr>
                <w:rFonts w:hint="eastAsia"/>
                <w:sz w:val="23"/>
                <w:szCs w:val="23"/>
              </w:rPr>
              <w:t>副总经理、董事会秘书</w:t>
            </w:r>
            <w:r w:rsidRPr="00AF447C">
              <w:rPr>
                <w:rFonts w:hint="eastAsia"/>
                <w:sz w:val="23"/>
                <w:szCs w:val="23"/>
              </w:rPr>
              <w:t>）、</w:t>
            </w:r>
            <w:r w:rsidR="00AF447C">
              <w:rPr>
                <w:rFonts w:hint="eastAsia"/>
                <w:sz w:val="23"/>
                <w:szCs w:val="23"/>
              </w:rPr>
              <w:t>张波(</w:t>
            </w:r>
            <w:r w:rsidR="005B61A4">
              <w:rPr>
                <w:rFonts w:hint="eastAsia"/>
                <w:sz w:val="23"/>
                <w:szCs w:val="23"/>
              </w:rPr>
              <w:t>证券事务代表</w:t>
            </w:r>
            <w:r w:rsidR="00AF447C">
              <w:rPr>
                <w:rFonts w:hint="eastAsia"/>
                <w:sz w:val="23"/>
                <w:szCs w:val="23"/>
              </w:rPr>
              <w:t>）</w:t>
            </w:r>
          </w:p>
        </w:tc>
      </w:tr>
      <w:tr w:rsidR="00324F9D" w:rsidRPr="00952078" w:rsidTr="00B65D9B">
        <w:trPr>
          <w:trHeight w:val="1672"/>
        </w:trPr>
        <w:tc>
          <w:tcPr>
            <w:tcW w:w="2977" w:type="dxa"/>
            <w:tcBorders>
              <w:right w:val="single" w:sz="4" w:space="0" w:color="auto"/>
            </w:tcBorders>
            <w:vAlign w:val="center"/>
          </w:tcPr>
          <w:p w:rsidR="00324F9D" w:rsidRPr="00952078" w:rsidRDefault="00324F9D" w:rsidP="00AF447C">
            <w:pPr>
              <w:pStyle w:val="Default"/>
              <w:jc w:val="both"/>
              <w:rPr>
                <w:sz w:val="23"/>
                <w:szCs w:val="23"/>
              </w:rPr>
            </w:pPr>
            <w:r w:rsidRPr="00952078">
              <w:rPr>
                <w:rFonts w:hint="eastAsia"/>
                <w:sz w:val="23"/>
                <w:szCs w:val="23"/>
              </w:rPr>
              <w:t>投资者关系互动／主要内容介绍</w:t>
            </w:r>
          </w:p>
        </w:tc>
        <w:tc>
          <w:tcPr>
            <w:tcW w:w="5530" w:type="dxa"/>
            <w:tcBorders>
              <w:left w:val="single" w:sz="4" w:space="0" w:color="auto"/>
            </w:tcBorders>
            <w:vAlign w:val="center"/>
          </w:tcPr>
          <w:p w:rsidR="00324F9D" w:rsidRDefault="00324F9D" w:rsidP="00AF447C">
            <w:pPr>
              <w:pStyle w:val="Default"/>
              <w:spacing w:line="312" w:lineRule="auto"/>
              <w:jc w:val="both"/>
              <w:rPr>
                <w:b/>
                <w:sz w:val="23"/>
                <w:szCs w:val="23"/>
              </w:rPr>
            </w:pPr>
          </w:p>
          <w:p w:rsidR="004D5C63" w:rsidRPr="004D5C63" w:rsidRDefault="004D5C63" w:rsidP="004D5C63">
            <w:pPr>
              <w:pStyle w:val="Default"/>
              <w:spacing w:line="312" w:lineRule="auto"/>
              <w:rPr>
                <w:b/>
                <w:sz w:val="22"/>
                <w:szCs w:val="22"/>
              </w:rPr>
            </w:pPr>
            <w:r w:rsidRPr="004D5C63">
              <w:rPr>
                <w:rFonts w:hint="eastAsia"/>
                <w:b/>
                <w:sz w:val="22"/>
                <w:szCs w:val="22"/>
              </w:rPr>
              <w:t>1、问：公司在原料药领域的发展战略、在原料药的竞争优势？</w:t>
            </w:r>
          </w:p>
          <w:p w:rsidR="004D5C63" w:rsidRPr="004D5C63" w:rsidRDefault="004D5C63" w:rsidP="004D5C63">
            <w:pPr>
              <w:pStyle w:val="Default"/>
              <w:spacing w:line="312" w:lineRule="auto"/>
              <w:rPr>
                <w:sz w:val="22"/>
                <w:szCs w:val="22"/>
              </w:rPr>
            </w:pPr>
            <w:r>
              <w:rPr>
                <w:rFonts w:hint="eastAsia"/>
                <w:sz w:val="22"/>
                <w:szCs w:val="22"/>
              </w:rPr>
              <w:t>答：</w:t>
            </w:r>
            <w:r w:rsidR="00E94436">
              <w:rPr>
                <w:rFonts w:hint="eastAsia"/>
                <w:sz w:val="22"/>
                <w:szCs w:val="22"/>
              </w:rPr>
              <w:t>公司</w:t>
            </w:r>
            <w:r w:rsidRPr="004D5C63">
              <w:rPr>
                <w:rFonts w:hint="eastAsia"/>
                <w:sz w:val="22"/>
                <w:szCs w:val="22"/>
              </w:rPr>
              <w:t>发展战略是：坚持</w:t>
            </w:r>
            <w:proofErr w:type="gramStart"/>
            <w:r w:rsidRPr="004D5C63">
              <w:rPr>
                <w:rFonts w:hint="eastAsia"/>
                <w:sz w:val="22"/>
                <w:szCs w:val="22"/>
              </w:rPr>
              <w:t>一</w:t>
            </w:r>
            <w:proofErr w:type="gramEnd"/>
            <w:r w:rsidRPr="004D5C63">
              <w:rPr>
                <w:rFonts w:hint="eastAsia"/>
                <w:sz w:val="22"/>
                <w:szCs w:val="22"/>
              </w:rPr>
              <w:t>业为主，集中精力于化学药行业，做大做强；同时努力加强品牌塑造与合同制造，纵深发展。把公司建设成产品以出口为主，兼顾国内市场，以进入主流、高端市场为主要目标，同时保证在低端市场的成本竞争力，国内一流、江西领先的化学制药企业。</w:t>
            </w:r>
          </w:p>
          <w:p w:rsidR="004D5C63" w:rsidRPr="004D5C63" w:rsidRDefault="004D5C63" w:rsidP="004D5C63">
            <w:pPr>
              <w:pStyle w:val="Default"/>
              <w:spacing w:line="312" w:lineRule="auto"/>
              <w:ind w:firstLineChars="200" w:firstLine="440"/>
              <w:rPr>
                <w:sz w:val="22"/>
                <w:szCs w:val="22"/>
              </w:rPr>
            </w:pPr>
            <w:r w:rsidRPr="004D5C63">
              <w:rPr>
                <w:rFonts w:hint="eastAsia"/>
                <w:sz w:val="22"/>
                <w:szCs w:val="22"/>
              </w:rPr>
              <w:t>公司中期战略是利用欧美日韩三大高端市场均衡的销售优势及良好的适应国际规范市场的质量管理体系和药品注册优势，深耕国际市场，加强国内市场开拓，加速新生产线的建设，迅速扩大公司经营规模。</w:t>
            </w:r>
          </w:p>
          <w:p w:rsidR="004D5C63" w:rsidRPr="004D5C63" w:rsidRDefault="004D5C63" w:rsidP="004D5C63">
            <w:pPr>
              <w:pStyle w:val="Default"/>
              <w:spacing w:line="312" w:lineRule="auto"/>
              <w:rPr>
                <w:sz w:val="22"/>
                <w:szCs w:val="22"/>
              </w:rPr>
            </w:pPr>
            <w:r w:rsidRPr="004D5C63">
              <w:rPr>
                <w:rFonts w:hint="eastAsia"/>
                <w:sz w:val="22"/>
                <w:szCs w:val="22"/>
              </w:rPr>
              <w:lastRenderedPageBreak/>
              <w:t>公司作为原料药企业的竞争优势：</w:t>
            </w:r>
          </w:p>
          <w:p w:rsidR="004D5C63" w:rsidRPr="004D5C63" w:rsidRDefault="004D5C63" w:rsidP="004D5C63">
            <w:pPr>
              <w:pStyle w:val="Default"/>
              <w:spacing w:line="312" w:lineRule="auto"/>
              <w:rPr>
                <w:sz w:val="22"/>
                <w:szCs w:val="22"/>
              </w:rPr>
            </w:pPr>
            <w:r w:rsidRPr="004D5C63">
              <w:rPr>
                <w:rFonts w:hint="eastAsia"/>
                <w:sz w:val="22"/>
                <w:szCs w:val="22"/>
              </w:rPr>
              <w:t>(1)质量管理体系得到了国际认可，产品国际注册证书多（以欧美日韩为主）、通过国际</w:t>
            </w:r>
            <w:proofErr w:type="gramStart"/>
            <w:r w:rsidRPr="004D5C63">
              <w:rPr>
                <w:rFonts w:hint="eastAsia"/>
                <w:sz w:val="22"/>
                <w:szCs w:val="22"/>
              </w:rPr>
              <w:t>国内药</w:t>
            </w:r>
            <w:proofErr w:type="gramEnd"/>
            <w:r w:rsidRPr="004D5C63">
              <w:rPr>
                <w:rFonts w:hint="eastAsia"/>
                <w:sz w:val="22"/>
                <w:szCs w:val="22"/>
              </w:rPr>
              <w:t>监部门GMP现场检查次数多。</w:t>
            </w:r>
          </w:p>
          <w:p w:rsidR="004D5C63" w:rsidRPr="004D5C63" w:rsidRDefault="004D5C63" w:rsidP="0095473E">
            <w:pPr>
              <w:pStyle w:val="Default"/>
              <w:spacing w:line="312" w:lineRule="auto"/>
              <w:ind w:firstLineChars="200" w:firstLine="440"/>
              <w:rPr>
                <w:sz w:val="22"/>
                <w:szCs w:val="22"/>
              </w:rPr>
            </w:pPr>
            <w:r w:rsidRPr="004D5C63">
              <w:rPr>
                <w:rFonts w:hint="eastAsia"/>
                <w:sz w:val="22"/>
                <w:szCs w:val="22"/>
              </w:rPr>
              <w:t>公司经过多年发展，取得的产品注册数量较多，有5个产品的CEP证书、2个产品的US-DMF批准、6个产品的KDMF注册证书、3个产品的日本注册证书、4个产品的台湾注册证书等。公司多次通过国际</w:t>
            </w:r>
            <w:proofErr w:type="gramStart"/>
            <w:r w:rsidRPr="004D5C63">
              <w:rPr>
                <w:rFonts w:hint="eastAsia"/>
                <w:sz w:val="22"/>
                <w:szCs w:val="22"/>
              </w:rPr>
              <w:t>国内药</w:t>
            </w:r>
            <w:proofErr w:type="gramEnd"/>
            <w:r w:rsidRPr="004D5C63">
              <w:rPr>
                <w:rFonts w:hint="eastAsia"/>
                <w:sz w:val="22"/>
                <w:szCs w:val="22"/>
              </w:rPr>
              <w:t>监部门的GMP现场检查，其中美国FDA4次、日本PMDA4次、EUGMP2次，</w:t>
            </w:r>
            <w:proofErr w:type="gramStart"/>
            <w:r w:rsidRPr="004D5C63">
              <w:rPr>
                <w:rFonts w:hint="eastAsia"/>
                <w:sz w:val="22"/>
                <w:szCs w:val="22"/>
              </w:rPr>
              <w:t>国内药</w:t>
            </w:r>
            <w:proofErr w:type="gramEnd"/>
            <w:r w:rsidRPr="004D5C63">
              <w:rPr>
                <w:rFonts w:hint="eastAsia"/>
                <w:sz w:val="22"/>
                <w:szCs w:val="22"/>
              </w:rPr>
              <w:t>监部门8次。</w:t>
            </w:r>
          </w:p>
          <w:p w:rsidR="004D5C63" w:rsidRPr="004D5C63" w:rsidRDefault="004D5C63" w:rsidP="004D5C63">
            <w:pPr>
              <w:pStyle w:val="Default"/>
              <w:spacing w:line="312" w:lineRule="auto"/>
              <w:rPr>
                <w:sz w:val="22"/>
                <w:szCs w:val="22"/>
              </w:rPr>
            </w:pPr>
            <w:r w:rsidRPr="004D5C63">
              <w:rPr>
                <w:rFonts w:hint="eastAsia"/>
                <w:sz w:val="22"/>
                <w:szCs w:val="22"/>
              </w:rPr>
              <w:t>（2）持续高比例研发投入，重视专利工作，产品储备充足。</w:t>
            </w:r>
          </w:p>
          <w:p w:rsidR="004D5C63" w:rsidRPr="004D5C63" w:rsidRDefault="004D5C63" w:rsidP="0095473E">
            <w:pPr>
              <w:pStyle w:val="Default"/>
              <w:spacing w:line="312" w:lineRule="auto"/>
              <w:ind w:firstLineChars="200" w:firstLine="440"/>
              <w:rPr>
                <w:sz w:val="22"/>
                <w:szCs w:val="22"/>
              </w:rPr>
            </w:pPr>
            <w:r w:rsidRPr="004D5C63">
              <w:rPr>
                <w:rFonts w:hint="eastAsia"/>
                <w:sz w:val="22"/>
                <w:szCs w:val="22"/>
              </w:rPr>
              <w:t>公司保持持续高比例研发投入。早年的研发投入占销售额的比例在6%左右，近二年的比例分别为9.49%、8.80%。公司已申请国内外发明专利26项，已获得授权18项（其中一项为欧洲专利）。公司产品储备充足，目前在产有8个品种，另有18个品种大部分已完成中试、报批，少部分处于实验室阶段。</w:t>
            </w:r>
          </w:p>
          <w:p w:rsidR="004D5C63" w:rsidRPr="004D5C63" w:rsidRDefault="004D5C63" w:rsidP="004D5C63">
            <w:pPr>
              <w:pStyle w:val="Default"/>
              <w:spacing w:line="312" w:lineRule="auto"/>
              <w:rPr>
                <w:sz w:val="22"/>
                <w:szCs w:val="22"/>
              </w:rPr>
            </w:pPr>
            <w:r w:rsidRPr="004D5C63">
              <w:rPr>
                <w:rFonts w:hint="eastAsia"/>
                <w:sz w:val="22"/>
                <w:szCs w:val="22"/>
              </w:rPr>
              <w:t>（3）具备较强的生产制造能力。</w:t>
            </w:r>
          </w:p>
          <w:p w:rsidR="004D5C63" w:rsidRPr="004D5C63" w:rsidRDefault="004D5C63" w:rsidP="0095473E">
            <w:pPr>
              <w:pStyle w:val="Default"/>
              <w:spacing w:line="312" w:lineRule="auto"/>
              <w:ind w:firstLineChars="200" w:firstLine="440"/>
              <w:rPr>
                <w:sz w:val="22"/>
                <w:szCs w:val="22"/>
              </w:rPr>
            </w:pPr>
            <w:r w:rsidRPr="004D5C63">
              <w:rPr>
                <w:rFonts w:hint="eastAsia"/>
                <w:sz w:val="22"/>
                <w:szCs w:val="22"/>
              </w:rPr>
              <w:t>同和现有合成车间11个，反应釜500多个，单个体积从50立升到20000立升，总体积300多万立升。</w:t>
            </w:r>
          </w:p>
          <w:p w:rsidR="004D5C63" w:rsidRPr="004D5C63" w:rsidRDefault="004D5C63" w:rsidP="004D5C63">
            <w:pPr>
              <w:pStyle w:val="Default"/>
              <w:spacing w:line="312" w:lineRule="auto"/>
              <w:rPr>
                <w:sz w:val="22"/>
                <w:szCs w:val="22"/>
              </w:rPr>
            </w:pPr>
            <w:r w:rsidRPr="004D5C63">
              <w:rPr>
                <w:rFonts w:hint="eastAsia"/>
                <w:sz w:val="22"/>
                <w:szCs w:val="22"/>
              </w:rPr>
              <w:t>（4）安全环保规范。</w:t>
            </w:r>
          </w:p>
          <w:p w:rsidR="004D5C63" w:rsidRPr="004D5C63" w:rsidRDefault="004D5C63" w:rsidP="0095473E">
            <w:pPr>
              <w:pStyle w:val="Default"/>
              <w:spacing w:line="312" w:lineRule="auto"/>
              <w:ind w:firstLineChars="200" w:firstLine="440"/>
              <w:rPr>
                <w:sz w:val="22"/>
                <w:szCs w:val="22"/>
              </w:rPr>
            </w:pPr>
            <w:r w:rsidRPr="004D5C63">
              <w:rPr>
                <w:rFonts w:hint="eastAsia"/>
                <w:sz w:val="22"/>
                <w:szCs w:val="22"/>
              </w:rPr>
              <w:t>公司成立以来，一直注重环保投入，环保设施占地面积超过公司已建成总面积的25%。废水废气处理能力是公司一个明显的亮点，技术达到行业一流水平，具有不需借助园区污水处理站独立达标排放的能力。环保处理设施污水处理能力1500吨/天，废气处理能力30000立方/小时。公司的三废处理设施应用了多项尖端技术创新成果，达到行业领先水平，充分实现了源头控制、分类收集分类处置、废气超净排放处理，废水深度达标处理，是江西省标杆企业，一流的环保设施为企业可持续发展奠定了坚实基础。</w:t>
            </w:r>
          </w:p>
          <w:p w:rsidR="004D5C63" w:rsidRPr="004D5C63" w:rsidRDefault="004D5C63" w:rsidP="004D5C63">
            <w:pPr>
              <w:pStyle w:val="Default"/>
              <w:spacing w:line="312" w:lineRule="auto"/>
              <w:rPr>
                <w:sz w:val="22"/>
                <w:szCs w:val="22"/>
              </w:rPr>
            </w:pPr>
            <w:r w:rsidRPr="004D5C63">
              <w:rPr>
                <w:rFonts w:hint="eastAsia"/>
                <w:sz w:val="22"/>
                <w:szCs w:val="22"/>
              </w:rPr>
              <w:t>（5）未来将兼顾国际国内市场。</w:t>
            </w:r>
          </w:p>
          <w:p w:rsidR="0084056B" w:rsidRDefault="004D5C63" w:rsidP="0095473E">
            <w:pPr>
              <w:pStyle w:val="Default"/>
              <w:spacing w:line="312" w:lineRule="auto"/>
              <w:ind w:firstLineChars="200" w:firstLine="440"/>
              <w:jc w:val="both"/>
              <w:rPr>
                <w:sz w:val="22"/>
                <w:szCs w:val="22"/>
              </w:rPr>
            </w:pPr>
            <w:r w:rsidRPr="004D5C63">
              <w:rPr>
                <w:rFonts w:hint="eastAsia"/>
                <w:sz w:val="22"/>
                <w:szCs w:val="22"/>
              </w:rPr>
              <w:t>公司是外向型医药企业，主要目标市场为全球高</w:t>
            </w:r>
            <w:r w:rsidRPr="004D5C63">
              <w:rPr>
                <w:rFonts w:hint="eastAsia"/>
                <w:sz w:val="22"/>
                <w:szCs w:val="22"/>
              </w:rPr>
              <w:lastRenderedPageBreak/>
              <w:t>端市场，包括欧美日韩等。这些市场具有药事法规健全、法规注册期限合理、需求量和价格较稳定的特征，对公司长远发展有利。随着近年国内制剂文号持有人制度和药品一致性评价制度的出台，以及对原料药GMP管理规范要求的不断升级，有利于公司这类符合国际高端市场GMP管理标准的原料药制造企业拓展内销市场。近几年，公司积极着手于开发国内市场，并已经与国内多家大中型医药企业关联申报多个制剂项目，待产品陆续获批上市后，将形成国内国外市场同步销售的良好格局。</w:t>
            </w:r>
          </w:p>
          <w:p w:rsidR="00CD1395" w:rsidRDefault="00CD1395" w:rsidP="0095473E">
            <w:pPr>
              <w:pStyle w:val="Default"/>
              <w:spacing w:line="312" w:lineRule="auto"/>
              <w:ind w:firstLineChars="200" w:firstLine="440"/>
              <w:jc w:val="both"/>
              <w:rPr>
                <w:sz w:val="22"/>
                <w:szCs w:val="22"/>
              </w:rPr>
            </w:pPr>
          </w:p>
          <w:p w:rsidR="0095473E" w:rsidRPr="005246D7" w:rsidRDefault="0095473E" w:rsidP="0095473E">
            <w:pPr>
              <w:pStyle w:val="Default"/>
              <w:spacing w:line="312" w:lineRule="auto"/>
              <w:ind w:firstLineChars="200" w:firstLine="440"/>
              <w:jc w:val="both"/>
              <w:rPr>
                <w:sz w:val="22"/>
                <w:szCs w:val="22"/>
              </w:rPr>
            </w:pPr>
            <w:r w:rsidRPr="0095473E">
              <w:rPr>
                <w:rFonts w:hint="eastAsia"/>
                <w:sz w:val="22"/>
                <w:szCs w:val="22"/>
              </w:rPr>
              <w:t>总体</w:t>
            </w:r>
            <w:r w:rsidRPr="0095473E">
              <w:rPr>
                <w:sz w:val="22"/>
                <w:szCs w:val="22"/>
              </w:rPr>
              <w:t>来说，</w:t>
            </w:r>
            <w:r w:rsidRPr="0095473E">
              <w:rPr>
                <w:rFonts w:hint="eastAsia"/>
                <w:sz w:val="22"/>
                <w:szCs w:val="22"/>
              </w:rPr>
              <w:t>同和</w:t>
            </w:r>
            <w:r w:rsidR="00CC406E">
              <w:rPr>
                <w:rFonts w:hint="eastAsia"/>
                <w:sz w:val="22"/>
                <w:szCs w:val="22"/>
              </w:rPr>
              <w:t>在多年</w:t>
            </w:r>
            <w:r w:rsidR="00CC406E">
              <w:rPr>
                <w:sz w:val="22"/>
                <w:szCs w:val="22"/>
              </w:rPr>
              <w:t>的</w:t>
            </w:r>
            <w:r w:rsidR="00CC406E">
              <w:rPr>
                <w:rFonts w:hint="eastAsia"/>
                <w:sz w:val="22"/>
                <w:szCs w:val="22"/>
              </w:rPr>
              <w:t>发</w:t>
            </w:r>
            <w:r w:rsidR="00CC406E">
              <w:rPr>
                <w:sz w:val="22"/>
                <w:szCs w:val="22"/>
              </w:rPr>
              <w:t>展中</w:t>
            </w:r>
            <w:r w:rsidR="00CC406E">
              <w:rPr>
                <w:rFonts w:hint="eastAsia"/>
                <w:sz w:val="22"/>
                <w:szCs w:val="22"/>
              </w:rPr>
              <w:t>形成</w:t>
            </w:r>
            <w:r w:rsidR="00CC406E">
              <w:rPr>
                <w:sz w:val="22"/>
                <w:szCs w:val="22"/>
              </w:rPr>
              <w:t>了自己</w:t>
            </w:r>
            <w:r w:rsidRPr="0095473E">
              <w:rPr>
                <w:rFonts w:hint="eastAsia"/>
                <w:sz w:val="22"/>
                <w:szCs w:val="22"/>
              </w:rPr>
              <w:t>的特点：高端市场销售为主，欧美日</w:t>
            </w:r>
            <w:proofErr w:type="gramStart"/>
            <w:r w:rsidRPr="0095473E">
              <w:rPr>
                <w:rFonts w:hint="eastAsia"/>
                <w:sz w:val="22"/>
                <w:szCs w:val="22"/>
              </w:rPr>
              <w:t>韩销售</w:t>
            </w:r>
            <w:proofErr w:type="gramEnd"/>
            <w:r w:rsidRPr="0095473E">
              <w:rPr>
                <w:rFonts w:hint="eastAsia"/>
                <w:sz w:val="22"/>
                <w:szCs w:val="22"/>
              </w:rPr>
              <w:t>均衡，管理、研发、销售、装备、环保</w:t>
            </w:r>
            <w:r w:rsidR="005E4BA6">
              <w:rPr>
                <w:rFonts w:hint="eastAsia"/>
                <w:sz w:val="22"/>
                <w:szCs w:val="22"/>
              </w:rPr>
              <w:t>等核心环节没有明显短板。</w:t>
            </w:r>
            <w:r w:rsidRPr="0095473E">
              <w:rPr>
                <w:rFonts w:hint="eastAsia"/>
                <w:sz w:val="22"/>
                <w:szCs w:val="22"/>
              </w:rPr>
              <w:t>细节决定成败，综合性的核心竞争力别人无法模仿。虽然</w:t>
            </w:r>
            <w:r w:rsidRPr="0095473E">
              <w:rPr>
                <w:sz w:val="22"/>
                <w:szCs w:val="22"/>
              </w:rPr>
              <w:t>目前公司规模与销售规模尚小，</w:t>
            </w:r>
            <w:r w:rsidRPr="0095473E">
              <w:rPr>
                <w:rFonts w:hint="eastAsia"/>
                <w:sz w:val="22"/>
                <w:szCs w:val="22"/>
              </w:rPr>
              <w:t>内销比例较低，这两方面在未来几年会迅速改变。</w:t>
            </w:r>
          </w:p>
          <w:p w:rsidR="00C52A93" w:rsidRPr="00C03BF4" w:rsidRDefault="00C52A93" w:rsidP="008C69E8">
            <w:pPr>
              <w:pStyle w:val="Default"/>
              <w:spacing w:line="312" w:lineRule="auto"/>
              <w:rPr>
                <w:sz w:val="22"/>
                <w:szCs w:val="22"/>
              </w:rPr>
            </w:pPr>
          </w:p>
          <w:p w:rsidR="0084056B" w:rsidRPr="00DC353D" w:rsidRDefault="00C04ED8" w:rsidP="00AF447C">
            <w:pPr>
              <w:pStyle w:val="Default"/>
              <w:spacing w:line="312" w:lineRule="auto"/>
              <w:jc w:val="both"/>
              <w:rPr>
                <w:b/>
                <w:sz w:val="22"/>
                <w:szCs w:val="22"/>
              </w:rPr>
            </w:pPr>
            <w:r>
              <w:rPr>
                <w:rFonts w:hint="eastAsia"/>
                <w:b/>
                <w:sz w:val="22"/>
                <w:szCs w:val="22"/>
              </w:rPr>
              <w:t>2</w:t>
            </w:r>
            <w:r w:rsidR="00545EEC" w:rsidRPr="009819B5">
              <w:rPr>
                <w:rFonts w:hint="eastAsia"/>
                <w:b/>
                <w:sz w:val="22"/>
                <w:szCs w:val="22"/>
              </w:rPr>
              <w:t>、问：</w:t>
            </w:r>
            <w:r w:rsidR="00084C88" w:rsidRPr="00084C88">
              <w:rPr>
                <w:rFonts w:asciiTheme="minorEastAsia" w:hAnsiTheme="minorEastAsia" w:hint="eastAsia"/>
                <w:b/>
                <w:sz w:val="22"/>
                <w:szCs w:val="22"/>
              </w:rPr>
              <w:t>公司</w:t>
            </w:r>
            <w:r w:rsidR="004D5C63" w:rsidRPr="004D5C63">
              <w:rPr>
                <w:rFonts w:hint="eastAsia"/>
                <w:b/>
                <w:sz w:val="22"/>
                <w:szCs w:val="22"/>
              </w:rPr>
              <w:t>现有的6个主要品种（瑞巴派特、加巴喷丁、塞</w:t>
            </w:r>
            <w:proofErr w:type="gramStart"/>
            <w:r w:rsidR="004D5C63" w:rsidRPr="004D5C63">
              <w:rPr>
                <w:rFonts w:hint="eastAsia"/>
                <w:b/>
                <w:sz w:val="22"/>
                <w:szCs w:val="22"/>
              </w:rPr>
              <w:t>来昔布</w:t>
            </w:r>
            <w:proofErr w:type="gramEnd"/>
            <w:r w:rsidR="004D5C63" w:rsidRPr="004D5C63">
              <w:rPr>
                <w:rFonts w:hint="eastAsia"/>
                <w:b/>
                <w:sz w:val="22"/>
                <w:szCs w:val="22"/>
              </w:rPr>
              <w:t>、坎</w:t>
            </w:r>
            <w:proofErr w:type="gramStart"/>
            <w:r w:rsidR="004D5C63" w:rsidRPr="004D5C63">
              <w:rPr>
                <w:rFonts w:hint="eastAsia"/>
                <w:b/>
                <w:sz w:val="22"/>
                <w:szCs w:val="22"/>
              </w:rPr>
              <w:t>地沙坦、醋氯</w:t>
            </w:r>
            <w:proofErr w:type="gramEnd"/>
            <w:r w:rsidR="004D5C63" w:rsidRPr="004D5C63">
              <w:rPr>
                <w:rFonts w:hint="eastAsia"/>
                <w:b/>
                <w:sz w:val="22"/>
                <w:szCs w:val="22"/>
              </w:rPr>
              <w:t>芬酸、文拉法辛），从成长空间的角度，哪些产品还有比较大的成长性？我们公司</w:t>
            </w:r>
            <w:proofErr w:type="gramStart"/>
            <w:r w:rsidR="004D5C63" w:rsidRPr="004D5C63">
              <w:rPr>
                <w:rFonts w:hint="eastAsia"/>
                <w:b/>
                <w:sz w:val="22"/>
                <w:szCs w:val="22"/>
              </w:rPr>
              <w:t>一</w:t>
            </w:r>
            <w:proofErr w:type="gramEnd"/>
            <w:r w:rsidR="004D5C63" w:rsidRPr="004D5C63">
              <w:rPr>
                <w:rFonts w:hint="eastAsia"/>
                <w:b/>
                <w:sz w:val="22"/>
                <w:szCs w:val="22"/>
              </w:rPr>
              <w:t>厂区产能的规划进度？什么时候达到产值峰值？</w:t>
            </w:r>
          </w:p>
          <w:p w:rsidR="004D5C63" w:rsidRPr="004D5C63" w:rsidRDefault="00545EEC" w:rsidP="004D5C63">
            <w:pPr>
              <w:pStyle w:val="Default"/>
              <w:spacing w:line="312" w:lineRule="auto"/>
              <w:rPr>
                <w:sz w:val="22"/>
                <w:szCs w:val="22"/>
              </w:rPr>
            </w:pPr>
            <w:r w:rsidRPr="009819B5">
              <w:rPr>
                <w:rFonts w:hint="eastAsia"/>
                <w:sz w:val="22"/>
                <w:szCs w:val="22"/>
              </w:rPr>
              <w:t>答：</w:t>
            </w:r>
            <w:r w:rsidR="004D5C63" w:rsidRPr="004D5C63">
              <w:rPr>
                <w:rFonts w:hint="eastAsia"/>
                <w:sz w:val="22"/>
                <w:szCs w:val="22"/>
              </w:rPr>
              <w:t>瑞巴派特、加巴喷丁、塞</w:t>
            </w:r>
            <w:proofErr w:type="gramStart"/>
            <w:r w:rsidR="004D5C63" w:rsidRPr="004D5C63">
              <w:rPr>
                <w:rFonts w:hint="eastAsia"/>
                <w:sz w:val="22"/>
                <w:szCs w:val="22"/>
              </w:rPr>
              <w:t>来昔布现在</w:t>
            </w:r>
            <w:proofErr w:type="gramEnd"/>
            <w:r w:rsidR="004D5C63" w:rsidRPr="004D5C63">
              <w:rPr>
                <w:rFonts w:hint="eastAsia"/>
                <w:sz w:val="22"/>
                <w:szCs w:val="22"/>
              </w:rPr>
              <w:t>以海外销售为主，国内注册正在进行中，内销还有较大发展空间。外销方面：塞</w:t>
            </w:r>
            <w:proofErr w:type="gramStart"/>
            <w:r w:rsidR="004D5C63" w:rsidRPr="004D5C63">
              <w:rPr>
                <w:rFonts w:hint="eastAsia"/>
                <w:sz w:val="22"/>
                <w:szCs w:val="22"/>
              </w:rPr>
              <w:t>来昔布</w:t>
            </w:r>
            <w:proofErr w:type="gramEnd"/>
            <w:r w:rsidR="004D5C63" w:rsidRPr="004D5C63">
              <w:rPr>
                <w:rFonts w:hint="eastAsia"/>
                <w:sz w:val="22"/>
                <w:szCs w:val="22"/>
              </w:rPr>
              <w:t>韩国注册去年获批，日本注册今年获批，</w:t>
            </w:r>
            <w:r w:rsidR="004D5C63" w:rsidRPr="005E4BA6">
              <w:rPr>
                <w:rFonts w:hint="eastAsia"/>
                <w:sz w:val="22"/>
                <w:szCs w:val="22"/>
              </w:rPr>
              <w:t>在巴西的注册已完成；</w:t>
            </w:r>
            <w:proofErr w:type="gramStart"/>
            <w:r w:rsidR="004D5C63" w:rsidRPr="005E4BA6">
              <w:rPr>
                <w:rFonts w:hint="eastAsia"/>
                <w:sz w:val="22"/>
                <w:szCs w:val="22"/>
              </w:rPr>
              <w:t>加巴喷丁在</w:t>
            </w:r>
            <w:proofErr w:type="gramEnd"/>
            <w:r w:rsidR="004D5C63" w:rsidRPr="005E4BA6">
              <w:rPr>
                <w:rFonts w:hint="eastAsia"/>
                <w:sz w:val="22"/>
                <w:szCs w:val="22"/>
              </w:rPr>
              <w:t>巴西的注册已接近完成；</w:t>
            </w:r>
            <w:r w:rsidR="004D5C63" w:rsidRPr="004D5C63">
              <w:rPr>
                <w:rFonts w:hint="eastAsia"/>
                <w:sz w:val="22"/>
                <w:szCs w:val="22"/>
              </w:rPr>
              <w:t>坎</w:t>
            </w:r>
            <w:proofErr w:type="gramStart"/>
            <w:r w:rsidR="004D5C63" w:rsidRPr="004D5C63">
              <w:rPr>
                <w:rFonts w:hint="eastAsia"/>
                <w:sz w:val="22"/>
                <w:szCs w:val="22"/>
              </w:rPr>
              <w:t>地沙坦海外</w:t>
            </w:r>
            <w:proofErr w:type="gramEnd"/>
            <w:r w:rsidR="004D5C63" w:rsidRPr="004D5C63">
              <w:rPr>
                <w:rFonts w:hint="eastAsia"/>
                <w:sz w:val="22"/>
                <w:szCs w:val="22"/>
              </w:rPr>
              <w:t>销售从去年开始增长较快；</w:t>
            </w:r>
            <w:proofErr w:type="gramStart"/>
            <w:r w:rsidR="004D5C63" w:rsidRPr="004D5C63">
              <w:rPr>
                <w:rFonts w:hint="eastAsia"/>
                <w:sz w:val="22"/>
                <w:szCs w:val="22"/>
              </w:rPr>
              <w:t>醋氯芬</w:t>
            </w:r>
            <w:proofErr w:type="gramEnd"/>
            <w:r w:rsidR="004D5C63" w:rsidRPr="004D5C63">
              <w:rPr>
                <w:rFonts w:hint="eastAsia"/>
                <w:sz w:val="22"/>
                <w:szCs w:val="22"/>
              </w:rPr>
              <w:t>酸以销售高端地区为主，未来增长空间不大；文拉法辛还未完成变更报审工作，近年没有大批量销售。六个品种比较，塞</w:t>
            </w:r>
            <w:proofErr w:type="gramStart"/>
            <w:r w:rsidR="004D5C63" w:rsidRPr="004D5C63">
              <w:rPr>
                <w:rFonts w:hint="eastAsia"/>
                <w:sz w:val="22"/>
                <w:szCs w:val="22"/>
              </w:rPr>
              <w:t>来昔布</w:t>
            </w:r>
            <w:proofErr w:type="gramEnd"/>
            <w:r w:rsidR="004D5C63" w:rsidRPr="004D5C63">
              <w:rPr>
                <w:rFonts w:hint="eastAsia"/>
                <w:sz w:val="22"/>
                <w:szCs w:val="22"/>
              </w:rPr>
              <w:t>与加巴</w:t>
            </w:r>
            <w:proofErr w:type="gramStart"/>
            <w:r w:rsidR="004D5C63" w:rsidRPr="004D5C63">
              <w:rPr>
                <w:rFonts w:hint="eastAsia"/>
                <w:sz w:val="22"/>
                <w:szCs w:val="22"/>
              </w:rPr>
              <w:t>喷丁</w:t>
            </w:r>
            <w:r w:rsidR="0095473E">
              <w:rPr>
                <w:rFonts w:hint="eastAsia"/>
                <w:sz w:val="22"/>
                <w:szCs w:val="22"/>
              </w:rPr>
              <w:t>未来</w:t>
            </w:r>
            <w:proofErr w:type="gramEnd"/>
            <w:r w:rsidR="004D5C63" w:rsidRPr="004D5C63">
              <w:rPr>
                <w:rFonts w:hint="eastAsia"/>
                <w:sz w:val="22"/>
                <w:szCs w:val="22"/>
              </w:rPr>
              <w:t>的成长空间大一些。</w:t>
            </w:r>
          </w:p>
          <w:p w:rsidR="004D5C63" w:rsidRPr="004D5C63" w:rsidRDefault="004D5C63" w:rsidP="004D5C63">
            <w:pPr>
              <w:pStyle w:val="Default"/>
              <w:spacing w:line="312" w:lineRule="auto"/>
              <w:ind w:firstLineChars="200" w:firstLine="440"/>
              <w:rPr>
                <w:sz w:val="22"/>
                <w:szCs w:val="22"/>
              </w:rPr>
            </w:pPr>
            <w:proofErr w:type="gramStart"/>
            <w:r w:rsidRPr="004D5C63">
              <w:rPr>
                <w:rFonts w:hint="eastAsia"/>
                <w:sz w:val="22"/>
                <w:szCs w:val="22"/>
              </w:rPr>
              <w:t>一</w:t>
            </w:r>
            <w:proofErr w:type="gramEnd"/>
            <w:r w:rsidRPr="004D5C63">
              <w:rPr>
                <w:rFonts w:hint="eastAsia"/>
                <w:sz w:val="22"/>
                <w:szCs w:val="22"/>
              </w:rPr>
              <w:t>厂区产能的规划进度：目前</w:t>
            </w:r>
            <w:proofErr w:type="gramStart"/>
            <w:r w:rsidRPr="004D5C63">
              <w:rPr>
                <w:rFonts w:hint="eastAsia"/>
                <w:sz w:val="22"/>
                <w:szCs w:val="22"/>
              </w:rPr>
              <w:t>一</w:t>
            </w:r>
            <w:proofErr w:type="gramEnd"/>
            <w:r w:rsidRPr="004D5C63">
              <w:rPr>
                <w:rFonts w:hint="eastAsia"/>
                <w:sz w:val="22"/>
                <w:szCs w:val="22"/>
              </w:rPr>
              <w:t>厂区有11个原料药车间在生产，还有一个车间在改建，即将投入生产。2020年5月30日，公司第二届董事会第十五次会</w:t>
            </w:r>
            <w:r w:rsidRPr="004D5C63">
              <w:rPr>
                <w:rFonts w:hint="eastAsia"/>
                <w:sz w:val="22"/>
                <w:szCs w:val="22"/>
              </w:rPr>
              <w:lastRenderedPageBreak/>
              <w:t>议通过了《关于调整原&lt;一厂区溶剂罐区、公用工程及部分车间技术改造项目&gt;项目名称及部分项目内容的议案》，根据公司目前经营情况，对一厂区部分老产品产能进行调整，并将部分已完成中试的新产品投入规模化生产，因此，同意对部分项目内容进行调整，项目名称变更为《一厂区溶剂罐区、公用工程及部分车间新、改、扩项目》，项目投资额和实施时间不变。</w:t>
            </w:r>
          </w:p>
          <w:p w:rsidR="0084056B" w:rsidRPr="009819B5" w:rsidRDefault="004D5C63" w:rsidP="004D5C63">
            <w:pPr>
              <w:pStyle w:val="Default"/>
              <w:spacing w:line="312" w:lineRule="auto"/>
              <w:ind w:firstLineChars="200" w:firstLine="440"/>
              <w:jc w:val="both"/>
              <w:rPr>
                <w:sz w:val="22"/>
                <w:szCs w:val="22"/>
              </w:rPr>
            </w:pPr>
            <w:proofErr w:type="gramStart"/>
            <w:r w:rsidRPr="004D5C63">
              <w:rPr>
                <w:rFonts w:hint="eastAsia"/>
                <w:sz w:val="22"/>
                <w:szCs w:val="22"/>
              </w:rPr>
              <w:t>一</w:t>
            </w:r>
            <w:proofErr w:type="gramEnd"/>
            <w:r w:rsidRPr="004D5C63">
              <w:rPr>
                <w:rFonts w:hint="eastAsia"/>
                <w:sz w:val="22"/>
                <w:szCs w:val="22"/>
              </w:rPr>
              <w:t>厂区满负荷生产预计可形成7-8亿的销售收入，预计产值峰值在2021-2022年。</w:t>
            </w:r>
          </w:p>
          <w:p w:rsidR="00E41D05" w:rsidRPr="009819B5" w:rsidRDefault="00E41D05" w:rsidP="00AF447C">
            <w:pPr>
              <w:pStyle w:val="Default"/>
              <w:spacing w:line="312" w:lineRule="auto"/>
              <w:jc w:val="both"/>
              <w:rPr>
                <w:b/>
                <w:sz w:val="22"/>
                <w:szCs w:val="22"/>
              </w:rPr>
            </w:pPr>
          </w:p>
          <w:p w:rsidR="00A51B1F" w:rsidRPr="00A51B1F" w:rsidRDefault="000805C9" w:rsidP="00A51B1F">
            <w:pPr>
              <w:pStyle w:val="Default"/>
              <w:spacing w:line="312" w:lineRule="auto"/>
              <w:rPr>
                <w:b/>
                <w:sz w:val="22"/>
                <w:szCs w:val="22"/>
              </w:rPr>
            </w:pPr>
            <w:r>
              <w:rPr>
                <w:rFonts w:hint="eastAsia"/>
                <w:b/>
                <w:sz w:val="22"/>
                <w:szCs w:val="22"/>
              </w:rPr>
              <w:t>3</w:t>
            </w:r>
            <w:r w:rsidR="00545EEC" w:rsidRPr="009819B5">
              <w:rPr>
                <w:rFonts w:hint="eastAsia"/>
                <w:b/>
                <w:sz w:val="22"/>
                <w:szCs w:val="22"/>
              </w:rPr>
              <w:t>、问：</w:t>
            </w:r>
            <w:r w:rsidR="004D5C63" w:rsidRPr="004D5C63">
              <w:rPr>
                <w:rFonts w:hint="eastAsia"/>
                <w:b/>
                <w:sz w:val="22"/>
                <w:szCs w:val="22"/>
              </w:rPr>
              <w:t>公司原料药主要在规范市场销售，规范市场的销售比例？通常规范市场的毛利率是多少？非规范市场的毛利率大概多少？</w:t>
            </w:r>
            <w:r w:rsidR="00A51B1F" w:rsidRPr="00A51B1F">
              <w:rPr>
                <w:rFonts w:hint="eastAsia"/>
                <w:b/>
                <w:sz w:val="22"/>
                <w:szCs w:val="22"/>
              </w:rPr>
              <w:t>为什么1</w:t>
            </w:r>
            <w:r w:rsidR="00A51B1F" w:rsidRPr="00A51B1F">
              <w:rPr>
                <w:b/>
                <w:sz w:val="22"/>
                <w:szCs w:val="22"/>
              </w:rPr>
              <w:t>8</w:t>
            </w:r>
            <w:r w:rsidR="00A51B1F" w:rsidRPr="00A51B1F">
              <w:rPr>
                <w:rFonts w:hint="eastAsia"/>
                <w:b/>
                <w:sz w:val="22"/>
                <w:szCs w:val="22"/>
              </w:rPr>
              <w:t>-</w:t>
            </w:r>
            <w:r w:rsidR="00A51B1F" w:rsidRPr="00A51B1F">
              <w:rPr>
                <w:b/>
                <w:sz w:val="22"/>
                <w:szCs w:val="22"/>
              </w:rPr>
              <w:t>19</w:t>
            </w:r>
            <w:r w:rsidR="00A51B1F" w:rsidRPr="00A51B1F">
              <w:rPr>
                <w:rFonts w:hint="eastAsia"/>
                <w:b/>
                <w:sz w:val="22"/>
                <w:szCs w:val="22"/>
              </w:rPr>
              <w:t>年从过去几年的3</w:t>
            </w:r>
            <w:r w:rsidR="00A51B1F" w:rsidRPr="00A51B1F">
              <w:rPr>
                <w:b/>
                <w:sz w:val="22"/>
                <w:szCs w:val="22"/>
              </w:rPr>
              <w:t>6</w:t>
            </w:r>
            <w:r w:rsidR="00A51B1F" w:rsidRPr="00A51B1F">
              <w:rPr>
                <w:rFonts w:hint="eastAsia"/>
                <w:b/>
                <w:sz w:val="22"/>
                <w:szCs w:val="22"/>
              </w:rPr>
              <w:t>-4</w:t>
            </w:r>
            <w:r w:rsidR="00A51B1F" w:rsidRPr="00A51B1F">
              <w:rPr>
                <w:b/>
                <w:sz w:val="22"/>
                <w:szCs w:val="22"/>
              </w:rPr>
              <w:t>0</w:t>
            </w:r>
            <w:r w:rsidR="00A51B1F" w:rsidRPr="00A51B1F">
              <w:rPr>
                <w:rFonts w:hint="eastAsia"/>
                <w:b/>
                <w:sz w:val="22"/>
                <w:szCs w:val="22"/>
              </w:rPr>
              <w:t>%左右下降到3</w:t>
            </w:r>
            <w:r w:rsidR="00A51B1F" w:rsidRPr="00A51B1F">
              <w:rPr>
                <w:b/>
                <w:sz w:val="22"/>
                <w:szCs w:val="22"/>
              </w:rPr>
              <w:t>0</w:t>
            </w:r>
            <w:r w:rsidR="00A51B1F" w:rsidRPr="00A51B1F">
              <w:rPr>
                <w:rFonts w:hint="eastAsia"/>
                <w:b/>
                <w:sz w:val="22"/>
                <w:szCs w:val="22"/>
              </w:rPr>
              <w:t>%左右呢？是加巴</w:t>
            </w:r>
            <w:proofErr w:type="gramStart"/>
            <w:r w:rsidR="00A51B1F" w:rsidRPr="00A51B1F">
              <w:rPr>
                <w:rFonts w:hint="eastAsia"/>
                <w:b/>
                <w:sz w:val="22"/>
                <w:szCs w:val="22"/>
              </w:rPr>
              <w:t>喷丁这个</w:t>
            </w:r>
            <w:proofErr w:type="gramEnd"/>
            <w:r w:rsidR="00A51B1F" w:rsidRPr="00A51B1F">
              <w:rPr>
                <w:rFonts w:hint="eastAsia"/>
                <w:b/>
                <w:sz w:val="22"/>
                <w:szCs w:val="22"/>
              </w:rPr>
              <w:t>产品的中间体成本上升的问题吗？</w:t>
            </w:r>
            <w:proofErr w:type="gramStart"/>
            <w:r w:rsidR="00A51B1F" w:rsidRPr="00A51B1F">
              <w:rPr>
                <w:rFonts w:hint="eastAsia"/>
                <w:b/>
                <w:sz w:val="22"/>
                <w:szCs w:val="22"/>
              </w:rPr>
              <w:t>加巴喷丁的</w:t>
            </w:r>
            <w:proofErr w:type="gramEnd"/>
            <w:r w:rsidR="00A51B1F" w:rsidRPr="00A51B1F">
              <w:rPr>
                <w:rFonts w:hint="eastAsia"/>
                <w:b/>
                <w:sz w:val="22"/>
                <w:szCs w:val="22"/>
              </w:rPr>
              <w:t>毛利率大概是多少？有提升趋势吗？未来公司整体毛利率有提升的可能吗？预计稳态状况下，毛利率能提升到多少？</w:t>
            </w:r>
          </w:p>
          <w:p w:rsidR="0084056B" w:rsidRPr="00A51B1F" w:rsidRDefault="0084056B" w:rsidP="00AF447C">
            <w:pPr>
              <w:pStyle w:val="Default"/>
              <w:spacing w:line="312" w:lineRule="auto"/>
              <w:jc w:val="both"/>
              <w:rPr>
                <w:b/>
                <w:sz w:val="22"/>
                <w:szCs w:val="22"/>
              </w:rPr>
            </w:pPr>
          </w:p>
          <w:p w:rsidR="0084056B" w:rsidRPr="000627C1" w:rsidRDefault="00545EEC" w:rsidP="00762B53">
            <w:pPr>
              <w:pStyle w:val="Default"/>
              <w:spacing w:line="312" w:lineRule="auto"/>
              <w:rPr>
                <w:sz w:val="22"/>
                <w:szCs w:val="22"/>
              </w:rPr>
            </w:pPr>
            <w:r w:rsidRPr="009819B5">
              <w:rPr>
                <w:rFonts w:hint="eastAsia"/>
                <w:sz w:val="22"/>
                <w:szCs w:val="22"/>
              </w:rPr>
              <w:t>答：</w:t>
            </w:r>
            <w:r w:rsidR="004D5C63" w:rsidRPr="004D5C63">
              <w:rPr>
                <w:rFonts w:hint="eastAsia"/>
                <w:sz w:val="22"/>
                <w:szCs w:val="22"/>
              </w:rPr>
              <w:t>公司长期重点推动欧盟、北美、日本及韩国等国外规范市场的拓展， 2019年度公司来自欧盟、北美、日本及韩国等主要规范市场的销售收入占主营业务收入的</w:t>
            </w:r>
            <w:r w:rsidR="0095473E">
              <w:rPr>
                <w:rFonts w:hint="eastAsia"/>
                <w:sz w:val="22"/>
                <w:szCs w:val="22"/>
              </w:rPr>
              <w:t>60</w:t>
            </w:r>
            <w:r w:rsidR="004D5C63" w:rsidRPr="004D5C63">
              <w:rPr>
                <w:rFonts w:hint="eastAsia"/>
                <w:sz w:val="22"/>
                <w:szCs w:val="22"/>
              </w:rPr>
              <w:t>%</w:t>
            </w:r>
            <w:r w:rsidR="0095473E">
              <w:rPr>
                <w:rFonts w:hint="eastAsia"/>
                <w:sz w:val="22"/>
                <w:szCs w:val="22"/>
              </w:rPr>
              <w:t>以上</w:t>
            </w:r>
            <w:r w:rsidR="004D5C63" w:rsidRPr="004D5C63">
              <w:rPr>
                <w:rFonts w:hint="eastAsia"/>
                <w:sz w:val="22"/>
                <w:szCs w:val="22"/>
              </w:rPr>
              <w:t>，毛利率近40%。</w:t>
            </w:r>
            <w:r w:rsidR="004D5C63" w:rsidRPr="00E708E5">
              <w:rPr>
                <w:rFonts w:hint="eastAsia"/>
                <w:sz w:val="22"/>
                <w:szCs w:val="22"/>
              </w:rPr>
              <w:t>2019年度公司非规范市场的毛利率不到20%。</w:t>
            </w:r>
            <w:r w:rsidR="004D5C63" w:rsidRPr="004D5C63">
              <w:rPr>
                <w:rFonts w:hint="eastAsia"/>
                <w:sz w:val="22"/>
                <w:szCs w:val="22"/>
              </w:rPr>
              <w:t>除规范市场销售外，公司也积极开拓如南美、非洲以及亚欧其他市场，与众多新兴市场客户保持密切的互访与多种渠道联系。</w:t>
            </w:r>
          </w:p>
          <w:p w:rsidR="00A51B1F" w:rsidRPr="00A51B1F" w:rsidRDefault="00A51B1F" w:rsidP="00A51B1F">
            <w:pPr>
              <w:pStyle w:val="Default"/>
              <w:spacing w:line="312" w:lineRule="auto"/>
              <w:jc w:val="both"/>
              <w:rPr>
                <w:sz w:val="22"/>
                <w:szCs w:val="22"/>
              </w:rPr>
            </w:pPr>
            <w:r w:rsidRPr="00A51B1F">
              <w:rPr>
                <w:rFonts w:hint="eastAsia"/>
                <w:sz w:val="22"/>
                <w:szCs w:val="22"/>
              </w:rPr>
              <w:t>公司各年度</w:t>
            </w:r>
            <w:r w:rsidRPr="00A51B1F">
              <w:rPr>
                <w:sz w:val="22"/>
                <w:szCs w:val="22"/>
              </w:rPr>
              <w:t>扣除</w:t>
            </w:r>
            <w:proofErr w:type="gramStart"/>
            <w:r w:rsidRPr="00A51B1F">
              <w:rPr>
                <w:sz w:val="22"/>
                <w:szCs w:val="22"/>
              </w:rPr>
              <w:t>加巴喷丁后</w:t>
            </w:r>
            <w:proofErr w:type="gramEnd"/>
            <w:r w:rsidRPr="00A51B1F">
              <w:rPr>
                <w:sz w:val="22"/>
                <w:szCs w:val="22"/>
              </w:rPr>
              <w:t>综合毛利率</w:t>
            </w:r>
            <w:r w:rsidRPr="00A51B1F">
              <w:rPr>
                <w:rFonts w:hint="eastAsia"/>
                <w:sz w:val="22"/>
                <w:szCs w:val="22"/>
              </w:rPr>
              <w:t>接近4</w:t>
            </w:r>
            <w:r w:rsidRPr="00A51B1F">
              <w:rPr>
                <w:sz w:val="22"/>
                <w:szCs w:val="22"/>
              </w:rPr>
              <w:t>0%</w:t>
            </w:r>
            <w:r w:rsidRPr="00A51B1F">
              <w:rPr>
                <w:rFonts w:hint="eastAsia"/>
                <w:sz w:val="22"/>
                <w:szCs w:val="22"/>
              </w:rPr>
              <w:t>。</w:t>
            </w:r>
            <w:proofErr w:type="gramStart"/>
            <w:r w:rsidRPr="00A51B1F">
              <w:rPr>
                <w:sz w:val="22"/>
                <w:szCs w:val="22"/>
              </w:rPr>
              <w:t>加巴喷丁</w:t>
            </w:r>
            <w:r w:rsidRPr="00A51B1F">
              <w:rPr>
                <w:rFonts w:hint="eastAsia"/>
                <w:sz w:val="22"/>
                <w:szCs w:val="22"/>
              </w:rPr>
              <w:t>是</w:t>
            </w:r>
            <w:proofErr w:type="gramEnd"/>
            <w:r w:rsidRPr="00A51B1F">
              <w:rPr>
                <w:rFonts w:hint="eastAsia"/>
                <w:sz w:val="22"/>
                <w:szCs w:val="22"/>
              </w:rPr>
              <w:t>公司的重要产品，因为是公司</w:t>
            </w:r>
            <w:r w:rsidRPr="00A51B1F">
              <w:rPr>
                <w:sz w:val="22"/>
                <w:szCs w:val="22"/>
              </w:rPr>
              <w:t>IPO</w:t>
            </w:r>
            <w:proofErr w:type="gramStart"/>
            <w:r w:rsidRPr="00A51B1F">
              <w:rPr>
                <w:sz w:val="22"/>
                <w:szCs w:val="22"/>
              </w:rPr>
              <w:t>募投项目</w:t>
            </w:r>
            <w:proofErr w:type="gramEnd"/>
            <w:r w:rsidRPr="00A51B1F">
              <w:rPr>
                <w:sz w:val="22"/>
                <w:szCs w:val="22"/>
              </w:rPr>
              <w:t>，</w:t>
            </w:r>
            <w:r w:rsidRPr="00A51B1F">
              <w:rPr>
                <w:rFonts w:hint="eastAsia"/>
                <w:sz w:val="22"/>
                <w:szCs w:val="22"/>
              </w:rPr>
              <w:t>产能扩大后，</w:t>
            </w:r>
            <w:r w:rsidRPr="00A51B1F">
              <w:rPr>
                <w:sz w:val="22"/>
                <w:szCs w:val="22"/>
              </w:rPr>
              <w:t>产能利用率为</w:t>
            </w:r>
            <w:r w:rsidRPr="00A51B1F">
              <w:rPr>
                <w:rFonts w:hint="eastAsia"/>
                <w:sz w:val="22"/>
                <w:szCs w:val="22"/>
              </w:rPr>
              <w:t>近</w:t>
            </w:r>
            <w:r w:rsidRPr="00A51B1F">
              <w:rPr>
                <w:sz w:val="22"/>
                <w:szCs w:val="22"/>
              </w:rPr>
              <w:t>50%，产能利用率较低导致其单位成本提高。</w:t>
            </w:r>
            <w:r w:rsidRPr="00A51B1F">
              <w:rPr>
                <w:rFonts w:hint="eastAsia"/>
                <w:sz w:val="22"/>
                <w:szCs w:val="22"/>
              </w:rPr>
              <w:t>后</w:t>
            </w:r>
            <w:r w:rsidRPr="00A51B1F">
              <w:rPr>
                <w:sz w:val="22"/>
                <w:szCs w:val="22"/>
              </w:rPr>
              <w:t>续随</w:t>
            </w:r>
            <w:r w:rsidRPr="00A51B1F">
              <w:rPr>
                <w:rFonts w:hint="eastAsia"/>
                <w:sz w:val="22"/>
                <w:szCs w:val="22"/>
              </w:rPr>
              <w:t>着技术改造的完成和</w:t>
            </w:r>
            <w:r w:rsidRPr="00A51B1F">
              <w:rPr>
                <w:sz w:val="22"/>
                <w:szCs w:val="22"/>
              </w:rPr>
              <w:t>产能利用</w:t>
            </w:r>
            <w:r w:rsidRPr="00A51B1F">
              <w:rPr>
                <w:rFonts w:hint="eastAsia"/>
                <w:sz w:val="22"/>
                <w:szCs w:val="22"/>
              </w:rPr>
              <w:t>率</w:t>
            </w:r>
            <w:r w:rsidRPr="00A51B1F">
              <w:rPr>
                <w:sz w:val="22"/>
                <w:szCs w:val="22"/>
              </w:rPr>
              <w:t>的上</w:t>
            </w:r>
            <w:r w:rsidRPr="00A51B1F">
              <w:rPr>
                <w:rFonts w:hint="eastAsia"/>
                <w:sz w:val="22"/>
                <w:szCs w:val="22"/>
              </w:rPr>
              <w:t>升，</w:t>
            </w:r>
            <w:proofErr w:type="gramStart"/>
            <w:r w:rsidRPr="00A51B1F">
              <w:rPr>
                <w:sz w:val="22"/>
                <w:szCs w:val="22"/>
              </w:rPr>
              <w:t>加巴喷丁毛利率</w:t>
            </w:r>
            <w:proofErr w:type="gramEnd"/>
            <w:r w:rsidRPr="00A51B1F">
              <w:rPr>
                <w:sz w:val="22"/>
                <w:szCs w:val="22"/>
              </w:rPr>
              <w:t>将逐步恢复正常，</w:t>
            </w:r>
            <w:r w:rsidRPr="00A51B1F">
              <w:rPr>
                <w:rFonts w:hint="eastAsia"/>
                <w:sz w:val="22"/>
                <w:szCs w:val="22"/>
              </w:rPr>
              <w:t>改善</w:t>
            </w:r>
            <w:r w:rsidRPr="00A51B1F">
              <w:rPr>
                <w:sz w:val="22"/>
                <w:szCs w:val="22"/>
              </w:rPr>
              <w:t>公司整体毛</w:t>
            </w:r>
            <w:r w:rsidRPr="00A51B1F">
              <w:rPr>
                <w:rFonts w:hint="eastAsia"/>
                <w:sz w:val="22"/>
                <w:szCs w:val="22"/>
              </w:rPr>
              <w:t>利</w:t>
            </w:r>
            <w:r w:rsidRPr="00A51B1F">
              <w:rPr>
                <w:sz w:val="22"/>
                <w:szCs w:val="22"/>
              </w:rPr>
              <w:t>率水平。</w:t>
            </w:r>
            <w:r w:rsidRPr="00A51B1F">
              <w:rPr>
                <w:rFonts w:hint="eastAsia"/>
                <w:sz w:val="22"/>
                <w:szCs w:val="22"/>
              </w:rPr>
              <w:t>另外，随着新产品的陆续投产，</w:t>
            </w:r>
            <w:r w:rsidRPr="00A51B1F">
              <w:rPr>
                <w:sz w:val="22"/>
                <w:szCs w:val="22"/>
              </w:rPr>
              <w:t>进</w:t>
            </w:r>
            <w:r w:rsidRPr="00A51B1F">
              <w:rPr>
                <w:rFonts w:hint="eastAsia"/>
                <w:sz w:val="22"/>
                <w:szCs w:val="22"/>
              </w:rPr>
              <w:t>而</w:t>
            </w:r>
            <w:r w:rsidRPr="00A51B1F">
              <w:rPr>
                <w:sz w:val="22"/>
                <w:szCs w:val="22"/>
              </w:rPr>
              <w:t>提</w:t>
            </w:r>
            <w:r w:rsidRPr="00A51B1F">
              <w:rPr>
                <w:rFonts w:hint="eastAsia"/>
                <w:sz w:val="22"/>
                <w:szCs w:val="22"/>
              </w:rPr>
              <w:t>高</w:t>
            </w:r>
            <w:r w:rsidRPr="00A51B1F">
              <w:rPr>
                <w:sz w:val="22"/>
                <w:szCs w:val="22"/>
              </w:rPr>
              <w:t>公司整体毛</w:t>
            </w:r>
            <w:r w:rsidRPr="00A51B1F">
              <w:rPr>
                <w:rFonts w:hint="eastAsia"/>
                <w:sz w:val="22"/>
                <w:szCs w:val="22"/>
              </w:rPr>
              <w:t>利</w:t>
            </w:r>
            <w:r w:rsidRPr="00A51B1F">
              <w:rPr>
                <w:sz w:val="22"/>
                <w:szCs w:val="22"/>
              </w:rPr>
              <w:t>率水平。</w:t>
            </w:r>
          </w:p>
          <w:p w:rsidR="00BE44C8" w:rsidRPr="00A51B1F" w:rsidRDefault="00BE44C8" w:rsidP="00A51B1F">
            <w:pPr>
              <w:pStyle w:val="Default"/>
              <w:spacing w:line="312" w:lineRule="auto"/>
              <w:jc w:val="both"/>
              <w:rPr>
                <w:b/>
                <w:sz w:val="22"/>
                <w:szCs w:val="22"/>
              </w:rPr>
            </w:pPr>
          </w:p>
          <w:p w:rsidR="00BE44C8" w:rsidRDefault="000805C9" w:rsidP="00AF447C">
            <w:pPr>
              <w:pStyle w:val="Default"/>
              <w:spacing w:line="312" w:lineRule="auto"/>
              <w:jc w:val="both"/>
              <w:rPr>
                <w:b/>
                <w:sz w:val="22"/>
                <w:szCs w:val="22"/>
              </w:rPr>
            </w:pPr>
            <w:r>
              <w:rPr>
                <w:rFonts w:hint="eastAsia"/>
                <w:b/>
                <w:sz w:val="22"/>
                <w:szCs w:val="22"/>
              </w:rPr>
              <w:t>4</w:t>
            </w:r>
            <w:r w:rsidRPr="009819B5">
              <w:rPr>
                <w:rFonts w:hint="eastAsia"/>
                <w:b/>
                <w:sz w:val="22"/>
                <w:szCs w:val="22"/>
              </w:rPr>
              <w:t>、</w:t>
            </w:r>
            <w:r>
              <w:rPr>
                <w:rFonts w:hint="eastAsia"/>
                <w:b/>
                <w:sz w:val="22"/>
                <w:szCs w:val="22"/>
              </w:rPr>
              <w:t>问：</w:t>
            </w:r>
            <w:r w:rsidR="00F420E5" w:rsidRPr="00F420E5">
              <w:rPr>
                <w:rFonts w:hint="eastAsia"/>
                <w:b/>
                <w:sz w:val="22"/>
                <w:szCs w:val="22"/>
              </w:rPr>
              <w:t>公司现有6类原料药产品的价格趋势怎么样？都是外购中间体吗？</w:t>
            </w:r>
          </w:p>
          <w:p w:rsidR="00E708E5" w:rsidRDefault="000805C9" w:rsidP="00F420E5">
            <w:pPr>
              <w:pStyle w:val="Default"/>
              <w:spacing w:line="312" w:lineRule="auto"/>
              <w:rPr>
                <w:sz w:val="22"/>
                <w:szCs w:val="22"/>
              </w:rPr>
            </w:pPr>
            <w:r w:rsidRPr="009819B5">
              <w:rPr>
                <w:rFonts w:hint="eastAsia"/>
                <w:sz w:val="22"/>
                <w:szCs w:val="22"/>
              </w:rPr>
              <w:t>答：</w:t>
            </w:r>
            <w:r w:rsidR="00F420E5" w:rsidRPr="00F420E5">
              <w:rPr>
                <w:rFonts w:hint="eastAsia"/>
                <w:sz w:val="22"/>
                <w:szCs w:val="22"/>
              </w:rPr>
              <w:t>6个品种价格基本稳定，部分品种随上游中间体价格的下行向下调整。</w:t>
            </w:r>
          </w:p>
          <w:p w:rsidR="000805C9" w:rsidRPr="00263EEE" w:rsidRDefault="00F420E5" w:rsidP="00F420E5">
            <w:pPr>
              <w:pStyle w:val="Default"/>
              <w:spacing w:line="312" w:lineRule="auto"/>
              <w:rPr>
                <w:sz w:val="22"/>
                <w:szCs w:val="22"/>
              </w:rPr>
            </w:pPr>
            <w:r>
              <w:rPr>
                <w:rFonts w:hint="eastAsia"/>
                <w:sz w:val="22"/>
                <w:szCs w:val="22"/>
              </w:rPr>
              <w:t>公司</w:t>
            </w:r>
            <w:proofErr w:type="gramStart"/>
            <w:r w:rsidRPr="00F420E5">
              <w:rPr>
                <w:rFonts w:hint="eastAsia"/>
                <w:sz w:val="22"/>
                <w:szCs w:val="22"/>
              </w:rPr>
              <w:t>采购较</w:t>
            </w:r>
            <w:proofErr w:type="gramEnd"/>
            <w:r w:rsidRPr="00F420E5">
              <w:rPr>
                <w:rFonts w:hint="eastAsia"/>
                <w:sz w:val="22"/>
                <w:szCs w:val="22"/>
              </w:rPr>
              <w:t>初级的中间体，自行生产高级中间体</w:t>
            </w:r>
            <w:r>
              <w:rPr>
                <w:rFonts w:hint="eastAsia"/>
                <w:sz w:val="22"/>
                <w:szCs w:val="22"/>
              </w:rPr>
              <w:t>，</w:t>
            </w:r>
            <w:r w:rsidRPr="00F420E5">
              <w:rPr>
                <w:rFonts w:hint="eastAsia"/>
                <w:sz w:val="22"/>
                <w:szCs w:val="22"/>
              </w:rPr>
              <w:t>关键中间体自行完成工艺研发交付战略合作伙伴生产。</w:t>
            </w:r>
          </w:p>
          <w:p w:rsidR="000805C9" w:rsidRDefault="000805C9" w:rsidP="00C07636">
            <w:pPr>
              <w:pStyle w:val="Default"/>
              <w:spacing w:line="312" w:lineRule="auto"/>
              <w:jc w:val="both"/>
              <w:rPr>
                <w:sz w:val="22"/>
                <w:szCs w:val="22"/>
              </w:rPr>
            </w:pPr>
          </w:p>
          <w:p w:rsidR="009F0197" w:rsidRDefault="009F0197" w:rsidP="009F0197">
            <w:pPr>
              <w:pStyle w:val="Default"/>
              <w:spacing w:line="312" w:lineRule="auto"/>
              <w:jc w:val="both"/>
              <w:rPr>
                <w:b/>
                <w:sz w:val="22"/>
                <w:szCs w:val="22"/>
              </w:rPr>
            </w:pPr>
            <w:r>
              <w:rPr>
                <w:rFonts w:hint="eastAsia"/>
                <w:b/>
                <w:sz w:val="22"/>
                <w:szCs w:val="22"/>
              </w:rPr>
              <w:t>5</w:t>
            </w:r>
            <w:r w:rsidRPr="009819B5">
              <w:rPr>
                <w:rFonts w:hint="eastAsia"/>
                <w:b/>
                <w:sz w:val="22"/>
                <w:szCs w:val="22"/>
              </w:rPr>
              <w:t>、</w:t>
            </w:r>
            <w:r>
              <w:rPr>
                <w:rFonts w:hint="eastAsia"/>
                <w:b/>
                <w:sz w:val="22"/>
                <w:szCs w:val="22"/>
              </w:rPr>
              <w:t>问：长期</w:t>
            </w:r>
            <w:r w:rsidRPr="009F0197">
              <w:rPr>
                <w:rFonts w:hint="eastAsia"/>
                <w:b/>
                <w:sz w:val="22"/>
                <w:szCs w:val="22"/>
              </w:rPr>
              <w:t>原料药研发管线布局？</w:t>
            </w:r>
            <w:r w:rsidR="00F748E2" w:rsidRPr="00F748E2">
              <w:rPr>
                <w:rFonts w:hint="eastAsia"/>
                <w:b/>
                <w:sz w:val="22"/>
                <w:szCs w:val="22"/>
              </w:rPr>
              <w:t>我们研究后发现维格列汀、利</w:t>
            </w:r>
            <w:proofErr w:type="gramStart"/>
            <w:r w:rsidR="00F748E2" w:rsidRPr="00F748E2">
              <w:rPr>
                <w:rFonts w:hint="eastAsia"/>
                <w:b/>
                <w:sz w:val="22"/>
                <w:szCs w:val="22"/>
              </w:rPr>
              <w:t>伐沙班</w:t>
            </w:r>
            <w:proofErr w:type="gramEnd"/>
            <w:r w:rsidR="00F748E2" w:rsidRPr="00F748E2">
              <w:rPr>
                <w:rFonts w:hint="eastAsia"/>
                <w:b/>
                <w:sz w:val="22"/>
                <w:szCs w:val="22"/>
              </w:rPr>
              <w:t>、达比</w:t>
            </w:r>
            <w:proofErr w:type="gramStart"/>
            <w:r w:rsidR="00F748E2" w:rsidRPr="00F748E2">
              <w:rPr>
                <w:rFonts w:hint="eastAsia"/>
                <w:b/>
                <w:sz w:val="22"/>
                <w:szCs w:val="22"/>
              </w:rPr>
              <w:t>加群酯、非布司他、替格瑞洛</w:t>
            </w:r>
            <w:proofErr w:type="gramEnd"/>
            <w:r w:rsidR="00F748E2" w:rsidRPr="00F748E2">
              <w:rPr>
                <w:rFonts w:hint="eastAsia"/>
                <w:b/>
                <w:sz w:val="22"/>
                <w:szCs w:val="22"/>
              </w:rPr>
              <w:t>是未来几年专利已经过期或即将过期的产品，我们原料药的放量节奏怎么预期呢？</w:t>
            </w:r>
            <w:r w:rsidRPr="009F0197">
              <w:rPr>
                <w:rFonts w:hint="eastAsia"/>
                <w:b/>
                <w:sz w:val="22"/>
                <w:szCs w:val="22"/>
              </w:rPr>
              <w:t>研发费用比例预期？</w:t>
            </w:r>
          </w:p>
          <w:p w:rsidR="00EF52D9" w:rsidRDefault="009F0197" w:rsidP="009F0197">
            <w:pPr>
              <w:pStyle w:val="Default"/>
              <w:spacing w:line="312" w:lineRule="auto"/>
              <w:rPr>
                <w:sz w:val="22"/>
                <w:szCs w:val="22"/>
              </w:rPr>
            </w:pPr>
            <w:r w:rsidRPr="009819B5">
              <w:rPr>
                <w:rFonts w:hint="eastAsia"/>
                <w:sz w:val="22"/>
                <w:szCs w:val="22"/>
              </w:rPr>
              <w:t>答：</w:t>
            </w:r>
            <w:r w:rsidRPr="009F0197">
              <w:rPr>
                <w:rFonts w:hint="eastAsia"/>
                <w:sz w:val="22"/>
                <w:szCs w:val="22"/>
              </w:rPr>
              <w:t>公司在前期选择产品以客户导向为主，随着公司产品增多，也开始进行产品系列的布局。我们综合考虑了公司未来发展需要、客户需求和公司的能力、特长等诸多因素对新产品的研发进行了战略的布局。除了在原有的五大类品种即消化系统类药物、神经系统用药（抗癫痫类药物）、解热镇痛类药物、治疗精神障碍药（抗抑郁药）、循环系统用药（抗高血压药）增加了一些新品种外，还适当拓宽了门类,在抗凝血、抗痛风、抗糖尿病、皮炎治疗、贫血治疗等类药物有多个新品种在研发中。</w:t>
            </w:r>
          </w:p>
          <w:p w:rsidR="00CF0B3C" w:rsidRPr="009F0197" w:rsidRDefault="00CF0B3C" w:rsidP="009F0197">
            <w:pPr>
              <w:pStyle w:val="Default"/>
              <w:spacing w:line="312" w:lineRule="auto"/>
              <w:rPr>
                <w:rFonts w:hint="eastAsia"/>
                <w:sz w:val="22"/>
                <w:szCs w:val="22"/>
              </w:rPr>
            </w:pPr>
            <w:r w:rsidRPr="00CF0B3C">
              <w:rPr>
                <w:rFonts w:hint="eastAsia"/>
                <w:sz w:val="22"/>
                <w:szCs w:val="22"/>
              </w:rPr>
              <w:t>我们有</w:t>
            </w:r>
            <w:r w:rsidRPr="00CF0B3C">
              <w:rPr>
                <w:sz w:val="22"/>
                <w:szCs w:val="22"/>
              </w:rPr>
              <w:t>利</w:t>
            </w:r>
            <w:proofErr w:type="gramStart"/>
            <w:r w:rsidRPr="00CF0B3C">
              <w:rPr>
                <w:sz w:val="22"/>
                <w:szCs w:val="22"/>
              </w:rPr>
              <w:t>伐沙班</w:t>
            </w:r>
            <w:proofErr w:type="gramEnd"/>
            <w:r w:rsidRPr="00CF0B3C">
              <w:rPr>
                <w:rFonts w:hint="eastAsia"/>
                <w:sz w:val="22"/>
                <w:szCs w:val="22"/>
              </w:rPr>
              <w:t>、</w:t>
            </w:r>
            <w:r w:rsidRPr="00CF0B3C">
              <w:rPr>
                <w:sz w:val="22"/>
                <w:szCs w:val="22"/>
              </w:rPr>
              <w:t>阿</w:t>
            </w:r>
            <w:proofErr w:type="gramStart"/>
            <w:r w:rsidRPr="00CF0B3C">
              <w:rPr>
                <w:sz w:val="22"/>
                <w:szCs w:val="22"/>
              </w:rPr>
              <w:t>哌</w:t>
            </w:r>
            <w:proofErr w:type="gramEnd"/>
            <w:r w:rsidRPr="00CF0B3C">
              <w:rPr>
                <w:sz w:val="22"/>
                <w:szCs w:val="22"/>
              </w:rPr>
              <w:t>沙班</w:t>
            </w:r>
            <w:r w:rsidRPr="00CF0B3C">
              <w:rPr>
                <w:rFonts w:hint="eastAsia"/>
                <w:sz w:val="22"/>
                <w:szCs w:val="22"/>
              </w:rPr>
              <w:t>、维格列汀</w:t>
            </w:r>
            <w:r w:rsidR="00D3753C">
              <w:rPr>
                <w:rFonts w:hint="eastAsia"/>
                <w:sz w:val="22"/>
                <w:szCs w:val="22"/>
              </w:rPr>
              <w:t>、</w:t>
            </w:r>
            <w:r w:rsidRPr="00CF0B3C">
              <w:rPr>
                <w:rFonts w:hint="eastAsia"/>
                <w:sz w:val="22"/>
                <w:szCs w:val="22"/>
              </w:rPr>
              <w:t>达比加群酯、</w:t>
            </w:r>
            <w:proofErr w:type="gramStart"/>
            <w:r w:rsidRPr="00CF0B3C">
              <w:rPr>
                <w:rFonts w:hint="eastAsia"/>
                <w:sz w:val="22"/>
                <w:szCs w:val="22"/>
              </w:rPr>
              <w:t>非布司他、替格瑞洛</w:t>
            </w:r>
            <w:proofErr w:type="gramEnd"/>
            <w:r w:rsidRPr="00CF0B3C">
              <w:rPr>
                <w:rFonts w:hint="eastAsia"/>
                <w:sz w:val="22"/>
                <w:szCs w:val="22"/>
              </w:rPr>
              <w:t>、</w:t>
            </w:r>
            <w:r w:rsidRPr="00CF0B3C">
              <w:rPr>
                <w:sz w:val="22"/>
                <w:szCs w:val="22"/>
              </w:rPr>
              <w:t>恩格列净</w:t>
            </w:r>
            <w:r w:rsidRPr="00CF0B3C">
              <w:rPr>
                <w:rFonts w:hint="eastAsia"/>
                <w:sz w:val="22"/>
                <w:szCs w:val="22"/>
              </w:rPr>
              <w:t>、</w:t>
            </w:r>
            <w:r w:rsidRPr="00CF0B3C">
              <w:rPr>
                <w:sz w:val="22"/>
                <w:szCs w:val="22"/>
              </w:rPr>
              <w:t>卡格列净</w:t>
            </w:r>
            <w:r w:rsidRPr="00CF0B3C">
              <w:rPr>
                <w:rFonts w:hint="eastAsia"/>
                <w:sz w:val="22"/>
                <w:szCs w:val="22"/>
              </w:rPr>
              <w:t>、</w:t>
            </w:r>
            <w:r w:rsidRPr="00CF0B3C">
              <w:rPr>
                <w:sz w:val="22"/>
                <w:szCs w:val="22"/>
              </w:rPr>
              <w:t>米拉贝隆</w:t>
            </w:r>
            <w:r w:rsidRPr="00CF0B3C">
              <w:rPr>
                <w:rFonts w:hint="eastAsia"/>
                <w:sz w:val="22"/>
                <w:szCs w:val="22"/>
              </w:rPr>
              <w:t>、</w:t>
            </w:r>
            <w:r w:rsidRPr="00CF0B3C">
              <w:rPr>
                <w:sz w:val="22"/>
                <w:szCs w:val="22"/>
              </w:rPr>
              <w:t>阿齐沙坦</w:t>
            </w:r>
            <w:r w:rsidRPr="00CF0B3C">
              <w:rPr>
                <w:rFonts w:hint="eastAsia"/>
                <w:sz w:val="22"/>
                <w:szCs w:val="22"/>
              </w:rPr>
              <w:t>等新品</w:t>
            </w:r>
            <w:proofErr w:type="gramStart"/>
            <w:r w:rsidRPr="00CF0B3C">
              <w:rPr>
                <w:rFonts w:hint="eastAsia"/>
                <w:sz w:val="22"/>
                <w:szCs w:val="22"/>
              </w:rPr>
              <w:t>种未来</w:t>
            </w:r>
            <w:proofErr w:type="gramEnd"/>
            <w:r w:rsidRPr="00CF0B3C">
              <w:rPr>
                <w:rFonts w:hint="eastAsia"/>
                <w:sz w:val="22"/>
                <w:szCs w:val="22"/>
              </w:rPr>
              <w:t>几年专利陆续到期，国际市场我们根据专利到期时间分别向官方提交申请，保证专利到期后顺利上市销售。国内的申报也在有序进行。</w:t>
            </w:r>
            <w:r w:rsidR="00D3753C">
              <w:rPr>
                <w:rFonts w:hint="eastAsia"/>
                <w:sz w:val="22"/>
                <w:szCs w:val="22"/>
              </w:rPr>
              <w:t>通常专利到期之前的销售</w:t>
            </w:r>
            <w:r w:rsidR="005E6733">
              <w:rPr>
                <w:rFonts w:hint="eastAsia"/>
                <w:sz w:val="22"/>
                <w:szCs w:val="22"/>
              </w:rPr>
              <w:t>是客户用于质量研究和验证批用料，专利到期后才有商业化的采购，销售在这期间放量。</w:t>
            </w:r>
          </w:p>
          <w:p w:rsidR="009F0197" w:rsidRPr="00263EEE" w:rsidRDefault="00EF52D9" w:rsidP="00EF52D9">
            <w:pPr>
              <w:pStyle w:val="Default"/>
              <w:spacing w:line="312" w:lineRule="auto"/>
              <w:ind w:firstLineChars="200" w:firstLine="440"/>
              <w:rPr>
                <w:sz w:val="22"/>
                <w:szCs w:val="22"/>
              </w:rPr>
            </w:pPr>
            <w:r>
              <w:rPr>
                <w:rFonts w:hint="eastAsia"/>
                <w:sz w:val="22"/>
                <w:szCs w:val="22"/>
              </w:rPr>
              <w:t>公司</w:t>
            </w:r>
            <w:r w:rsidR="009F0197" w:rsidRPr="009F0197">
              <w:rPr>
                <w:rFonts w:hint="eastAsia"/>
                <w:sz w:val="22"/>
                <w:szCs w:val="22"/>
              </w:rPr>
              <w:t>早年的研发投入占营业收入的比例为6%左右，近</w:t>
            </w:r>
            <w:r>
              <w:rPr>
                <w:rFonts w:hint="eastAsia"/>
                <w:sz w:val="22"/>
                <w:szCs w:val="22"/>
              </w:rPr>
              <w:t>两</w:t>
            </w:r>
            <w:r w:rsidR="009F0197" w:rsidRPr="009F0197">
              <w:rPr>
                <w:rFonts w:hint="eastAsia"/>
                <w:sz w:val="22"/>
                <w:szCs w:val="22"/>
              </w:rPr>
              <w:t>年公司研发投入占营业收入的比例为9.49%、8.80%。公司将持续保持高比例研发投入。</w:t>
            </w:r>
          </w:p>
          <w:p w:rsidR="009F0197" w:rsidRDefault="009F0197" w:rsidP="00C07636">
            <w:pPr>
              <w:pStyle w:val="Default"/>
              <w:spacing w:line="312" w:lineRule="auto"/>
              <w:jc w:val="both"/>
              <w:rPr>
                <w:sz w:val="22"/>
                <w:szCs w:val="22"/>
              </w:rPr>
            </w:pPr>
          </w:p>
          <w:p w:rsidR="009F0197" w:rsidRDefault="009F0197" w:rsidP="009F0197">
            <w:pPr>
              <w:pStyle w:val="Default"/>
              <w:spacing w:line="312" w:lineRule="auto"/>
              <w:jc w:val="both"/>
              <w:rPr>
                <w:b/>
                <w:sz w:val="22"/>
                <w:szCs w:val="22"/>
              </w:rPr>
            </w:pPr>
            <w:r>
              <w:rPr>
                <w:rFonts w:hint="eastAsia"/>
                <w:b/>
                <w:sz w:val="22"/>
                <w:szCs w:val="22"/>
              </w:rPr>
              <w:lastRenderedPageBreak/>
              <w:t>6</w:t>
            </w:r>
            <w:r w:rsidRPr="009819B5">
              <w:rPr>
                <w:rFonts w:hint="eastAsia"/>
                <w:b/>
                <w:sz w:val="22"/>
                <w:szCs w:val="22"/>
              </w:rPr>
              <w:t>、</w:t>
            </w:r>
            <w:r>
              <w:rPr>
                <w:rFonts w:hint="eastAsia"/>
                <w:b/>
                <w:sz w:val="22"/>
                <w:szCs w:val="22"/>
              </w:rPr>
              <w:t>问：</w:t>
            </w:r>
            <w:r w:rsidRPr="009F0197">
              <w:rPr>
                <w:rFonts w:hint="eastAsia"/>
                <w:b/>
                <w:sz w:val="22"/>
                <w:szCs w:val="22"/>
              </w:rPr>
              <w:t>CDMO目前的订单数量、客户是国外还是国内企业？临床阶段还是商业化品种？中间体还是原料药订单？订单规模大概多大？</w:t>
            </w:r>
          </w:p>
          <w:p w:rsidR="009F0197" w:rsidRDefault="009F0197" w:rsidP="00C07636">
            <w:pPr>
              <w:pStyle w:val="Default"/>
              <w:spacing w:line="312" w:lineRule="auto"/>
              <w:jc w:val="both"/>
              <w:rPr>
                <w:sz w:val="22"/>
                <w:szCs w:val="22"/>
              </w:rPr>
            </w:pPr>
            <w:r w:rsidRPr="009819B5">
              <w:rPr>
                <w:rFonts w:hint="eastAsia"/>
                <w:sz w:val="22"/>
                <w:szCs w:val="22"/>
              </w:rPr>
              <w:t>答：</w:t>
            </w:r>
            <w:r w:rsidRPr="009F0197">
              <w:rPr>
                <w:rFonts w:hint="eastAsia"/>
                <w:sz w:val="22"/>
                <w:szCs w:val="22"/>
              </w:rPr>
              <w:t>目前公司有8个C</w:t>
            </w:r>
            <w:r w:rsidR="00B45D57">
              <w:rPr>
                <w:sz w:val="22"/>
                <w:szCs w:val="22"/>
              </w:rPr>
              <w:t>D</w:t>
            </w:r>
            <w:bookmarkStart w:id="0" w:name="_GoBack"/>
            <w:bookmarkEnd w:id="0"/>
            <w:r w:rsidRPr="009F0197">
              <w:rPr>
                <w:rFonts w:hint="eastAsia"/>
                <w:sz w:val="22"/>
                <w:szCs w:val="22"/>
              </w:rPr>
              <w:t>MO项目，客户主要是国外企业，中间体及原料药都有，主要是临床阶段，根据产品不同对应的订单规模也不一样。</w:t>
            </w:r>
          </w:p>
          <w:p w:rsidR="009F0197" w:rsidRDefault="009F0197" w:rsidP="00C07636">
            <w:pPr>
              <w:pStyle w:val="Default"/>
              <w:spacing w:line="312" w:lineRule="auto"/>
              <w:jc w:val="both"/>
              <w:rPr>
                <w:sz w:val="22"/>
                <w:szCs w:val="22"/>
              </w:rPr>
            </w:pPr>
          </w:p>
          <w:p w:rsidR="009F0197" w:rsidRPr="009F0197" w:rsidRDefault="009F0197" w:rsidP="009F0197">
            <w:pPr>
              <w:pStyle w:val="Default"/>
              <w:spacing w:line="312" w:lineRule="auto"/>
              <w:rPr>
                <w:b/>
                <w:sz w:val="22"/>
                <w:szCs w:val="22"/>
              </w:rPr>
            </w:pPr>
            <w:r>
              <w:rPr>
                <w:rFonts w:hint="eastAsia"/>
                <w:b/>
                <w:sz w:val="22"/>
                <w:szCs w:val="22"/>
              </w:rPr>
              <w:t>7</w:t>
            </w:r>
            <w:r w:rsidRPr="009819B5">
              <w:rPr>
                <w:rFonts w:hint="eastAsia"/>
                <w:b/>
                <w:sz w:val="22"/>
                <w:szCs w:val="22"/>
              </w:rPr>
              <w:t>、</w:t>
            </w:r>
            <w:r>
              <w:rPr>
                <w:rFonts w:hint="eastAsia"/>
                <w:b/>
                <w:sz w:val="22"/>
                <w:szCs w:val="22"/>
              </w:rPr>
              <w:t>问：</w:t>
            </w:r>
            <w:r w:rsidRPr="009F0197">
              <w:rPr>
                <w:rFonts w:hint="eastAsia"/>
                <w:b/>
                <w:sz w:val="22"/>
                <w:szCs w:val="22"/>
              </w:rPr>
              <w:t>宜春市招聘研发人才是不是比较困难？未来研发人员增加的预期？</w:t>
            </w:r>
          </w:p>
          <w:p w:rsidR="009F0197" w:rsidRPr="009F0197" w:rsidRDefault="009F0197" w:rsidP="009F0197">
            <w:pPr>
              <w:pStyle w:val="Default"/>
              <w:spacing w:line="312" w:lineRule="auto"/>
              <w:jc w:val="both"/>
              <w:rPr>
                <w:sz w:val="22"/>
                <w:szCs w:val="22"/>
              </w:rPr>
            </w:pPr>
            <w:r>
              <w:rPr>
                <w:rFonts w:hint="eastAsia"/>
                <w:sz w:val="22"/>
                <w:szCs w:val="22"/>
              </w:rPr>
              <w:t>答：</w:t>
            </w:r>
            <w:r w:rsidRPr="009F0197">
              <w:rPr>
                <w:rFonts w:hint="eastAsia"/>
                <w:sz w:val="22"/>
                <w:szCs w:val="22"/>
              </w:rPr>
              <w:t>奉新虽然属于宜春，但离南昌非常近，交通便利，目前公司招聘研发人才</w:t>
            </w:r>
            <w:r w:rsidR="00A701E7">
              <w:rPr>
                <w:rFonts w:hint="eastAsia"/>
                <w:sz w:val="22"/>
                <w:szCs w:val="22"/>
              </w:rPr>
              <w:t>不是很困难，未来研发人员将根据研发项目的进展及需求，每年都会招聘新人</w:t>
            </w:r>
            <w:r w:rsidRPr="009F0197">
              <w:rPr>
                <w:rFonts w:hint="eastAsia"/>
                <w:sz w:val="22"/>
                <w:szCs w:val="22"/>
              </w:rPr>
              <w:t>。</w:t>
            </w:r>
          </w:p>
          <w:p w:rsidR="009F0197" w:rsidRPr="009F0197" w:rsidRDefault="009F0197" w:rsidP="009F0197">
            <w:pPr>
              <w:pStyle w:val="Default"/>
              <w:spacing w:line="312" w:lineRule="auto"/>
              <w:jc w:val="both"/>
              <w:rPr>
                <w:sz w:val="22"/>
                <w:szCs w:val="22"/>
              </w:rPr>
            </w:pPr>
          </w:p>
        </w:tc>
      </w:tr>
      <w:tr w:rsidR="00324F9D" w:rsidRPr="00952078" w:rsidTr="00324F9D">
        <w:trPr>
          <w:trHeight w:hRule="exact" w:val="851"/>
        </w:trPr>
        <w:tc>
          <w:tcPr>
            <w:tcW w:w="2977" w:type="dxa"/>
            <w:tcBorders>
              <w:right w:val="single" w:sz="4" w:space="0" w:color="auto"/>
            </w:tcBorders>
            <w:vAlign w:val="center"/>
          </w:tcPr>
          <w:p w:rsidR="00324F9D" w:rsidRPr="00952078" w:rsidRDefault="00324F9D" w:rsidP="00AF447C">
            <w:pPr>
              <w:pStyle w:val="Default"/>
              <w:jc w:val="both"/>
              <w:rPr>
                <w:sz w:val="23"/>
                <w:szCs w:val="23"/>
              </w:rPr>
            </w:pPr>
            <w:r w:rsidRPr="00952078">
              <w:rPr>
                <w:rFonts w:hint="eastAsia"/>
                <w:sz w:val="23"/>
                <w:szCs w:val="23"/>
              </w:rPr>
              <w:lastRenderedPageBreak/>
              <w:t>附件清单（如有）</w:t>
            </w:r>
          </w:p>
        </w:tc>
        <w:tc>
          <w:tcPr>
            <w:tcW w:w="5530" w:type="dxa"/>
            <w:tcBorders>
              <w:left w:val="single" w:sz="4" w:space="0" w:color="auto"/>
            </w:tcBorders>
            <w:vAlign w:val="center"/>
          </w:tcPr>
          <w:p w:rsidR="00324F9D" w:rsidRPr="00DF7CE7" w:rsidRDefault="00B6188B" w:rsidP="00AF447C">
            <w:pPr>
              <w:pStyle w:val="Default"/>
              <w:spacing w:line="312" w:lineRule="auto"/>
              <w:jc w:val="both"/>
              <w:rPr>
                <w:sz w:val="23"/>
                <w:szCs w:val="23"/>
              </w:rPr>
            </w:pPr>
            <w:r w:rsidRPr="00DF7CE7">
              <w:rPr>
                <w:rFonts w:hint="eastAsia"/>
                <w:sz w:val="23"/>
                <w:szCs w:val="23"/>
              </w:rPr>
              <w:t>无</w:t>
            </w:r>
          </w:p>
        </w:tc>
      </w:tr>
    </w:tbl>
    <w:p w:rsidR="008564D4" w:rsidRPr="00324F9D" w:rsidRDefault="008564D4"/>
    <w:sectPr w:rsidR="008564D4" w:rsidRPr="00324F9D" w:rsidSect="008564D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183" w:rsidRDefault="00160183" w:rsidP="00D066BB">
      <w:r>
        <w:separator/>
      </w:r>
    </w:p>
  </w:endnote>
  <w:endnote w:type="continuationSeparator" w:id="0">
    <w:p w:rsidR="00160183" w:rsidRDefault="00160183" w:rsidP="00D0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9727"/>
      <w:docPartObj>
        <w:docPartGallery w:val="Page Numbers (Bottom of Page)"/>
        <w:docPartUnique/>
      </w:docPartObj>
    </w:sdtPr>
    <w:sdtEndPr/>
    <w:sdtContent>
      <w:sdt>
        <w:sdtPr>
          <w:id w:val="98381352"/>
          <w:docPartObj>
            <w:docPartGallery w:val="Page Numbers (Top of Page)"/>
            <w:docPartUnique/>
          </w:docPartObj>
        </w:sdtPr>
        <w:sdtEndPr/>
        <w:sdtContent>
          <w:p w:rsidR="0053060D" w:rsidRDefault="0053060D" w:rsidP="0053060D">
            <w:pPr>
              <w:pStyle w:val="a5"/>
              <w:jc w:val="center"/>
            </w:pPr>
            <w:r>
              <w:rPr>
                <w:lang w:val="zh-CN"/>
              </w:rPr>
              <w:t xml:space="preserve"> </w:t>
            </w:r>
            <w:r w:rsidR="00373A11">
              <w:rPr>
                <w:b/>
                <w:sz w:val="24"/>
                <w:szCs w:val="24"/>
              </w:rPr>
              <w:fldChar w:fldCharType="begin"/>
            </w:r>
            <w:r>
              <w:rPr>
                <w:b/>
              </w:rPr>
              <w:instrText>PAGE</w:instrText>
            </w:r>
            <w:r w:rsidR="00373A11">
              <w:rPr>
                <w:b/>
                <w:sz w:val="24"/>
                <w:szCs w:val="24"/>
              </w:rPr>
              <w:fldChar w:fldCharType="separate"/>
            </w:r>
            <w:r w:rsidR="00B45D57">
              <w:rPr>
                <w:b/>
                <w:noProof/>
              </w:rPr>
              <w:t>6</w:t>
            </w:r>
            <w:r w:rsidR="00373A11">
              <w:rPr>
                <w:b/>
                <w:sz w:val="24"/>
                <w:szCs w:val="24"/>
              </w:rPr>
              <w:fldChar w:fldCharType="end"/>
            </w:r>
            <w:r>
              <w:rPr>
                <w:lang w:val="zh-CN"/>
              </w:rPr>
              <w:t xml:space="preserve"> / </w:t>
            </w:r>
            <w:r w:rsidR="00373A11">
              <w:rPr>
                <w:b/>
                <w:sz w:val="24"/>
                <w:szCs w:val="24"/>
              </w:rPr>
              <w:fldChar w:fldCharType="begin"/>
            </w:r>
            <w:r>
              <w:rPr>
                <w:b/>
              </w:rPr>
              <w:instrText>NUMPAGES</w:instrText>
            </w:r>
            <w:r w:rsidR="00373A11">
              <w:rPr>
                <w:b/>
                <w:sz w:val="24"/>
                <w:szCs w:val="24"/>
              </w:rPr>
              <w:fldChar w:fldCharType="separate"/>
            </w:r>
            <w:r w:rsidR="00B45D57">
              <w:rPr>
                <w:b/>
                <w:noProof/>
              </w:rPr>
              <w:t>6</w:t>
            </w:r>
            <w:r w:rsidR="00373A11">
              <w:rPr>
                <w:b/>
                <w:sz w:val="24"/>
                <w:szCs w:val="24"/>
              </w:rPr>
              <w:fldChar w:fldCharType="end"/>
            </w:r>
          </w:p>
        </w:sdtContent>
      </w:sdt>
    </w:sdtContent>
  </w:sdt>
  <w:p w:rsidR="0053060D" w:rsidRDefault="005306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183" w:rsidRDefault="00160183" w:rsidP="00D066BB">
      <w:r>
        <w:separator/>
      </w:r>
    </w:p>
  </w:footnote>
  <w:footnote w:type="continuationSeparator" w:id="0">
    <w:p w:rsidR="00160183" w:rsidRDefault="00160183" w:rsidP="00D06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15F95"/>
    <w:multiLevelType w:val="hybridMultilevel"/>
    <w:tmpl w:val="9B9AF8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9D"/>
    <w:rsid w:val="00001A5D"/>
    <w:rsid w:val="00003BC7"/>
    <w:rsid w:val="00003D92"/>
    <w:rsid w:val="00017C6B"/>
    <w:rsid w:val="00021108"/>
    <w:rsid w:val="00022CED"/>
    <w:rsid w:val="00027706"/>
    <w:rsid w:val="00031451"/>
    <w:rsid w:val="00032445"/>
    <w:rsid w:val="00033B0E"/>
    <w:rsid w:val="00036DBB"/>
    <w:rsid w:val="00037905"/>
    <w:rsid w:val="00041689"/>
    <w:rsid w:val="00047C19"/>
    <w:rsid w:val="00052DFA"/>
    <w:rsid w:val="00053042"/>
    <w:rsid w:val="000544A3"/>
    <w:rsid w:val="000554C1"/>
    <w:rsid w:val="00055ADE"/>
    <w:rsid w:val="00056210"/>
    <w:rsid w:val="00057E24"/>
    <w:rsid w:val="000627C1"/>
    <w:rsid w:val="000653B2"/>
    <w:rsid w:val="00066359"/>
    <w:rsid w:val="00070E45"/>
    <w:rsid w:val="000750FE"/>
    <w:rsid w:val="0007672B"/>
    <w:rsid w:val="000805C9"/>
    <w:rsid w:val="00084C88"/>
    <w:rsid w:val="0008527E"/>
    <w:rsid w:val="0008672D"/>
    <w:rsid w:val="00092526"/>
    <w:rsid w:val="00093A6A"/>
    <w:rsid w:val="00093E68"/>
    <w:rsid w:val="00097D34"/>
    <w:rsid w:val="000A1CF3"/>
    <w:rsid w:val="000A59B2"/>
    <w:rsid w:val="000A6EBE"/>
    <w:rsid w:val="000B1494"/>
    <w:rsid w:val="000B1D99"/>
    <w:rsid w:val="000C324B"/>
    <w:rsid w:val="000C5057"/>
    <w:rsid w:val="000C7E89"/>
    <w:rsid w:val="000C7F4B"/>
    <w:rsid w:val="000D3E7C"/>
    <w:rsid w:val="000D75C1"/>
    <w:rsid w:val="000E10FC"/>
    <w:rsid w:val="000E1E47"/>
    <w:rsid w:val="000E728A"/>
    <w:rsid w:val="000E7677"/>
    <w:rsid w:val="000F1FDE"/>
    <w:rsid w:val="000F2D91"/>
    <w:rsid w:val="000F5776"/>
    <w:rsid w:val="001022A6"/>
    <w:rsid w:val="001036B6"/>
    <w:rsid w:val="00104BDF"/>
    <w:rsid w:val="0010775F"/>
    <w:rsid w:val="00113218"/>
    <w:rsid w:val="001203E7"/>
    <w:rsid w:val="00123E91"/>
    <w:rsid w:val="00130F0F"/>
    <w:rsid w:val="00133A77"/>
    <w:rsid w:val="0013566C"/>
    <w:rsid w:val="00136294"/>
    <w:rsid w:val="00136B70"/>
    <w:rsid w:val="00144707"/>
    <w:rsid w:val="0014628D"/>
    <w:rsid w:val="00146837"/>
    <w:rsid w:val="001511F1"/>
    <w:rsid w:val="001528D4"/>
    <w:rsid w:val="00153643"/>
    <w:rsid w:val="0016006F"/>
    <w:rsid w:val="00160183"/>
    <w:rsid w:val="0016179E"/>
    <w:rsid w:val="00161F06"/>
    <w:rsid w:val="001635BB"/>
    <w:rsid w:val="0016372D"/>
    <w:rsid w:val="001643F2"/>
    <w:rsid w:val="00166274"/>
    <w:rsid w:val="00166BCF"/>
    <w:rsid w:val="00173E1F"/>
    <w:rsid w:val="00174FDF"/>
    <w:rsid w:val="0017625B"/>
    <w:rsid w:val="001841B9"/>
    <w:rsid w:val="001906F9"/>
    <w:rsid w:val="001908C8"/>
    <w:rsid w:val="00194A6C"/>
    <w:rsid w:val="00196B00"/>
    <w:rsid w:val="001A53FE"/>
    <w:rsid w:val="001A777E"/>
    <w:rsid w:val="001B008E"/>
    <w:rsid w:val="001B3CD9"/>
    <w:rsid w:val="001C0321"/>
    <w:rsid w:val="001C30AF"/>
    <w:rsid w:val="001C3864"/>
    <w:rsid w:val="001C5E2C"/>
    <w:rsid w:val="001C7259"/>
    <w:rsid w:val="001C74B1"/>
    <w:rsid w:val="001D1C53"/>
    <w:rsid w:val="001D2981"/>
    <w:rsid w:val="001D5E7B"/>
    <w:rsid w:val="001D619C"/>
    <w:rsid w:val="001D787D"/>
    <w:rsid w:val="001D7E6D"/>
    <w:rsid w:val="001E143B"/>
    <w:rsid w:val="001E239B"/>
    <w:rsid w:val="001E64EC"/>
    <w:rsid w:val="001E7D90"/>
    <w:rsid w:val="001F0807"/>
    <w:rsid w:val="001F756C"/>
    <w:rsid w:val="00200AD3"/>
    <w:rsid w:val="00201FA9"/>
    <w:rsid w:val="00204BA6"/>
    <w:rsid w:val="00210221"/>
    <w:rsid w:val="00210DEB"/>
    <w:rsid w:val="00211E27"/>
    <w:rsid w:val="0021332C"/>
    <w:rsid w:val="0021583E"/>
    <w:rsid w:val="0021746A"/>
    <w:rsid w:val="00220DBD"/>
    <w:rsid w:val="0022281F"/>
    <w:rsid w:val="0022465C"/>
    <w:rsid w:val="002253C2"/>
    <w:rsid w:val="002255AF"/>
    <w:rsid w:val="00226048"/>
    <w:rsid w:val="00227011"/>
    <w:rsid w:val="0023014A"/>
    <w:rsid w:val="00235129"/>
    <w:rsid w:val="002377BE"/>
    <w:rsid w:val="00237815"/>
    <w:rsid w:val="002469A5"/>
    <w:rsid w:val="002477CD"/>
    <w:rsid w:val="00247EBB"/>
    <w:rsid w:val="0025384B"/>
    <w:rsid w:val="00255F3E"/>
    <w:rsid w:val="00263EEE"/>
    <w:rsid w:val="00265559"/>
    <w:rsid w:val="00266ED3"/>
    <w:rsid w:val="00273600"/>
    <w:rsid w:val="00276751"/>
    <w:rsid w:val="00276888"/>
    <w:rsid w:val="00280E10"/>
    <w:rsid w:val="00283D60"/>
    <w:rsid w:val="00285EC6"/>
    <w:rsid w:val="00286BD2"/>
    <w:rsid w:val="00286DBB"/>
    <w:rsid w:val="00291F65"/>
    <w:rsid w:val="002962C8"/>
    <w:rsid w:val="00297706"/>
    <w:rsid w:val="002A5615"/>
    <w:rsid w:val="002A6DB0"/>
    <w:rsid w:val="002A6E62"/>
    <w:rsid w:val="002B269E"/>
    <w:rsid w:val="002B7411"/>
    <w:rsid w:val="002B799E"/>
    <w:rsid w:val="002C0AA6"/>
    <w:rsid w:val="002C4869"/>
    <w:rsid w:val="002C5133"/>
    <w:rsid w:val="002C5606"/>
    <w:rsid w:val="002C6856"/>
    <w:rsid w:val="002C6C5C"/>
    <w:rsid w:val="002C7674"/>
    <w:rsid w:val="002D0D81"/>
    <w:rsid w:val="002D21A0"/>
    <w:rsid w:val="002D2678"/>
    <w:rsid w:val="002D3F58"/>
    <w:rsid w:val="002D4BBA"/>
    <w:rsid w:val="002D7892"/>
    <w:rsid w:val="002E058C"/>
    <w:rsid w:val="002E2E3F"/>
    <w:rsid w:val="002E590C"/>
    <w:rsid w:val="002E70D9"/>
    <w:rsid w:val="002F0465"/>
    <w:rsid w:val="002F28E6"/>
    <w:rsid w:val="002F5795"/>
    <w:rsid w:val="002F6890"/>
    <w:rsid w:val="002F7937"/>
    <w:rsid w:val="003034D4"/>
    <w:rsid w:val="0030490C"/>
    <w:rsid w:val="00311A41"/>
    <w:rsid w:val="00315ED4"/>
    <w:rsid w:val="00317484"/>
    <w:rsid w:val="003203C6"/>
    <w:rsid w:val="00320C08"/>
    <w:rsid w:val="00321658"/>
    <w:rsid w:val="00322116"/>
    <w:rsid w:val="00322ADB"/>
    <w:rsid w:val="00324F9D"/>
    <w:rsid w:val="0033233F"/>
    <w:rsid w:val="00341D5A"/>
    <w:rsid w:val="00344202"/>
    <w:rsid w:val="00344817"/>
    <w:rsid w:val="0034604C"/>
    <w:rsid w:val="00347A8C"/>
    <w:rsid w:val="003545F0"/>
    <w:rsid w:val="0035612D"/>
    <w:rsid w:val="003623F7"/>
    <w:rsid w:val="0036488C"/>
    <w:rsid w:val="00373A11"/>
    <w:rsid w:val="0037742D"/>
    <w:rsid w:val="00377D49"/>
    <w:rsid w:val="00381350"/>
    <w:rsid w:val="00385FBF"/>
    <w:rsid w:val="00392591"/>
    <w:rsid w:val="003A0D89"/>
    <w:rsid w:val="003A10FF"/>
    <w:rsid w:val="003A1293"/>
    <w:rsid w:val="003A4BA5"/>
    <w:rsid w:val="003A5FBF"/>
    <w:rsid w:val="003B1227"/>
    <w:rsid w:val="003B17B7"/>
    <w:rsid w:val="003B20A6"/>
    <w:rsid w:val="003C211E"/>
    <w:rsid w:val="003C2333"/>
    <w:rsid w:val="003C4915"/>
    <w:rsid w:val="003C4B54"/>
    <w:rsid w:val="003D304B"/>
    <w:rsid w:val="003E0492"/>
    <w:rsid w:val="003E209D"/>
    <w:rsid w:val="003E26AC"/>
    <w:rsid w:val="003E3F9F"/>
    <w:rsid w:val="003E6C0F"/>
    <w:rsid w:val="003F0E03"/>
    <w:rsid w:val="003F2FFB"/>
    <w:rsid w:val="003F38D2"/>
    <w:rsid w:val="003F62B2"/>
    <w:rsid w:val="00400A1C"/>
    <w:rsid w:val="004012F1"/>
    <w:rsid w:val="0040145C"/>
    <w:rsid w:val="0040183E"/>
    <w:rsid w:val="00403337"/>
    <w:rsid w:val="00404FE1"/>
    <w:rsid w:val="00406C10"/>
    <w:rsid w:val="00407B62"/>
    <w:rsid w:val="00411246"/>
    <w:rsid w:val="00412138"/>
    <w:rsid w:val="00413260"/>
    <w:rsid w:val="004173DB"/>
    <w:rsid w:val="00427885"/>
    <w:rsid w:val="0043196D"/>
    <w:rsid w:val="00440A06"/>
    <w:rsid w:val="00441556"/>
    <w:rsid w:val="00442928"/>
    <w:rsid w:val="00445ADD"/>
    <w:rsid w:val="00451A4B"/>
    <w:rsid w:val="00453980"/>
    <w:rsid w:val="00453B38"/>
    <w:rsid w:val="00456546"/>
    <w:rsid w:val="00457806"/>
    <w:rsid w:val="004642C9"/>
    <w:rsid w:val="00466754"/>
    <w:rsid w:val="00470A96"/>
    <w:rsid w:val="00471449"/>
    <w:rsid w:val="0047460E"/>
    <w:rsid w:val="004757E3"/>
    <w:rsid w:val="00476C2B"/>
    <w:rsid w:val="00476C45"/>
    <w:rsid w:val="0048069F"/>
    <w:rsid w:val="00482787"/>
    <w:rsid w:val="004834FE"/>
    <w:rsid w:val="00490E13"/>
    <w:rsid w:val="00497353"/>
    <w:rsid w:val="004A1AC2"/>
    <w:rsid w:val="004A27A7"/>
    <w:rsid w:val="004B1B56"/>
    <w:rsid w:val="004B1F6B"/>
    <w:rsid w:val="004B64D5"/>
    <w:rsid w:val="004B7A11"/>
    <w:rsid w:val="004C34F1"/>
    <w:rsid w:val="004C5CA5"/>
    <w:rsid w:val="004D5C63"/>
    <w:rsid w:val="004E0395"/>
    <w:rsid w:val="004E2DAF"/>
    <w:rsid w:val="004E5C2B"/>
    <w:rsid w:val="004E6C12"/>
    <w:rsid w:val="004F7B26"/>
    <w:rsid w:val="00501399"/>
    <w:rsid w:val="005029F8"/>
    <w:rsid w:val="0050534A"/>
    <w:rsid w:val="00514803"/>
    <w:rsid w:val="005219B7"/>
    <w:rsid w:val="005246D7"/>
    <w:rsid w:val="00527A7A"/>
    <w:rsid w:val="0053060D"/>
    <w:rsid w:val="005312B0"/>
    <w:rsid w:val="0053520F"/>
    <w:rsid w:val="005356EF"/>
    <w:rsid w:val="005361A9"/>
    <w:rsid w:val="00536FCA"/>
    <w:rsid w:val="00543938"/>
    <w:rsid w:val="00543DE1"/>
    <w:rsid w:val="00544795"/>
    <w:rsid w:val="00545EEC"/>
    <w:rsid w:val="00550209"/>
    <w:rsid w:val="00552A43"/>
    <w:rsid w:val="00552E6C"/>
    <w:rsid w:val="00560940"/>
    <w:rsid w:val="00562A9F"/>
    <w:rsid w:val="005649D7"/>
    <w:rsid w:val="00567004"/>
    <w:rsid w:val="005701A1"/>
    <w:rsid w:val="00572273"/>
    <w:rsid w:val="00576223"/>
    <w:rsid w:val="005771A9"/>
    <w:rsid w:val="00580030"/>
    <w:rsid w:val="005920C9"/>
    <w:rsid w:val="0059458D"/>
    <w:rsid w:val="0059623E"/>
    <w:rsid w:val="00597710"/>
    <w:rsid w:val="00597999"/>
    <w:rsid w:val="00597A58"/>
    <w:rsid w:val="005A2FA8"/>
    <w:rsid w:val="005A413A"/>
    <w:rsid w:val="005A73D5"/>
    <w:rsid w:val="005B0BF2"/>
    <w:rsid w:val="005B4B5E"/>
    <w:rsid w:val="005B5AC3"/>
    <w:rsid w:val="005B61A4"/>
    <w:rsid w:val="005C4864"/>
    <w:rsid w:val="005D0487"/>
    <w:rsid w:val="005D07DC"/>
    <w:rsid w:val="005D2E26"/>
    <w:rsid w:val="005D50CE"/>
    <w:rsid w:val="005D6904"/>
    <w:rsid w:val="005E0EA8"/>
    <w:rsid w:val="005E2F86"/>
    <w:rsid w:val="005E3B5A"/>
    <w:rsid w:val="005E4BA6"/>
    <w:rsid w:val="005E6131"/>
    <w:rsid w:val="005E6733"/>
    <w:rsid w:val="005F0CD7"/>
    <w:rsid w:val="005F0DCD"/>
    <w:rsid w:val="005F1D65"/>
    <w:rsid w:val="0060267A"/>
    <w:rsid w:val="006030CB"/>
    <w:rsid w:val="00607C67"/>
    <w:rsid w:val="0061080C"/>
    <w:rsid w:val="00613033"/>
    <w:rsid w:val="00615213"/>
    <w:rsid w:val="006227FA"/>
    <w:rsid w:val="00627FB8"/>
    <w:rsid w:val="006304C3"/>
    <w:rsid w:val="006316E9"/>
    <w:rsid w:val="006346B2"/>
    <w:rsid w:val="00635973"/>
    <w:rsid w:val="00640B87"/>
    <w:rsid w:val="0064285C"/>
    <w:rsid w:val="00644216"/>
    <w:rsid w:val="00647A08"/>
    <w:rsid w:val="00655C3F"/>
    <w:rsid w:val="00655CCB"/>
    <w:rsid w:val="00660B56"/>
    <w:rsid w:val="00660DE5"/>
    <w:rsid w:val="006615E0"/>
    <w:rsid w:val="00661C7C"/>
    <w:rsid w:val="0066201A"/>
    <w:rsid w:val="00662C97"/>
    <w:rsid w:val="00662DAE"/>
    <w:rsid w:val="006663DF"/>
    <w:rsid w:val="006667AB"/>
    <w:rsid w:val="00666E0A"/>
    <w:rsid w:val="00672A4F"/>
    <w:rsid w:val="00674802"/>
    <w:rsid w:val="00674D34"/>
    <w:rsid w:val="006763F1"/>
    <w:rsid w:val="00681474"/>
    <w:rsid w:val="00681A3B"/>
    <w:rsid w:val="00684047"/>
    <w:rsid w:val="0068668D"/>
    <w:rsid w:val="00686F58"/>
    <w:rsid w:val="006971F0"/>
    <w:rsid w:val="00697412"/>
    <w:rsid w:val="006A2690"/>
    <w:rsid w:val="006A2E78"/>
    <w:rsid w:val="006A6A45"/>
    <w:rsid w:val="006A77C8"/>
    <w:rsid w:val="006B3498"/>
    <w:rsid w:val="006B40F0"/>
    <w:rsid w:val="006C1E90"/>
    <w:rsid w:val="006D098D"/>
    <w:rsid w:val="006D09D7"/>
    <w:rsid w:val="006D0F39"/>
    <w:rsid w:val="006D1F73"/>
    <w:rsid w:val="006D20EA"/>
    <w:rsid w:val="006D2FFE"/>
    <w:rsid w:val="006D5958"/>
    <w:rsid w:val="006E1734"/>
    <w:rsid w:val="006E1F96"/>
    <w:rsid w:val="006E4462"/>
    <w:rsid w:val="006E4476"/>
    <w:rsid w:val="006E65B4"/>
    <w:rsid w:val="006E67BD"/>
    <w:rsid w:val="006E6A44"/>
    <w:rsid w:val="006F0C22"/>
    <w:rsid w:val="006F5B7B"/>
    <w:rsid w:val="00702538"/>
    <w:rsid w:val="00704B68"/>
    <w:rsid w:val="00704D23"/>
    <w:rsid w:val="007054FF"/>
    <w:rsid w:val="007072D2"/>
    <w:rsid w:val="00712416"/>
    <w:rsid w:val="00713B3B"/>
    <w:rsid w:val="007204D5"/>
    <w:rsid w:val="007207B1"/>
    <w:rsid w:val="00722F9F"/>
    <w:rsid w:val="00723363"/>
    <w:rsid w:val="0072573B"/>
    <w:rsid w:val="0072635F"/>
    <w:rsid w:val="00727C6A"/>
    <w:rsid w:val="00734EDA"/>
    <w:rsid w:val="007357B2"/>
    <w:rsid w:val="0073783C"/>
    <w:rsid w:val="007438C6"/>
    <w:rsid w:val="00751FE7"/>
    <w:rsid w:val="00760986"/>
    <w:rsid w:val="00762B53"/>
    <w:rsid w:val="007654D7"/>
    <w:rsid w:val="007655DD"/>
    <w:rsid w:val="00767892"/>
    <w:rsid w:val="007701A6"/>
    <w:rsid w:val="00773B87"/>
    <w:rsid w:val="00773D33"/>
    <w:rsid w:val="00776F08"/>
    <w:rsid w:val="007775C1"/>
    <w:rsid w:val="00780356"/>
    <w:rsid w:val="00782254"/>
    <w:rsid w:val="00782488"/>
    <w:rsid w:val="00782C57"/>
    <w:rsid w:val="00783521"/>
    <w:rsid w:val="007844DD"/>
    <w:rsid w:val="00784CF5"/>
    <w:rsid w:val="00787894"/>
    <w:rsid w:val="0079316F"/>
    <w:rsid w:val="00793A51"/>
    <w:rsid w:val="007A01DA"/>
    <w:rsid w:val="007A093B"/>
    <w:rsid w:val="007A0DC3"/>
    <w:rsid w:val="007A222C"/>
    <w:rsid w:val="007A228A"/>
    <w:rsid w:val="007A79F4"/>
    <w:rsid w:val="007B010C"/>
    <w:rsid w:val="007B46DB"/>
    <w:rsid w:val="007C2742"/>
    <w:rsid w:val="007C5DF9"/>
    <w:rsid w:val="007C759D"/>
    <w:rsid w:val="007D40B9"/>
    <w:rsid w:val="007D4410"/>
    <w:rsid w:val="007D7AC1"/>
    <w:rsid w:val="007E4FDB"/>
    <w:rsid w:val="007F0202"/>
    <w:rsid w:val="007F28C5"/>
    <w:rsid w:val="007F30D5"/>
    <w:rsid w:val="007F3341"/>
    <w:rsid w:val="008027A4"/>
    <w:rsid w:val="0080372A"/>
    <w:rsid w:val="0080408C"/>
    <w:rsid w:val="00805EF5"/>
    <w:rsid w:val="00806106"/>
    <w:rsid w:val="00807CD5"/>
    <w:rsid w:val="008133E7"/>
    <w:rsid w:val="00817800"/>
    <w:rsid w:val="00820626"/>
    <w:rsid w:val="00824269"/>
    <w:rsid w:val="00825FCF"/>
    <w:rsid w:val="00830A25"/>
    <w:rsid w:val="0083321C"/>
    <w:rsid w:val="008349BA"/>
    <w:rsid w:val="00834ED3"/>
    <w:rsid w:val="008372E6"/>
    <w:rsid w:val="0084056B"/>
    <w:rsid w:val="00840BA8"/>
    <w:rsid w:val="008415F3"/>
    <w:rsid w:val="008531C8"/>
    <w:rsid w:val="008564AD"/>
    <w:rsid w:val="008564D4"/>
    <w:rsid w:val="008579F1"/>
    <w:rsid w:val="00861F54"/>
    <w:rsid w:val="00862BD7"/>
    <w:rsid w:val="0086655D"/>
    <w:rsid w:val="0086756E"/>
    <w:rsid w:val="008716EF"/>
    <w:rsid w:val="00871719"/>
    <w:rsid w:val="0087381F"/>
    <w:rsid w:val="00874CC8"/>
    <w:rsid w:val="00881EE6"/>
    <w:rsid w:val="008835CD"/>
    <w:rsid w:val="008857C9"/>
    <w:rsid w:val="00886571"/>
    <w:rsid w:val="00887AE9"/>
    <w:rsid w:val="0089052D"/>
    <w:rsid w:val="00890C7B"/>
    <w:rsid w:val="00897D4D"/>
    <w:rsid w:val="00897E48"/>
    <w:rsid w:val="008A0604"/>
    <w:rsid w:val="008A0A1F"/>
    <w:rsid w:val="008A0A8B"/>
    <w:rsid w:val="008A5C4F"/>
    <w:rsid w:val="008B5BC9"/>
    <w:rsid w:val="008B67CE"/>
    <w:rsid w:val="008B6D32"/>
    <w:rsid w:val="008B7156"/>
    <w:rsid w:val="008C162B"/>
    <w:rsid w:val="008C311F"/>
    <w:rsid w:val="008C5E82"/>
    <w:rsid w:val="008C69E8"/>
    <w:rsid w:val="008D066A"/>
    <w:rsid w:val="008D39C9"/>
    <w:rsid w:val="008D48FF"/>
    <w:rsid w:val="008D4916"/>
    <w:rsid w:val="008D54AC"/>
    <w:rsid w:val="008D57EF"/>
    <w:rsid w:val="008E04D6"/>
    <w:rsid w:val="008E0C97"/>
    <w:rsid w:val="008E148F"/>
    <w:rsid w:val="008E4E10"/>
    <w:rsid w:val="008E5A99"/>
    <w:rsid w:val="008E5BC5"/>
    <w:rsid w:val="008E6644"/>
    <w:rsid w:val="008E6B4B"/>
    <w:rsid w:val="008F02AB"/>
    <w:rsid w:val="008F21DA"/>
    <w:rsid w:val="008F2680"/>
    <w:rsid w:val="008F47F4"/>
    <w:rsid w:val="008F56C4"/>
    <w:rsid w:val="008F5C13"/>
    <w:rsid w:val="00900E34"/>
    <w:rsid w:val="00902A49"/>
    <w:rsid w:val="00904338"/>
    <w:rsid w:val="00904504"/>
    <w:rsid w:val="00904959"/>
    <w:rsid w:val="00905D2B"/>
    <w:rsid w:val="009106A5"/>
    <w:rsid w:val="00910D79"/>
    <w:rsid w:val="009118DF"/>
    <w:rsid w:val="00911A57"/>
    <w:rsid w:val="00915C32"/>
    <w:rsid w:val="00917273"/>
    <w:rsid w:val="00921A4C"/>
    <w:rsid w:val="00922492"/>
    <w:rsid w:val="0092414B"/>
    <w:rsid w:val="00925536"/>
    <w:rsid w:val="00932B62"/>
    <w:rsid w:val="0094180C"/>
    <w:rsid w:val="009428A9"/>
    <w:rsid w:val="00943645"/>
    <w:rsid w:val="00943A43"/>
    <w:rsid w:val="009441BC"/>
    <w:rsid w:val="00944D05"/>
    <w:rsid w:val="0095473E"/>
    <w:rsid w:val="0096265E"/>
    <w:rsid w:val="009638C4"/>
    <w:rsid w:val="00965C0E"/>
    <w:rsid w:val="00966563"/>
    <w:rsid w:val="0097051A"/>
    <w:rsid w:val="00970926"/>
    <w:rsid w:val="009728C8"/>
    <w:rsid w:val="009738F1"/>
    <w:rsid w:val="00973F1A"/>
    <w:rsid w:val="00974170"/>
    <w:rsid w:val="00976C7A"/>
    <w:rsid w:val="0098103E"/>
    <w:rsid w:val="009811FB"/>
    <w:rsid w:val="009819B5"/>
    <w:rsid w:val="00981DCE"/>
    <w:rsid w:val="0099188D"/>
    <w:rsid w:val="00992C77"/>
    <w:rsid w:val="0099552C"/>
    <w:rsid w:val="009A0BD2"/>
    <w:rsid w:val="009A3B8B"/>
    <w:rsid w:val="009A5A69"/>
    <w:rsid w:val="009B032F"/>
    <w:rsid w:val="009B0466"/>
    <w:rsid w:val="009B14CC"/>
    <w:rsid w:val="009B34CD"/>
    <w:rsid w:val="009B58AE"/>
    <w:rsid w:val="009B6F65"/>
    <w:rsid w:val="009B7B06"/>
    <w:rsid w:val="009C0C83"/>
    <w:rsid w:val="009C0C89"/>
    <w:rsid w:val="009C1AB3"/>
    <w:rsid w:val="009D027F"/>
    <w:rsid w:val="009D083A"/>
    <w:rsid w:val="009D3340"/>
    <w:rsid w:val="009D604C"/>
    <w:rsid w:val="009E3463"/>
    <w:rsid w:val="009E3486"/>
    <w:rsid w:val="009E3DAD"/>
    <w:rsid w:val="009E4FA0"/>
    <w:rsid w:val="009F0197"/>
    <w:rsid w:val="009F13E9"/>
    <w:rsid w:val="009F331E"/>
    <w:rsid w:val="009F3F1A"/>
    <w:rsid w:val="009F40A3"/>
    <w:rsid w:val="009F57EC"/>
    <w:rsid w:val="00A05389"/>
    <w:rsid w:val="00A1208B"/>
    <w:rsid w:val="00A13B2D"/>
    <w:rsid w:val="00A20D21"/>
    <w:rsid w:val="00A2605F"/>
    <w:rsid w:val="00A3153F"/>
    <w:rsid w:val="00A33C8B"/>
    <w:rsid w:val="00A3795B"/>
    <w:rsid w:val="00A42123"/>
    <w:rsid w:val="00A4245B"/>
    <w:rsid w:val="00A43739"/>
    <w:rsid w:val="00A4633F"/>
    <w:rsid w:val="00A479CA"/>
    <w:rsid w:val="00A50CDE"/>
    <w:rsid w:val="00A51B1F"/>
    <w:rsid w:val="00A55E86"/>
    <w:rsid w:val="00A624FE"/>
    <w:rsid w:val="00A63799"/>
    <w:rsid w:val="00A67E37"/>
    <w:rsid w:val="00A701E7"/>
    <w:rsid w:val="00A71B51"/>
    <w:rsid w:val="00A7208C"/>
    <w:rsid w:val="00A74110"/>
    <w:rsid w:val="00A76C2D"/>
    <w:rsid w:val="00A779DA"/>
    <w:rsid w:val="00A77A75"/>
    <w:rsid w:val="00A80E7D"/>
    <w:rsid w:val="00A81647"/>
    <w:rsid w:val="00A851E0"/>
    <w:rsid w:val="00A859BC"/>
    <w:rsid w:val="00A87383"/>
    <w:rsid w:val="00A94BA1"/>
    <w:rsid w:val="00A95C85"/>
    <w:rsid w:val="00A96945"/>
    <w:rsid w:val="00AA1386"/>
    <w:rsid w:val="00AA1E21"/>
    <w:rsid w:val="00AA5CD1"/>
    <w:rsid w:val="00AA741C"/>
    <w:rsid w:val="00AB0A00"/>
    <w:rsid w:val="00AB1702"/>
    <w:rsid w:val="00AB57EC"/>
    <w:rsid w:val="00AB5A0B"/>
    <w:rsid w:val="00AB626A"/>
    <w:rsid w:val="00AC1FBF"/>
    <w:rsid w:val="00AC209E"/>
    <w:rsid w:val="00AC46C6"/>
    <w:rsid w:val="00AD1616"/>
    <w:rsid w:val="00AD42C9"/>
    <w:rsid w:val="00AE3CC9"/>
    <w:rsid w:val="00AE53F4"/>
    <w:rsid w:val="00AE69E9"/>
    <w:rsid w:val="00AF1748"/>
    <w:rsid w:val="00AF447C"/>
    <w:rsid w:val="00AF4B02"/>
    <w:rsid w:val="00AF5E93"/>
    <w:rsid w:val="00AF71B1"/>
    <w:rsid w:val="00B01B9B"/>
    <w:rsid w:val="00B022F2"/>
    <w:rsid w:val="00B02DDB"/>
    <w:rsid w:val="00B040A2"/>
    <w:rsid w:val="00B07450"/>
    <w:rsid w:val="00B11E29"/>
    <w:rsid w:val="00B1373D"/>
    <w:rsid w:val="00B210F0"/>
    <w:rsid w:val="00B2226B"/>
    <w:rsid w:val="00B224FC"/>
    <w:rsid w:val="00B230D7"/>
    <w:rsid w:val="00B308F9"/>
    <w:rsid w:val="00B3147E"/>
    <w:rsid w:val="00B33BAB"/>
    <w:rsid w:val="00B376D1"/>
    <w:rsid w:val="00B44434"/>
    <w:rsid w:val="00B4542C"/>
    <w:rsid w:val="00B4559E"/>
    <w:rsid w:val="00B45D57"/>
    <w:rsid w:val="00B47C20"/>
    <w:rsid w:val="00B50F36"/>
    <w:rsid w:val="00B5657A"/>
    <w:rsid w:val="00B56F5B"/>
    <w:rsid w:val="00B578E7"/>
    <w:rsid w:val="00B57FCF"/>
    <w:rsid w:val="00B6188B"/>
    <w:rsid w:val="00B65D9B"/>
    <w:rsid w:val="00B6744C"/>
    <w:rsid w:val="00B716B0"/>
    <w:rsid w:val="00B7234A"/>
    <w:rsid w:val="00B73DD9"/>
    <w:rsid w:val="00B932F9"/>
    <w:rsid w:val="00B94D6E"/>
    <w:rsid w:val="00BA23DA"/>
    <w:rsid w:val="00BA3021"/>
    <w:rsid w:val="00BA3093"/>
    <w:rsid w:val="00BA4450"/>
    <w:rsid w:val="00BA72BA"/>
    <w:rsid w:val="00BA792F"/>
    <w:rsid w:val="00BB0627"/>
    <w:rsid w:val="00BB0DC3"/>
    <w:rsid w:val="00BB24A4"/>
    <w:rsid w:val="00BB24B1"/>
    <w:rsid w:val="00BB6DDF"/>
    <w:rsid w:val="00BB7F55"/>
    <w:rsid w:val="00BC5F49"/>
    <w:rsid w:val="00BC7013"/>
    <w:rsid w:val="00BC711A"/>
    <w:rsid w:val="00BD38D9"/>
    <w:rsid w:val="00BE3554"/>
    <w:rsid w:val="00BE44C8"/>
    <w:rsid w:val="00BE4879"/>
    <w:rsid w:val="00BE6DA2"/>
    <w:rsid w:val="00BF5252"/>
    <w:rsid w:val="00C01643"/>
    <w:rsid w:val="00C02118"/>
    <w:rsid w:val="00C03BF4"/>
    <w:rsid w:val="00C04E29"/>
    <w:rsid w:val="00C04ED8"/>
    <w:rsid w:val="00C07636"/>
    <w:rsid w:val="00C10C7B"/>
    <w:rsid w:val="00C122DB"/>
    <w:rsid w:val="00C12740"/>
    <w:rsid w:val="00C1284F"/>
    <w:rsid w:val="00C15CE5"/>
    <w:rsid w:val="00C16147"/>
    <w:rsid w:val="00C22023"/>
    <w:rsid w:val="00C23796"/>
    <w:rsid w:val="00C31704"/>
    <w:rsid w:val="00C3342B"/>
    <w:rsid w:val="00C342EE"/>
    <w:rsid w:val="00C36697"/>
    <w:rsid w:val="00C37958"/>
    <w:rsid w:val="00C41167"/>
    <w:rsid w:val="00C51D6F"/>
    <w:rsid w:val="00C51D76"/>
    <w:rsid w:val="00C51F09"/>
    <w:rsid w:val="00C52A93"/>
    <w:rsid w:val="00C61D55"/>
    <w:rsid w:val="00C62951"/>
    <w:rsid w:val="00C6567A"/>
    <w:rsid w:val="00C71F22"/>
    <w:rsid w:val="00C72478"/>
    <w:rsid w:val="00C73B63"/>
    <w:rsid w:val="00C81A63"/>
    <w:rsid w:val="00C81B98"/>
    <w:rsid w:val="00C87A7A"/>
    <w:rsid w:val="00C87CFA"/>
    <w:rsid w:val="00C926AB"/>
    <w:rsid w:val="00C96025"/>
    <w:rsid w:val="00CA0E45"/>
    <w:rsid w:val="00CC063C"/>
    <w:rsid w:val="00CC15B6"/>
    <w:rsid w:val="00CC406E"/>
    <w:rsid w:val="00CC5335"/>
    <w:rsid w:val="00CC5759"/>
    <w:rsid w:val="00CC61A7"/>
    <w:rsid w:val="00CD1395"/>
    <w:rsid w:val="00CD2E50"/>
    <w:rsid w:val="00CE1A7F"/>
    <w:rsid w:val="00CE3018"/>
    <w:rsid w:val="00CE49EB"/>
    <w:rsid w:val="00CE5FDE"/>
    <w:rsid w:val="00CF0B3C"/>
    <w:rsid w:val="00CF38D0"/>
    <w:rsid w:val="00CF5F37"/>
    <w:rsid w:val="00CF62BF"/>
    <w:rsid w:val="00CF6AB3"/>
    <w:rsid w:val="00D0184D"/>
    <w:rsid w:val="00D02A52"/>
    <w:rsid w:val="00D04BE6"/>
    <w:rsid w:val="00D066BB"/>
    <w:rsid w:val="00D0738A"/>
    <w:rsid w:val="00D10323"/>
    <w:rsid w:val="00D10BE3"/>
    <w:rsid w:val="00D143AB"/>
    <w:rsid w:val="00D16001"/>
    <w:rsid w:val="00D1746F"/>
    <w:rsid w:val="00D17858"/>
    <w:rsid w:val="00D22BAA"/>
    <w:rsid w:val="00D2501F"/>
    <w:rsid w:val="00D268E7"/>
    <w:rsid w:val="00D33BE8"/>
    <w:rsid w:val="00D3753C"/>
    <w:rsid w:val="00D37998"/>
    <w:rsid w:val="00D37A71"/>
    <w:rsid w:val="00D41751"/>
    <w:rsid w:val="00D43AC7"/>
    <w:rsid w:val="00D50C5E"/>
    <w:rsid w:val="00D51247"/>
    <w:rsid w:val="00D5680F"/>
    <w:rsid w:val="00D6251E"/>
    <w:rsid w:val="00D64B57"/>
    <w:rsid w:val="00D66691"/>
    <w:rsid w:val="00D71583"/>
    <w:rsid w:val="00D763BE"/>
    <w:rsid w:val="00D769DE"/>
    <w:rsid w:val="00D76D77"/>
    <w:rsid w:val="00D77A86"/>
    <w:rsid w:val="00D81D2A"/>
    <w:rsid w:val="00D82224"/>
    <w:rsid w:val="00D83A69"/>
    <w:rsid w:val="00D93190"/>
    <w:rsid w:val="00D9356E"/>
    <w:rsid w:val="00D94311"/>
    <w:rsid w:val="00DA3055"/>
    <w:rsid w:val="00DA3E4F"/>
    <w:rsid w:val="00DA4688"/>
    <w:rsid w:val="00DB1CCA"/>
    <w:rsid w:val="00DB32BF"/>
    <w:rsid w:val="00DC353D"/>
    <w:rsid w:val="00DD026E"/>
    <w:rsid w:val="00DD2772"/>
    <w:rsid w:val="00DD69B4"/>
    <w:rsid w:val="00DD71AE"/>
    <w:rsid w:val="00DD7604"/>
    <w:rsid w:val="00DE09CB"/>
    <w:rsid w:val="00DF0B4D"/>
    <w:rsid w:val="00DF5202"/>
    <w:rsid w:val="00DF737C"/>
    <w:rsid w:val="00DF7CE7"/>
    <w:rsid w:val="00E0732B"/>
    <w:rsid w:val="00E10674"/>
    <w:rsid w:val="00E125B3"/>
    <w:rsid w:val="00E13CF7"/>
    <w:rsid w:val="00E16573"/>
    <w:rsid w:val="00E2329D"/>
    <w:rsid w:val="00E23901"/>
    <w:rsid w:val="00E27CE8"/>
    <w:rsid w:val="00E33447"/>
    <w:rsid w:val="00E40716"/>
    <w:rsid w:val="00E41569"/>
    <w:rsid w:val="00E41D05"/>
    <w:rsid w:val="00E42D76"/>
    <w:rsid w:val="00E456D2"/>
    <w:rsid w:val="00E50EC4"/>
    <w:rsid w:val="00E54BCF"/>
    <w:rsid w:val="00E57D42"/>
    <w:rsid w:val="00E61924"/>
    <w:rsid w:val="00E626F4"/>
    <w:rsid w:val="00E66D99"/>
    <w:rsid w:val="00E67442"/>
    <w:rsid w:val="00E708E5"/>
    <w:rsid w:val="00E709D0"/>
    <w:rsid w:val="00E77E6F"/>
    <w:rsid w:val="00E81915"/>
    <w:rsid w:val="00E83502"/>
    <w:rsid w:val="00E864A9"/>
    <w:rsid w:val="00E93A08"/>
    <w:rsid w:val="00E94436"/>
    <w:rsid w:val="00E95108"/>
    <w:rsid w:val="00E96B11"/>
    <w:rsid w:val="00EA1C44"/>
    <w:rsid w:val="00EA45EC"/>
    <w:rsid w:val="00EB1FFA"/>
    <w:rsid w:val="00EB5F0F"/>
    <w:rsid w:val="00EB62A6"/>
    <w:rsid w:val="00EB720F"/>
    <w:rsid w:val="00EB7260"/>
    <w:rsid w:val="00EC0CD5"/>
    <w:rsid w:val="00EC4D2A"/>
    <w:rsid w:val="00EC4F64"/>
    <w:rsid w:val="00EC7428"/>
    <w:rsid w:val="00ED34A9"/>
    <w:rsid w:val="00ED381E"/>
    <w:rsid w:val="00ED4F96"/>
    <w:rsid w:val="00ED5885"/>
    <w:rsid w:val="00ED5DC5"/>
    <w:rsid w:val="00EE0DCA"/>
    <w:rsid w:val="00EE11AD"/>
    <w:rsid w:val="00EE6962"/>
    <w:rsid w:val="00EE7D97"/>
    <w:rsid w:val="00EF52D9"/>
    <w:rsid w:val="00EF5CFD"/>
    <w:rsid w:val="00F01BB5"/>
    <w:rsid w:val="00F01D8D"/>
    <w:rsid w:val="00F04263"/>
    <w:rsid w:val="00F10DE5"/>
    <w:rsid w:val="00F1101C"/>
    <w:rsid w:val="00F12E9A"/>
    <w:rsid w:val="00F13145"/>
    <w:rsid w:val="00F141EC"/>
    <w:rsid w:val="00F14D45"/>
    <w:rsid w:val="00F16C18"/>
    <w:rsid w:val="00F20E73"/>
    <w:rsid w:val="00F24B45"/>
    <w:rsid w:val="00F24B7A"/>
    <w:rsid w:val="00F30295"/>
    <w:rsid w:val="00F303F9"/>
    <w:rsid w:val="00F31139"/>
    <w:rsid w:val="00F34520"/>
    <w:rsid w:val="00F3637A"/>
    <w:rsid w:val="00F420E5"/>
    <w:rsid w:val="00F42F69"/>
    <w:rsid w:val="00F4317E"/>
    <w:rsid w:val="00F46528"/>
    <w:rsid w:val="00F507EE"/>
    <w:rsid w:val="00F543AF"/>
    <w:rsid w:val="00F55092"/>
    <w:rsid w:val="00F56089"/>
    <w:rsid w:val="00F60C74"/>
    <w:rsid w:val="00F624B1"/>
    <w:rsid w:val="00F62709"/>
    <w:rsid w:val="00F62C11"/>
    <w:rsid w:val="00F66086"/>
    <w:rsid w:val="00F6726E"/>
    <w:rsid w:val="00F71B6D"/>
    <w:rsid w:val="00F72493"/>
    <w:rsid w:val="00F748E2"/>
    <w:rsid w:val="00F75C91"/>
    <w:rsid w:val="00F77C57"/>
    <w:rsid w:val="00F81CFA"/>
    <w:rsid w:val="00F8262B"/>
    <w:rsid w:val="00F82C6C"/>
    <w:rsid w:val="00F84103"/>
    <w:rsid w:val="00F86B10"/>
    <w:rsid w:val="00F86B2C"/>
    <w:rsid w:val="00F872F8"/>
    <w:rsid w:val="00F935E8"/>
    <w:rsid w:val="00F9625E"/>
    <w:rsid w:val="00FA0A60"/>
    <w:rsid w:val="00FA0FCB"/>
    <w:rsid w:val="00FB3D45"/>
    <w:rsid w:val="00FB7525"/>
    <w:rsid w:val="00FB754D"/>
    <w:rsid w:val="00FC023F"/>
    <w:rsid w:val="00FC0E2B"/>
    <w:rsid w:val="00FC2261"/>
    <w:rsid w:val="00FC2DE7"/>
    <w:rsid w:val="00FC3011"/>
    <w:rsid w:val="00FC4C68"/>
    <w:rsid w:val="00FC7526"/>
    <w:rsid w:val="00FC76E5"/>
    <w:rsid w:val="00FD0816"/>
    <w:rsid w:val="00FD089C"/>
    <w:rsid w:val="00FD2EAC"/>
    <w:rsid w:val="00FD3252"/>
    <w:rsid w:val="00FD3705"/>
    <w:rsid w:val="00FE27A9"/>
    <w:rsid w:val="00FE4030"/>
    <w:rsid w:val="00FE4871"/>
    <w:rsid w:val="00FF3A94"/>
    <w:rsid w:val="00FF3F2F"/>
    <w:rsid w:val="00FF5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92A229-1191-42D6-8F88-A96A5136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F9D"/>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4F9D"/>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324F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D066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066BB"/>
    <w:rPr>
      <w:rFonts w:ascii="Times New Roman" w:eastAsia="宋体" w:hAnsi="Times New Roman" w:cs="Times New Roman"/>
      <w:sz w:val="18"/>
      <w:szCs w:val="18"/>
    </w:rPr>
  </w:style>
  <w:style w:type="paragraph" w:styleId="a5">
    <w:name w:val="footer"/>
    <w:basedOn w:val="a"/>
    <w:link w:val="Char0"/>
    <w:uiPriority w:val="99"/>
    <w:unhideWhenUsed/>
    <w:rsid w:val="00D066BB"/>
    <w:pPr>
      <w:tabs>
        <w:tab w:val="center" w:pos="4153"/>
        <w:tab w:val="right" w:pos="8306"/>
      </w:tabs>
      <w:snapToGrid w:val="0"/>
      <w:jc w:val="left"/>
    </w:pPr>
    <w:rPr>
      <w:sz w:val="18"/>
      <w:szCs w:val="18"/>
    </w:rPr>
  </w:style>
  <w:style w:type="character" w:customStyle="1" w:styleId="Char0">
    <w:name w:val="页脚 Char"/>
    <w:basedOn w:val="a0"/>
    <w:link w:val="a5"/>
    <w:uiPriority w:val="99"/>
    <w:rsid w:val="00D066BB"/>
    <w:rPr>
      <w:rFonts w:ascii="Times New Roman" w:eastAsia="宋体" w:hAnsi="Times New Roman" w:cs="Times New Roman"/>
      <w:sz w:val="18"/>
      <w:szCs w:val="18"/>
    </w:rPr>
  </w:style>
  <w:style w:type="paragraph" w:styleId="a6">
    <w:name w:val="List Paragraph"/>
    <w:basedOn w:val="a"/>
    <w:uiPriority w:val="34"/>
    <w:qFormat/>
    <w:rsid w:val="00AF447C"/>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070919">
      <w:bodyDiv w:val="1"/>
      <w:marLeft w:val="0"/>
      <w:marRight w:val="0"/>
      <w:marTop w:val="0"/>
      <w:marBottom w:val="0"/>
      <w:divBdr>
        <w:top w:val="none" w:sz="0" w:space="0" w:color="auto"/>
        <w:left w:val="none" w:sz="0" w:space="0" w:color="auto"/>
        <w:bottom w:val="none" w:sz="0" w:space="0" w:color="auto"/>
        <w:right w:val="none" w:sz="0" w:space="0" w:color="auto"/>
      </w:divBdr>
    </w:div>
    <w:div w:id="1061558502">
      <w:bodyDiv w:val="1"/>
      <w:marLeft w:val="0"/>
      <w:marRight w:val="0"/>
      <w:marTop w:val="0"/>
      <w:marBottom w:val="0"/>
      <w:divBdr>
        <w:top w:val="none" w:sz="0" w:space="0" w:color="auto"/>
        <w:left w:val="none" w:sz="0" w:space="0" w:color="auto"/>
        <w:bottom w:val="none" w:sz="0" w:space="0" w:color="auto"/>
        <w:right w:val="none" w:sz="0" w:space="0" w:color="auto"/>
      </w:divBdr>
    </w:div>
    <w:div w:id="1252929142">
      <w:bodyDiv w:val="1"/>
      <w:marLeft w:val="0"/>
      <w:marRight w:val="0"/>
      <w:marTop w:val="0"/>
      <w:marBottom w:val="0"/>
      <w:divBdr>
        <w:top w:val="none" w:sz="0" w:space="0" w:color="auto"/>
        <w:left w:val="none" w:sz="0" w:space="0" w:color="auto"/>
        <w:bottom w:val="none" w:sz="0" w:space="0" w:color="auto"/>
        <w:right w:val="none" w:sz="0" w:space="0" w:color="auto"/>
      </w:divBdr>
    </w:div>
    <w:div w:id="1458451751">
      <w:bodyDiv w:val="1"/>
      <w:marLeft w:val="0"/>
      <w:marRight w:val="0"/>
      <w:marTop w:val="0"/>
      <w:marBottom w:val="0"/>
      <w:divBdr>
        <w:top w:val="none" w:sz="0" w:space="0" w:color="auto"/>
        <w:left w:val="none" w:sz="0" w:space="0" w:color="auto"/>
        <w:bottom w:val="none" w:sz="0" w:space="0" w:color="auto"/>
        <w:right w:val="none" w:sz="0" w:space="0" w:color="auto"/>
      </w:divBdr>
    </w:div>
    <w:div w:id="1873876609">
      <w:bodyDiv w:val="1"/>
      <w:marLeft w:val="0"/>
      <w:marRight w:val="0"/>
      <w:marTop w:val="0"/>
      <w:marBottom w:val="0"/>
      <w:divBdr>
        <w:top w:val="none" w:sz="0" w:space="0" w:color="auto"/>
        <w:left w:val="none" w:sz="0" w:space="0" w:color="auto"/>
        <w:bottom w:val="none" w:sz="0" w:space="0" w:color="auto"/>
        <w:right w:val="none" w:sz="0" w:space="0" w:color="auto"/>
      </w:divBdr>
    </w:div>
    <w:div w:id="20815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546</Words>
  <Characters>3115</Characters>
  <Application>Microsoft Office Word</Application>
  <DocSecurity>0</DocSecurity>
  <Lines>25</Lines>
  <Paragraphs>7</Paragraphs>
  <ScaleCrop>false</ScaleCrop>
  <Company>china</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庞正伟</cp:lastModifiedBy>
  <cp:revision>3</cp:revision>
  <dcterms:created xsi:type="dcterms:W3CDTF">2020-07-11T02:42:00Z</dcterms:created>
  <dcterms:modified xsi:type="dcterms:W3CDTF">2020-07-11T02:55:00Z</dcterms:modified>
</cp:coreProperties>
</file>