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6"/>
        <w:jc w:val="left"/>
        <w:rPr>
          <w:rFonts w:hint="eastAsia" w:eastAsia="宋体"/>
          <w:bCs/>
          <w:sz w:val="24"/>
          <w:szCs w:val="32"/>
          <w:lang w:eastAsia="zh-CN"/>
        </w:rPr>
      </w:pPr>
      <w:r>
        <w:rPr>
          <w:bCs/>
          <w:sz w:val="24"/>
          <w:szCs w:val="32"/>
        </w:rPr>
        <w:t xml:space="preserve">证券代码:300818  </w:t>
      </w:r>
      <w:r>
        <w:rPr>
          <w:rFonts w:hint="eastAsia"/>
          <w:bCs/>
          <w:sz w:val="24"/>
          <w:szCs w:val="32"/>
        </w:rPr>
        <w:t xml:space="preserve">           </w:t>
      </w:r>
      <w:r>
        <w:rPr>
          <w:bCs/>
          <w:sz w:val="24"/>
          <w:szCs w:val="32"/>
        </w:rPr>
        <w:t xml:space="preserve">证券简称:耐普矿机           </w:t>
      </w:r>
      <w:r>
        <w:rPr>
          <w:bCs/>
          <w:iCs/>
          <w:color w:val="000000"/>
          <w:sz w:val="24"/>
        </w:rPr>
        <w:t xml:space="preserve">编号： </w:t>
      </w:r>
      <w:r>
        <w:rPr>
          <w:bCs/>
          <w:iCs/>
          <w:color w:val="000000"/>
          <w:sz w:val="24"/>
          <w:highlight w:val="none"/>
        </w:rPr>
        <w:t>202000</w:t>
      </w:r>
      <w:r>
        <w:rPr>
          <w:rFonts w:hint="eastAsia"/>
          <w:bCs/>
          <w:iCs/>
          <w:color w:val="000000"/>
          <w:sz w:val="24"/>
          <w:highlight w:val="none"/>
          <w:lang w:val="en-US" w:eastAsia="zh-CN"/>
        </w:rPr>
        <w:t>5</w:t>
      </w:r>
    </w:p>
    <w:p>
      <w:pPr>
        <w:pStyle w:val="16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pStyle w:val="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江西耐普矿机新材料股份有限公司</w:t>
      </w:r>
    </w:p>
    <w:p>
      <w:pPr>
        <w:pStyle w:val="16"/>
        <w:jc w:val="center"/>
        <w:rPr>
          <w:rFonts w:hint="eastAsia" w:ascii="宋体" w:hAnsi="宋体" w:eastAsia="宋体"/>
          <w:bCs/>
          <w:i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投资者关系活动记录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42" w:tblpY="439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24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tabs>
                <w:tab w:val="left" w:pos="3045"/>
                <w:tab w:val="center" w:pos="3199"/>
              </w:tabs>
              <w:spacing w:line="24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24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特定对象调研        □分析师会议</w:t>
            </w:r>
          </w:p>
          <w:p>
            <w:pPr>
              <w:tabs>
                <w:tab w:val="left" w:pos="3045"/>
                <w:tab w:val="center" w:pos="3199"/>
              </w:tabs>
              <w:spacing w:line="24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□媒体采访            □业绩说明会</w:t>
            </w:r>
          </w:p>
          <w:p>
            <w:pPr>
              <w:tabs>
                <w:tab w:val="left" w:pos="3045"/>
                <w:tab w:val="center" w:pos="3199"/>
              </w:tabs>
              <w:spacing w:line="24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24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□现场参观            □一对一沟通</w:t>
            </w:r>
          </w:p>
          <w:p>
            <w:pPr>
              <w:tabs>
                <w:tab w:val="left" w:pos="2625"/>
              </w:tabs>
              <w:spacing w:line="24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□其他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24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上海古乔投资合伙企业（有限合伙）总经理：刘俊</w:t>
            </w:r>
          </w:p>
          <w:p>
            <w:pPr>
              <w:spacing w:line="360" w:lineRule="auto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光大证券资产管理有限公司研究员： 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24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24" w:lineRule="atLeast"/>
              <w:rPr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4"/>
                <w:lang w:val="en-US" w:eastAsia="zh-CN"/>
              </w:rPr>
              <w:t>2020年7月17日13:00--14:30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24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</w:tabs>
              <w:spacing w:line="24" w:lineRule="atLeast"/>
              <w:rPr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副总经理、董事会秘书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王磊先生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董事会办公室主任：董强先生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2"/>
              </w:rPr>
              <w:t>投资者关系活动主要内容介绍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8" w:lineRule="auto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1、公司二季度业绩怎样？公司针对疫情采取了哪些积极措施？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firstLine="480" w:firstLineChars="200"/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答：二季度以来，国内疫情逐步得到控制，公司生产经营已基本恢复正常；同时，由于国外疫情不断加重，给公司国外市场的产品开拓及服务带来了较大的影响，基于此，公司加大了国内市场开发的力度，以弥补国外疫情带来的不利影响。公司二季度业绩已较一季度出现明显改善。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firstLine="482" w:firstLineChars="200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2、公司的技术研发情况？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firstLine="480" w:firstLineChars="200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答：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公司的核心技术包括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余种橡胶材料配方和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种金属材料配方。公司核心技术在国内同行业中处于领先地位，主要产品的技术指标可以达到国际先进水平。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  <w:t>公司的核心产品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</w:rPr>
              <w:t>橡胶耐磨备件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  <w:t>相较于传统金属设备基于耐磨性好、成本优势、安装便利、节能、环保等优势，形成了部分替代。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2" w:firstLineChars="200"/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2"/>
                <w:lang w:val="en-US" w:eastAsia="zh-CN"/>
              </w:rPr>
              <w:t>3、公司所属行业前景如何？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0" w:firstLineChars="200"/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  <w:t>答：公司所属行业为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</w:rPr>
              <w:t>选矿设备制造行业属于矿山机械制造行业的细分行业，其下游行业为采矿行业。</w:t>
            </w:r>
            <w:r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公司行业属于新兴行业，新材料备件替代传统金属备件，未来行业增长空间较大，公司会做好技术和市场开拓，努力成为国际知名选矿机械及备件提供商。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2" w:firstLineChars="200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4、公司的额尔登特项目进展怎样？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0" w:firstLineChars="200"/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答：该项目于2019年12月签署，为主要承接额尔登特矿业公司“年产量 600 万吨自磨厂房 4 号生产线建造和投产”相关的供货、工程服务等工作，合同总价款125,888,800.00 美元。目前已累计收到额尔登特矿业公司支付的56,649,867.00美元，占合同总价款的45%。该项目已于7月份破土动工建设。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2" w:firstLineChars="200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5、公司未来的发展规划？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0" w:firstLineChars="200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答：首先，公司会坚定主业，继续做大做强，加大市场开拓和投入力度，提升市场占有率；其次，丰富公司的产品线，结合募投项目，实现部分产品的采购替代，提升公司的盈利能力；再其次，实现由单一的产品销售向方案提供商转变，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</w:rPr>
              <w:t>利用公司的技术和数据积累，与国内外矿业巨头合作，为客户提供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eastAsia="zh-CN"/>
              </w:rPr>
              <w:t>全套选矿方案设计及建设，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</w:rPr>
              <w:t>类似于蒙古国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额尔登特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</w:rPr>
              <w:t>项目EPC式服务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  <w:t>最后，不断加大研发投入，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</w:rPr>
              <w:t>保持公司产品技术优势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2"/>
                <w:lang w:val="en-US" w:eastAsia="zh-CN"/>
              </w:rPr>
              <w:t>同时寻找上下游的投资机会，进行投资或收购。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0" w:firstLineChars="200"/>
              <w:rPr>
                <w:rFonts w:hint="eastAsia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iCs/>
                <w:color w:val="000000"/>
                <w:sz w:val="24"/>
                <w:szCs w:val="22"/>
                <w:lang w:val="en-US" w:eastAsia="zh-CN"/>
              </w:rPr>
              <w:t>6、</w:t>
            </w:r>
            <w:r>
              <w:rPr>
                <w:rFonts w:hint="eastAsia" w:cs="Times New Roman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2020年公司在人才培养方面有哪些计划？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0" w:firstLineChars="200"/>
              <w:rPr>
                <w:rFonts w:hint="eastAsia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iCs/>
                <w:color w:val="000000"/>
                <w:sz w:val="24"/>
                <w:szCs w:val="22"/>
                <w:lang w:val="en-US" w:eastAsia="zh-CN"/>
              </w:rPr>
              <w:t>答：</w:t>
            </w:r>
            <w:r>
              <w:rPr>
                <w:rFonts w:hint="eastAsia" w:cs="Times New Roman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公司今年主要招聘两块人才较多，分别是研发技术人员以及外语外贸人才，公司努力培养这些人才，提高技术含量，做好营销渠道，包括海外市场。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0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iCs/>
                <w:color w:val="000000"/>
                <w:sz w:val="24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公司在国内的竞争对手主要有那些?与他们相比咱们的优势在哪里?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2" w:firstLineChars="200"/>
              <w:rPr>
                <w:rFonts w:hint="eastAsia" w:ascii="宋体" w:hAnsi="宋体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答：</w:t>
            </w:r>
            <w:r>
              <w:rPr>
                <w:rFonts w:hint="eastAsia" w:ascii="宋体" w:hAnsi="宋体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公司目前在国内属于细分行业领先者，国内的竞争对手一般产品比较单一或者规模较小，公司的产品线比较丰富。同时，公司部分技术水平、产品质量等已具有世界先进水平。</w:t>
            </w:r>
          </w:p>
          <w:p>
            <w:pPr>
              <w:numPr>
                <w:ilvl w:val="0"/>
                <w:numId w:val="1"/>
              </w:numPr>
              <w:spacing w:line="288" w:lineRule="auto"/>
              <w:ind w:leftChars="0" w:firstLine="482" w:firstLineChars="200"/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华为推出智能矿山联合解决方案，是否预示未来采矿行业效率更高？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Chars="0" w:firstLine="482" w:firstLineChars="200"/>
              <w:rPr>
                <w:rFonts w:hint="default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iCs/>
                <w:color w:val="000000"/>
                <w:sz w:val="24"/>
                <w:szCs w:val="22"/>
                <w:lang w:val="en-US" w:eastAsia="zh-CN"/>
              </w:rPr>
              <w:t>答：</w:t>
            </w:r>
            <w:r>
              <w:rPr>
                <w:rFonts w:hint="eastAsia" w:ascii="宋体" w:hAnsi="宋体"/>
                <w:b w:val="0"/>
                <w:bCs/>
                <w:iCs/>
                <w:color w:val="000000"/>
                <w:sz w:val="24"/>
                <w:szCs w:val="22"/>
                <w:lang w:val="en-US" w:eastAsia="zh-CN"/>
              </w:rPr>
              <w:t>未来智能矿山是行业发展趋势，我们也在不断提高产品技术含量，不断研发使用新技术的产品，未来采矿和选矿效率都会提高。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hint="default" w:ascii="Times New Roman" w:hAnsi="Times New Roman" w:eastAsia="宋体" w:cs="Times New Roman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4"/>
                <w:lang w:val="en-US" w:eastAsia="zh-CN"/>
              </w:rPr>
              <w:t>2020年7月17日</w:t>
            </w:r>
          </w:p>
        </w:tc>
      </w:tr>
    </w:tbl>
    <w:p/>
    <w:sectPr>
      <w:pgSz w:w="11906" w:h="16838"/>
      <w:pgMar w:top="1440" w:right="1800" w:bottom="1440" w:left="1800" w:header="851" w:footer="754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C8A"/>
    <w:multiLevelType w:val="singleLevel"/>
    <w:tmpl w:val="34D03C8A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9BB"/>
    <w:rsid w:val="000334CD"/>
    <w:rsid w:val="0003731D"/>
    <w:rsid w:val="00043C76"/>
    <w:rsid w:val="00053739"/>
    <w:rsid w:val="000647CE"/>
    <w:rsid w:val="00074B09"/>
    <w:rsid w:val="00076322"/>
    <w:rsid w:val="000815DC"/>
    <w:rsid w:val="00092875"/>
    <w:rsid w:val="000935FD"/>
    <w:rsid w:val="000A5604"/>
    <w:rsid w:val="000A6A3F"/>
    <w:rsid w:val="000B7790"/>
    <w:rsid w:val="000C3D32"/>
    <w:rsid w:val="000D2D87"/>
    <w:rsid w:val="000F4FA1"/>
    <w:rsid w:val="001303D3"/>
    <w:rsid w:val="00131D92"/>
    <w:rsid w:val="00156CBA"/>
    <w:rsid w:val="00172A27"/>
    <w:rsid w:val="0018706F"/>
    <w:rsid w:val="001924EE"/>
    <w:rsid w:val="00197E78"/>
    <w:rsid w:val="001B5D77"/>
    <w:rsid w:val="001D74EB"/>
    <w:rsid w:val="00204EF2"/>
    <w:rsid w:val="00212669"/>
    <w:rsid w:val="00214229"/>
    <w:rsid w:val="00220ACD"/>
    <w:rsid w:val="00241161"/>
    <w:rsid w:val="00245F46"/>
    <w:rsid w:val="002504EE"/>
    <w:rsid w:val="00257862"/>
    <w:rsid w:val="002645BE"/>
    <w:rsid w:val="002A4172"/>
    <w:rsid w:val="002B753E"/>
    <w:rsid w:val="002C2E0E"/>
    <w:rsid w:val="002F1732"/>
    <w:rsid w:val="002F304F"/>
    <w:rsid w:val="00310AF0"/>
    <w:rsid w:val="00325E43"/>
    <w:rsid w:val="00354907"/>
    <w:rsid w:val="00376E14"/>
    <w:rsid w:val="00380CE2"/>
    <w:rsid w:val="00390C4F"/>
    <w:rsid w:val="00396F85"/>
    <w:rsid w:val="003A3598"/>
    <w:rsid w:val="003C1CD1"/>
    <w:rsid w:val="003C37F4"/>
    <w:rsid w:val="003F0863"/>
    <w:rsid w:val="0042106F"/>
    <w:rsid w:val="00422DB2"/>
    <w:rsid w:val="00425819"/>
    <w:rsid w:val="004344D6"/>
    <w:rsid w:val="004567BF"/>
    <w:rsid w:val="004643DC"/>
    <w:rsid w:val="00484E0B"/>
    <w:rsid w:val="00495227"/>
    <w:rsid w:val="00495929"/>
    <w:rsid w:val="004A2280"/>
    <w:rsid w:val="004A2A73"/>
    <w:rsid w:val="004A6BD0"/>
    <w:rsid w:val="005046C3"/>
    <w:rsid w:val="0052074E"/>
    <w:rsid w:val="00540675"/>
    <w:rsid w:val="00543739"/>
    <w:rsid w:val="00557D84"/>
    <w:rsid w:val="00572767"/>
    <w:rsid w:val="00575BAF"/>
    <w:rsid w:val="005767C4"/>
    <w:rsid w:val="005860EF"/>
    <w:rsid w:val="005A1B3E"/>
    <w:rsid w:val="005B0805"/>
    <w:rsid w:val="005C5817"/>
    <w:rsid w:val="0060260D"/>
    <w:rsid w:val="006048D8"/>
    <w:rsid w:val="00626163"/>
    <w:rsid w:val="0063544A"/>
    <w:rsid w:val="00651EEB"/>
    <w:rsid w:val="006569BD"/>
    <w:rsid w:val="00695A52"/>
    <w:rsid w:val="00696817"/>
    <w:rsid w:val="006A041E"/>
    <w:rsid w:val="006B207B"/>
    <w:rsid w:val="006B363C"/>
    <w:rsid w:val="006B7C0C"/>
    <w:rsid w:val="006C004E"/>
    <w:rsid w:val="006C0E53"/>
    <w:rsid w:val="00724016"/>
    <w:rsid w:val="0076714E"/>
    <w:rsid w:val="0079191F"/>
    <w:rsid w:val="00795DCD"/>
    <w:rsid w:val="00823CFF"/>
    <w:rsid w:val="00831AE6"/>
    <w:rsid w:val="0086398E"/>
    <w:rsid w:val="0088492D"/>
    <w:rsid w:val="00890E67"/>
    <w:rsid w:val="00893C54"/>
    <w:rsid w:val="008A0C1C"/>
    <w:rsid w:val="008B4C3D"/>
    <w:rsid w:val="008B5188"/>
    <w:rsid w:val="008C46B9"/>
    <w:rsid w:val="008E4AA3"/>
    <w:rsid w:val="00900567"/>
    <w:rsid w:val="009051F3"/>
    <w:rsid w:val="009137AF"/>
    <w:rsid w:val="0091644C"/>
    <w:rsid w:val="00917005"/>
    <w:rsid w:val="0093681A"/>
    <w:rsid w:val="00944D22"/>
    <w:rsid w:val="00957B28"/>
    <w:rsid w:val="009641D8"/>
    <w:rsid w:val="00965D90"/>
    <w:rsid w:val="00972319"/>
    <w:rsid w:val="00980231"/>
    <w:rsid w:val="00985B1C"/>
    <w:rsid w:val="009B403B"/>
    <w:rsid w:val="009C3204"/>
    <w:rsid w:val="009C7DDD"/>
    <w:rsid w:val="009D4B6F"/>
    <w:rsid w:val="009D5C75"/>
    <w:rsid w:val="009E3C1B"/>
    <w:rsid w:val="009F1653"/>
    <w:rsid w:val="00A20BEA"/>
    <w:rsid w:val="00A23B9D"/>
    <w:rsid w:val="00A30158"/>
    <w:rsid w:val="00A304FE"/>
    <w:rsid w:val="00A53231"/>
    <w:rsid w:val="00A61007"/>
    <w:rsid w:val="00A73CB3"/>
    <w:rsid w:val="00A86C04"/>
    <w:rsid w:val="00A9350C"/>
    <w:rsid w:val="00AA6B4E"/>
    <w:rsid w:val="00AB6C9E"/>
    <w:rsid w:val="00AC5816"/>
    <w:rsid w:val="00AD7486"/>
    <w:rsid w:val="00AF69FA"/>
    <w:rsid w:val="00B11464"/>
    <w:rsid w:val="00B11CA6"/>
    <w:rsid w:val="00B264AA"/>
    <w:rsid w:val="00B342AB"/>
    <w:rsid w:val="00B72116"/>
    <w:rsid w:val="00B84E54"/>
    <w:rsid w:val="00B86EEF"/>
    <w:rsid w:val="00B92EF7"/>
    <w:rsid w:val="00B93038"/>
    <w:rsid w:val="00B9314C"/>
    <w:rsid w:val="00BA3702"/>
    <w:rsid w:val="00BA7F51"/>
    <w:rsid w:val="00BB24E1"/>
    <w:rsid w:val="00BD7E3E"/>
    <w:rsid w:val="00C00B3E"/>
    <w:rsid w:val="00C046C2"/>
    <w:rsid w:val="00C04991"/>
    <w:rsid w:val="00C074EA"/>
    <w:rsid w:val="00C213D1"/>
    <w:rsid w:val="00C222FC"/>
    <w:rsid w:val="00C33C38"/>
    <w:rsid w:val="00C5396F"/>
    <w:rsid w:val="00C65EDC"/>
    <w:rsid w:val="00C82A41"/>
    <w:rsid w:val="00C95010"/>
    <w:rsid w:val="00CA741A"/>
    <w:rsid w:val="00CB0088"/>
    <w:rsid w:val="00CB1D3D"/>
    <w:rsid w:val="00CB7AC7"/>
    <w:rsid w:val="00CC6B30"/>
    <w:rsid w:val="00CC795D"/>
    <w:rsid w:val="00CD2FFA"/>
    <w:rsid w:val="00CF1125"/>
    <w:rsid w:val="00CF2996"/>
    <w:rsid w:val="00CF4469"/>
    <w:rsid w:val="00CF505B"/>
    <w:rsid w:val="00D07800"/>
    <w:rsid w:val="00D13552"/>
    <w:rsid w:val="00D17892"/>
    <w:rsid w:val="00D21833"/>
    <w:rsid w:val="00D374F6"/>
    <w:rsid w:val="00D6285D"/>
    <w:rsid w:val="00D701AA"/>
    <w:rsid w:val="00D8709A"/>
    <w:rsid w:val="00D87F0F"/>
    <w:rsid w:val="00D93B8B"/>
    <w:rsid w:val="00D93BB3"/>
    <w:rsid w:val="00D953FB"/>
    <w:rsid w:val="00DA4C58"/>
    <w:rsid w:val="00DB36FD"/>
    <w:rsid w:val="00DB370F"/>
    <w:rsid w:val="00DE2DB7"/>
    <w:rsid w:val="00DF2CA3"/>
    <w:rsid w:val="00DF3409"/>
    <w:rsid w:val="00DF5E32"/>
    <w:rsid w:val="00E1724E"/>
    <w:rsid w:val="00E23224"/>
    <w:rsid w:val="00E426FC"/>
    <w:rsid w:val="00E54E3C"/>
    <w:rsid w:val="00E70929"/>
    <w:rsid w:val="00EA1611"/>
    <w:rsid w:val="00EA1C4E"/>
    <w:rsid w:val="00EA75BC"/>
    <w:rsid w:val="00EB2128"/>
    <w:rsid w:val="00EF146B"/>
    <w:rsid w:val="00EF50FB"/>
    <w:rsid w:val="00F13391"/>
    <w:rsid w:val="00F245E8"/>
    <w:rsid w:val="00F364F3"/>
    <w:rsid w:val="00F54D24"/>
    <w:rsid w:val="00F567EF"/>
    <w:rsid w:val="00F84015"/>
    <w:rsid w:val="00F8759C"/>
    <w:rsid w:val="00F93688"/>
    <w:rsid w:val="00FA0DAF"/>
    <w:rsid w:val="00FB1456"/>
    <w:rsid w:val="00FB7BA4"/>
    <w:rsid w:val="00FF610C"/>
    <w:rsid w:val="02244B55"/>
    <w:rsid w:val="070F4336"/>
    <w:rsid w:val="0A8E5858"/>
    <w:rsid w:val="0B775D4F"/>
    <w:rsid w:val="0B8B63AA"/>
    <w:rsid w:val="12056290"/>
    <w:rsid w:val="22E07551"/>
    <w:rsid w:val="247C7DA0"/>
    <w:rsid w:val="29C00063"/>
    <w:rsid w:val="307564C4"/>
    <w:rsid w:val="38494C5A"/>
    <w:rsid w:val="4C2C68BE"/>
    <w:rsid w:val="4DDD1CE4"/>
    <w:rsid w:val="55293B53"/>
    <w:rsid w:val="59722E8A"/>
    <w:rsid w:val="5B352EF8"/>
    <w:rsid w:val="5FB91D60"/>
    <w:rsid w:val="61ED24D9"/>
    <w:rsid w:val="632F7836"/>
    <w:rsid w:val="6CAA35C6"/>
    <w:rsid w:val="726D4BD0"/>
    <w:rsid w:val="74C270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0" w:semiHidden="0" w:name="header"/>
    <w:lsdException w:qFormat="1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1" w:semiHidden="0" w:name="Hyperlink"/>
    <w:lsdException w:qFormat="1"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iPriority="99" w:semiHidden="0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1"/>
    <w:pPr>
      <w:wordWrap w:val="0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qFormat/>
    <w:uiPriority w:val="1"/>
    <w:rPr>
      <w:color w:val="333333"/>
      <w:u w:val="none"/>
    </w:rPr>
  </w:style>
  <w:style w:type="character" w:styleId="9">
    <w:name w:val="Emphasis"/>
    <w:basedOn w:val="7"/>
    <w:qFormat/>
    <w:uiPriority w:val="1"/>
  </w:style>
  <w:style w:type="character" w:styleId="10">
    <w:name w:val="Hyperlink"/>
    <w:basedOn w:val="7"/>
    <w:unhideWhenUsed/>
    <w:qFormat/>
    <w:uiPriority w:val="1"/>
    <w:rPr>
      <w:color w:val="0563C1" w:themeColor="hyperlink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报告正文 Char"/>
    <w:link w:val="14"/>
    <w:qFormat/>
    <w:uiPriority w:val="0"/>
    <w:rPr>
      <w:rFonts w:ascii="宋体" w:hAnsi="宋体"/>
      <w:sz w:val="24"/>
      <w:szCs w:val="24"/>
    </w:rPr>
  </w:style>
  <w:style w:type="paragraph" w:customStyle="1" w:styleId="14">
    <w:name w:val="报告正文"/>
    <w:basedOn w:val="1"/>
    <w:link w:val="13"/>
    <w:qFormat/>
    <w:uiPriority w:val="0"/>
    <w:pPr>
      <w:spacing w:afterLines="50" w:line="400" w:lineRule="exact"/>
      <w:ind w:firstLine="200" w:firstLineChars="200"/>
    </w:pPr>
    <w:rPr>
      <w:rFonts w:ascii="宋体" w:hAnsi="宋体"/>
      <w:kern w:val="0"/>
      <w:sz w:val="24"/>
      <w:szCs w:val="24"/>
    </w:rPr>
  </w:style>
  <w:style w:type="character" w:customStyle="1" w:styleId="15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9">
    <w:name w:val="first-child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458</Words>
  <Characters>2617</Characters>
  <Lines>21</Lines>
  <Paragraphs>6</Paragraphs>
  <TotalTime>0</TotalTime>
  <ScaleCrop>false</ScaleCrop>
  <LinksUpToDate>false</LinksUpToDate>
  <CharactersWithSpaces>3069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2018-04-04T08:48:00Z</dcterms:created>
  <dc:creator>刘周阳</dc:creator>
  <cp:lastModifiedBy>邢银龙</cp:lastModifiedBy>
  <cp:lastPrinted>2016-01-21T13:51:00Z</cp:lastPrinted>
  <dcterms:modified xsi:type="dcterms:W3CDTF">2020-07-21T08:15:51Z</dcterms:modified>
  <dc:title>云南白药集团股份有限公司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