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ind w:firstLine="480" w:firstLineChars="200"/>
        <w:rPr>
          <w:rFonts w:ascii="宋体"/>
          <w:bCs/>
          <w:iCs/>
          <w:sz w:val="24"/>
        </w:rPr>
      </w:pPr>
      <w:r>
        <w:rPr>
          <w:rFonts w:hint="eastAsia" w:ascii="宋体" w:hAnsi="宋体"/>
          <w:bCs/>
          <w:iCs/>
          <w:sz w:val="24"/>
        </w:rPr>
        <w:t>证券代码：300773</w:t>
      </w:r>
      <w:r>
        <w:rPr>
          <w:rFonts w:ascii="宋体" w:hAnsi="宋体"/>
          <w:bCs/>
          <w:iCs/>
          <w:sz w:val="24"/>
        </w:rPr>
        <w:t xml:space="preserve">                                  </w:t>
      </w:r>
      <w:r>
        <w:rPr>
          <w:rFonts w:hint="eastAsia" w:ascii="宋体" w:hAnsi="宋体"/>
          <w:bCs/>
          <w:iCs/>
          <w:sz w:val="24"/>
        </w:rPr>
        <w:t>证券简称：拉卡拉</w:t>
      </w:r>
    </w:p>
    <w:p>
      <w:pPr>
        <w:spacing w:before="312" w:beforeLines="100" w:after="312" w:afterLines="100" w:line="400" w:lineRule="exact"/>
        <w:ind w:firstLine="482" w:firstLineChars="200"/>
        <w:jc w:val="center"/>
        <w:rPr>
          <w:rFonts w:ascii="宋体"/>
          <w:b/>
          <w:bCs/>
          <w:iCs/>
          <w:sz w:val="24"/>
          <w:szCs w:val="24"/>
        </w:rPr>
      </w:pPr>
      <w:r>
        <w:rPr>
          <w:rFonts w:hint="eastAsia" w:ascii="宋体" w:hAnsi="宋体"/>
          <w:b/>
          <w:bCs/>
          <w:iCs/>
          <w:sz w:val="24"/>
          <w:szCs w:val="24"/>
        </w:rPr>
        <w:t>拉卡拉支付股份公司投资者关系活动记录表</w:t>
      </w:r>
    </w:p>
    <w:p>
      <w:pPr>
        <w:spacing w:line="400" w:lineRule="exact"/>
        <w:ind w:firstLine="480" w:firstLineChars="200"/>
        <w:jc w:val="right"/>
        <w:rPr>
          <w:rFonts w:ascii="宋体"/>
          <w:bCs/>
          <w:iCs/>
          <w:sz w:val="24"/>
          <w:szCs w:val="24"/>
        </w:rPr>
      </w:pPr>
      <w:r>
        <w:rPr>
          <w:rFonts w:hint="eastAsia" w:ascii="宋体" w:hAnsi="宋体"/>
          <w:bCs/>
          <w:iCs/>
          <w:sz w:val="24"/>
          <w:szCs w:val="24"/>
        </w:rPr>
        <w:t>编号：20200721001</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6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tLeast"/>
              <w:jc w:val="center"/>
              <w:rPr>
                <w:rFonts w:ascii="宋体" w:hAnsi="宋体"/>
                <w:b/>
                <w:bCs/>
                <w:iCs/>
                <w:sz w:val="24"/>
                <w:szCs w:val="24"/>
              </w:rPr>
            </w:pPr>
            <w:r>
              <w:rPr>
                <w:rFonts w:hint="eastAsia" w:ascii="宋体" w:hAnsi="宋体"/>
                <w:b/>
                <w:bCs/>
                <w:iCs/>
                <w:sz w:val="24"/>
                <w:szCs w:val="24"/>
              </w:rPr>
              <w:t>投资者关系</w:t>
            </w:r>
          </w:p>
          <w:p>
            <w:pPr>
              <w:spacing w:line="480" w:lineRule="atLeast"/>
              <w:jc w:val="center"/>
              <w:rPr>
                <w:rFonts w:ascii="宋体"/>
                <w:b/>
                <w:bCs/>
                <w:iCs/>
                <w:sz w:val="24"/>
                <w:szCs w:val="24"/>
              </w:rPr>
            </w:pPr>
            <w:r>
              <w:rPr>
                <w:rFonts w:hint="eastAsia" w:ascii="宋体" w:hAnsi="宋体"/>
                <w:b/>
                <w:bCs/>
                <w:iCs/>
                <w:sz w:val="24"/>
                <w:szCs w:val="24"/>
              </w:rPr>
              <w:t>活动类别</w:t>
            </w:r>
          </w:p>
        </w:tc>
        <w:tc>
          <w:tcPr>
            <w:tcW w:w="6713" w:type="dxa"/>
          </w:tcPr>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特定对象调研</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分析师会议</w:t>
            </w:r>
          </w:p>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媒体采访</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业绩说明会</w:t>
            </w:r>
          </w:p>
          <w:p>
            <w:pPr>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新闻发布会</w:t>
            </w:r>
            <w:r>
              <w:rPr>
                <w:rFonts w:ascii="宋体" w:hAnsi="宋体"/>
                <w:sz w:val="24"/>
                <w:szCs w:val="24"/>
              </w:rPr>
              <w:t xml:space="preserve">          </w:t>
            </w:r>
            <w:r>
              <w:rPr>
                <w:rFonts w:hint="eastAsia" w:ascii="宋体" w:hAnsi="宋体"/>
                <w:bCs/>
                <w:iCs/>
                <w:sz w:val="24"/>
                <w:szCs w:val="24"/>
              </w:rPr>
              <w:t>□</w:t>
            </w:r>
            <w:r>
              <w:rPr>
                <w:rFonts w:hint="eastAsia" w:ascii="宋体" w:hAnsi="宋体"/>
                <w:sz w:val="24"/>
                <w:szCs w:val="24"/>
              </w:rPr>
              <w:t>路演活动</w:t>
            </w:r>
          </w:p>
          <w:p>
            <w:pPr>
              <w:tabs>
                <w:tab w:val="left" w:pos="3045"/>
                <w:tab w:val="center" w:pos="3199"/>
              </w:tabs>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现场参观</w:t>
            </w:r>
            <w:r>
              <w:rPr>
                <w:rFonts w:ascii="宋体"/>
                <w:bCs/>
                <w:iCs/>
                <w:sz w:val="24"/>
                <w:szCs w:val="24"/>
              </w:rPr>
              <w:tab/>
            </w:r>
          </w:p>
          <w:p>
            <w:pPr>
              <w:tabs>
                <w:tab w:val="center" w:pos="3199"/>
              </w:tabs>
              <w:spacing w:line="480" w:lineRule="atLeast"/>
              <w:ind w:firstLine="480" w:firstLineChars="200"/>
              <w:rPr>
                <w:rFonts w:ascii="宋体"/>
                <w:bCs/>
                <w:iCs/>
                <w:sz w:val="24"/>
                <w:szCs w:val="24"/>
              </w:rPr>
            </w:pPr>
            <w:r>
              <w:rPr>
                <w:rFonts w:hint="eastAsia" w:ascii="宋体" w:hAnsi="宋体"/>
                <w:bCs/>
                <w:iCs/>
                <w:sz w:val="24"/>
                <w:szCs w:val="24"/>
              </w:rPr>
              <w:t>□</w:t>
            </w:r>
            <w:r>
              <w:rPr>
                <w:rFonts w:hint="eastAsia" w:ascii="宋体" w:hAnsi="宋体"/>
                <w:sz w:val="24"/>
                <w:szCs w:val="24"/>
              </w:rPr>
              <w:t>其他</w:t>
            </w:r>
            <w:r>
              <w:rPr>
                <w:rFonts w:ascii="宋体" w:hAnsi="宋体"/>
                <w:sz w:val="24"/>
                <w:szCs w:val="24"/>
              </w:rPr>
              <w:t xml:space="preserve"> </w:t>
            </w:r>
            <w:r>
              <w:rPr>
                <w:rFonts w:hint="eastAsia" w:ascii="宋体" w:hAnsi="宋体"/>
                <w:sz w:val="24"/>
                <w:szCs w:val="24"/>
              </w:rPr>
              <w:t>（</w:t>
            </w:r>
            <w:r>
              <w:rPr>
                <w:rFonts w:hint="eastAsia" w:ascii="宋体" w:hAnsi="宋体"/>
                <w:sz w:val="24"/>
                <w:szCs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1809" w:type="dxa"/>
          </w:tcPr>
          <w:p>
            <w:pPr>
              <w:spacing w:line="480" w:lineRule="atLeast"/>
              <w:rPr>
                <w:rFonts w:ascii="宋体" w:hAnsi="宋体"/>
                <w:b/>
                <w:bCs/>
                <w:iCs/>
                <w:sz w:val="24"/>
                <w:szCs w:val="24"/>
              </w:rPr>
            </w:pPr>
            <w:r>
              <w:rPr>
                <w:rFonts w:hint="eastAsia" w:ascii="宋体" w:hAnsi="宋体"/>
                <w:b/>
                <w:bCs/>
                <w:iCs/>
                <w:sz w:val="24"/>
                <w:szCs w:val="24"/>
              </w:rPr>
              <w:t>参与单位名称</w:t>
            </w:r>
          </w:p>
          <w:p>
            <w:pPr>
              <w:spacing w:line="480" w:lineRule="atLeast"/>
              <w:rPr>
                <w:rFonts w:ascii="宋体"/>
                <w:b/>
                <w:bCs/>
                <w:iCs/>
                <w:sz w:val="24"/>
                <w:szCs w:val="24"/>
              </w:rPr>
            </w:pPr>
            <w:r>
              <w:rPr>
                <w:rFonts w:hint="eastAsia" w:ascii="宋体" w:hAnsi="宋体"/>
                <w:b/>
                <w:bCs/>
                <w:iCs/>
                <w:sz w:val="24"/>
                <w:szCs w:val="24"/>
              </w:rPr>
              <w:t>及人员姓名</w:t>
            </w:r>
          </w:p>
        </w:tc>
        <w:tc>
          <w:tcPr>
            <w:tcW w:w="6713" w:type="dxa"/>
          </w:tcPr>
          <w:tbl>
            <w:tblPr>
              <w:tblStyle w:val="8"/>
              <w:tblW w:w="11551" w:type="dxa"/>
              <w:tblInd w:w="0" w:type="dxa"/>
              <w:tblLayout w:type="fixed"/>
              <w:tblCellMar>
                <w:top w:w="0" w:type="dxa"/>
                <w:left w:w="0" w:type="dxa"/>
                <w:bottom w:w="0" w:type="dxa"/>
                <w:right w:w="0" w:type="dxa"/>
              </w:tblCellMar>
            </w:tblPr>
            <w:tblGrid>
              <w:gridCol w:w="2995"/>
              <w:gridCol w:w="2852"/>
              <w:gridCol w:w="2852"/>
              <w:gridCol w:w="2852"/>
            </w:tblGrid>
            <w:tr>
              <w:trPr>
                <w:gridAfter w:val="2"/>
                <w:wAfter w:w="5704" w:type="dxa"/>
                <w:trHeight w:val="301" w:hRule="atLeast"/>
              </w:trPr>
              <w:tc>
                <w:tcPr>
                  <w:tcW w:w="2995" w:type="dxa"/>
                  <w:tcBorders>
                    <w:top w:val="single" w:color="7684C3" w:sz="4" w:space="0"/>
                    <w:left w:val="single" w:color="91D051"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微软雅黑" w:hAnsi="微软雅黑" w:eastAsia="微软雅黑" w:cs="微软雅黑"/>
                      <w:b/>
                      <w:color w:val="000000"/>
                      <w:sz w:val="20"/>
                    </w:rPr>
                  </w:pPr>
                  <w:r>
                    <w:rPr>
                      <w:rFonts w:hint="eastAsia" w:ascii="微软雅黑" w:hAnsi="微软雅黑" w:eastAsia="微软雅黑" w:cs="微软雅黑"/>
                      <w:b/>
                      <w:color w:val="000000"/>
                      <w:kern w:val="0"/>
                      <w:sz w:val="20"/>
                      <w:lang w:bidi="ar"/>
                    </w:rPr>
                    <w:t>机构</w:t>
                  </w:r>
                </w:p>
              </w:tc>
              <w:tc>
                <w:tcPr>
                  <w:tcW w:w="2852" w:type="dxa"/>
                  <w:tcBorders>
                    <w:top w:val="single" w:color="7684C3" w:sz="4" w:space="0"/>
                    <w:left w:val="single" w:color="91D051" w:sz="4" w:space="0"/>
                    <w:bottom w:val="nil"/>
                    <w:right w:val="nil"/>
                  </w:tcBorders>
                  <w:shd w:val="clear" w:color="auto" w:fill="auto"/>
                  <w:noWrap/>
                  <w:tcMar>
                    <w:top w:w="10" w:type="dxa"/>
                    <w:left w:w="10" w:type="dxa"/>
                    <w:right w:w="10" w:type="dxa"/>
                  </w:tcMar>
                  <w:vAlign w:val="center"/>
                </w:tcPr>
                <w:p>
                  <w:pPr>
                    <w:widowControl/>
                    <w:jc w:val="center"/>
                    <w:textAlignment w:val="center"/>
                    <w:rPr>
                      <w:rFonts w:ascii="微软雅黑" w:hAnsi="微软雅黑" w:eastAsia="微软雅黑" w:cs="微软雅黑"/>
                      <w:b/>
                      <w:color w:val="000000"/>
                      <w:sz w:val="20"/>
                    </w:rPr>
                  </w:pPr>
                  <w:r>
                    <w:rPr>
                      <w:rFonts w:hint="eastAsia" w:ascii="微软雅黑" w:hAnsi="微软雅黑" w:eastAsia="微软雅黑" w:cs="微软雅黑"/>
                      <w:b/>
                      <w:color w:val="000000"/>
                      <w:kern w:val="0"/>
                      <w:sz w:val="20"/>
                      <w:lang w:bidi="ar"/>
                    </w:rPr>
                    <w:t>姓名</w:t>
                  </w:r>
                </w:p>
              </w:tc>
            </w:tr>
            <w:tr>
              <w:tblPrEx>
                <w:tblCellMar>
                  <w:top w:w="0" w:type="dxa"/>
                  <w:left w:w="0" w:type="dxa"/>
                  <w:bottom w:w="0" w:type="dxa"/>
                  <w:right w:w="0" w:type="dxa"/>
                </w:tblCellMar>
              </w:tblPrEx>
              <w:trPr>
                <w:gridAfter w:val="2"/>
                <w:wAfter w:w="5704" w:type="dxa"/>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刘高畅</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国盛证券</w:t>
                  </w:r>
                </w:p>
              </w:tc>
            </w:tr>
            <w:tr>
              <w:tblPrEx>
                <w:tblCellMar>
                  <w:top w:w="0" w:type="dxa"/>
                  <w:left w:w="0" w:type="dxa"/>
                  <w:bottom w:w="0" w:type="dxa"/>
                  <w:right w:w="0" w:type="dxa"/>
                </w:tblCellMar>
              </w:tblPrEx>
              <w:trPr>
                <w:gridAfter w:val="2"/>
                <w:wAfter w:w="5704" w:type="dxa"/>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杨然</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国盛证券</w:t>
                  </w:r>
                </w:p>
              </w:tc>
            </w:tr>
            <w:tr>
              <w:tblPrEx>
                <w:tblCellMar>
                  <w:top w:w="0" w:type="dxa"/>
                  <w:left w:w="0" w:type="dxa"/>
                  <w:bottom w:w="0" w:type="dxa"/>
                  <w:right w:w="0" w:type="dxa"/>
                </w:tblCellMar>
              </w:tblPrEx>
              <w:trPr>
                <w:gridAfter w:val="2"/>
                <w:wAfter w:w="5704" w:type="dxa"/>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刘洋</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申万宏源</w:t>
                  </w:r>
                </w:p>
              </w:tc>
            </w:tr>
            <w:tr>
              <w:tblPrEx>
                <w:tblCellMar>
                  <w:top w:w="0" w:type="dxa"/>
                  <w:left w:w="0" w:type="dxa"/>
                  <w:bottom w:w="0" w:type="dxa"/>
                  <w:right w:w="0" w:type="dxa"/>
                </w:tblCellMar>
              </w:tblPrEx>
              <w:trPr>
                <w:gridAfter w:val="2"/>
                <w:wAfter w:w="5704" w:type="dxa"/>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蒲梦洁</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申万宏源</w:t>
                  </w:r>
                </w:p>
              </w:tc>
            </w:tr>
            <w:tr>
              <w:tblPrEx>
                <w:tblCellMar>
                  <w:top w:w="0" w:type="dxa"/>
                  <w:left w:w="0" w:type="dxa"/>
                  <w:bottom w:w="0" w:type="dxa"/>
                  <w:right w:w="0" w:type="dxa"/>
                </w:tblCellMar>
              </w:tblPrEx>
              <w:trPr>
                <w:gridAfter w:val="2"/>
                <w:wAfter w:w="5704" w:type="dxa"/>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hint="eastAsia" w:cs="Arial"/>
                      <w:sz w:val="20"/>
                    </w:rPr>
                  </w:pPr>
                  <w:r>
                    <w:rPr>
                      <w:rFonts w:cs="Arial"/>
                      <w:sz w:val="20"/>
                    </w:rPr>
                    <w:t>宋嘉吉</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hint="eastAsia" w:cs="Arial"/>
                      <w:sz w:val="20"/>
                    </w:rPr>
                  </w:pPr>
                  <w:r>
                    <w:rPr>
                      <w:rFonts w:hint="eastAsia" w:cs="Arial"/>
                      <w:sz w:val="20"/>
                    </w:rPr>
                    <w:t>国盛证券</w:t>
                  </w:r>
                </w:p>
              </w:tc>
            </w:tr>
            <w:tr>
              <w:tblPrEx>
                <w:tblCellMar>
                  <w:top w:w="0" w:type="dxa"/>
                  <w:left w:w="0" w:type="dxa"/>
                  <w:bottom w:w="0" w:type="dxa"/>
                  <w:right w:w="0" w:type="dxa"/>
                </w:tblCellMar>
              </w:tblPrEx>
              <w:trPr>
                <w:gridAfter w:val="2"/>
                <w:wAfter w:w="5704" w:type="dxa"/>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cs="Arial"/>
                      <w:sz w:val="20"/>
                    </w:rPr>
                    <w:t>杨林</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hint="eastAsia" w:cs="Arial"/>
                      <w:sz w:val="20"/>
                    </w:rPr>
                  </w:pPr>
                  <w:r>
                    <w:rPr>
                      <w:rFonts w:hint="eastAsia" w:cs="Arial"/>
                      <w:sz w:val="20"/>
                    </w:rPr>
                    <w:t>海通证券</w:t>
                  </w: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李江</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南华基金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陈渭文</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东方阿尔法基金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曹勇</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天安人寿</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饶海宁</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常春藤</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王天宜</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汇添富基金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widowControl/>
                    <w:jc w:val="center"/>
                    <w:rPr>
                      <w:rFonts w:cs="Arial"/>
                      <w:kern w:val="0"/>
                      <w:sz w:val="20"/>
                    </w:rPr>
                  </w:pPr>
                  <w:r>
                    <w:rPr>
                      <w:rFonts w:hint="eastAsia" w:cs="Arial"/>
                      <w:sz w:val="20"/>
                    </w:rPr>
                    <w:t>樊勇</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金鹰基金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马中恕</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混沌投资</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蒋锦</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建信养老</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徐毅梁</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国泰基金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杜昊</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金鹰基金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郑楠</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国寿养老</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杨柳青</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东亚前海</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杜宇</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银华基金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丁妍乔</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国盛证券</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范庭芳</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海富通</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陈芷婧</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国盛证券</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王浩</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银华基金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何鸣晓</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嘉实基金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刘腾</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中银基金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袁祥</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华安基金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张星</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博远基金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左远明</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先锋基金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刘华峰</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富恩德基金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赵花荣</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国寿资产</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麦健沛</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同泰投资</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贺宝华</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国寿养老</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刘金辉</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中欧基金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程沅</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博时基金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吴秉韬</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泰信基金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钱诗翔</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长江养老</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许家涵</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天治基金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骆志远</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汇丰晋信</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刘锴</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博时基金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李毅</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国寿养老</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周应波</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中欧基金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成雨轩</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中欧基金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尹为醇</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中欧基金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冯炉丹</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中欧基金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曾懿之</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华泰柏瑞基金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茅珈恺</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从容资产</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王嘉</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华安基金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邵进明</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平安养老</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王忠波</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北信瑞丰</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王伟</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中银基金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谢旭阳</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混沌投资</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朱战宇</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新华资产</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陈衍鹏</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诺安基金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梅思寒</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银华基金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陈涛</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嘉实基金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黄海滨</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前海联合基金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傅一帆</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财通基金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王翔</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银华基金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唐能</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银华基金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黄浩</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太平养老</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和玮</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银华基金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肖瑞瑾</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博时基金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王继林</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高毅资产</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程海泳</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华夏财富创新投资</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邵伟</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混沌投资</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陈卫国</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安信基金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包丽华</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嘉实基金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沈雪峰</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华泰柏瑞基金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r>
              <w:tblPrEx>
                <w:tblCellMar>
                  <w:top w:w="0" w:type="dxa"/>
                  <w:left w:w="0" w:type="dxa"/>
                  <w:bottom w:w="0" w:type="dxa"/>
                  <w:right w:w="0" w:type="dxa"/>
                </w:tblCellMar>
              </w:tblPrEx>
              <w:trPr>
                <w:trHeight w:val="382" w:hRule="atLeast"/>
              </w:trPr>
              <w:tc>
                <w:tcPr>
                  <w:tcW w:w="2995"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王睿</w:t>
                  </w:r>
                </w:p>
              </w:tc>
              <w:tc>
                <w:tcPr>
                  <w:tcW w:w="2852" w:type="dxa"/>
                  <w:tcBorders>
                    <w:top w:val="single" w:color="E7E6E6" w:sz="4" w:space="0"/>
                    <w:left w:val="single" w:color="E7E6E6" w:sz="4" w:space="0"/>
                    <w:bottom w:val="nil"/>
                    <w:right w:val="nil"/>
                  </w:tcBorders>
                  <w:shd w:val="clear" w:color="auto" w:fill="auto"/>
                  <w:noWrap/>
                  <w:tcMar>
                    <w:top w:w="10" w:type="dxa"/>
                    <w:left w:w="10" w:type="dxa"/>
                    <w:right w:w="10" w:type="dxa"/>
                  </w:tcMar>
                  <w:vAlign w:val="center"/>
                </w:tcPr>
                <w:p>
                  <w:pPr>
                    <w:jc w:val="center"/>
                    <w:rPr>
                      <w:rFonts w:cs="Arial"/>
                      <w:sz w:val="20"/>
                    </w:rPr>
                  </w:pPr>
                  <w:r>
                    <w:rPr>
                      <w:rFonts w:hint="eastAsia" w:cs="Arial"/>
                      <w:sz w:val="20"/>
                    </w:rPr>
                    <w:t>信诚基金</w:t>
                  </w:r>
                </w:p>
              </w:tc>
              <w:tc>
                <w:tcPr>
                  <w:tcW w:w="2852" w:type="dxa"/>
                  <w:vAlign w:val="center"/>
                </w:tcPr>
                <w:p>
                  <w:pPr>
                    <w:widowControl/>
                    <w:jc w:val="center"/>
                    <w:textAlignment w:val="center"/>
                    <w:rPr>
                      <w:rFonts w:ascii="宋体" w:hAnsi="宋体" w:cs="宋体"/>
                      <w:color w:val="000000"/>
                      <w:sz w:val="20"/>
                    </w:rPr>
                  </w:pPr>
                </w:p>
              </w:tc>
              <w:tc>
                <w:tcPr>
                  <w:tcW w:w="2852" w:type="dxa"/>
                  <w:vAlign w:val="center"/>
                </w:tcPr>
                <w:p>
                  <w:pPr>
                    <w:widowControl/>
                    <w:jc w:val="center"/>
                    <w:textAlignment w:val="center"/>
                    <w:rPr>
                      <w:rFonts w:ascii="宋体" w:hAnsi="宋体" w:cs="宋体"/>
                      <w:color w:val="000000"/>
                      <w:sz w:val="20"/>
                    </w:rPr>
                  </w:pPr>
                </w:p>
              </w:tc>
            </w:tr>
          </w:tbl>
          <w:p>
            <w:pPr>
              <w:spacing w:line="480" w:lineRule="atLeast"/>
              <w:jc w:val="left"/>
              <w:rPr>
                <w:rFonts w:ascii="宋体" w:hAnsi="宋体" w:cs="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809" w:type="dxa"/>
          </w:tcPr>
          <w:p>
            <w:pPr>
              <w:spacing w:line="480" w:lineRule="atLeast"/>
              <w:rPr>
                <w:rFonts w:ascii="宋体"/>
                <w:b/>
                <w:bCs/>
                <w:iCs/>
                <w:sz w:val="24"/>
                <w:szCs w:val="24"/>
              </w:rPr>
            </w:pPr>
            <w:r>
              <w:rPr>
                <w:rFonts w:hint="eastAsia" w:ascii="宋体" w:hAnsi="宋体"/>
                <w:b/>
                <w:bCs/>
                <w:iCs/>
                <w:sz w:val="24"/>
                <w:szCs w:val="24"/>
              </w:rPr>
              <w:t>时间</w:t>
            </w:r>
          </w:p>
        </w:tc>
        <w:tc>
          <w:tcPr>
            <w:tcW w:w="6713" w:type="dxa"/>
          </w:tcPr>
          <w:p>
            <w:pPr>
              <w:spacing w:line="480" w:lineRule="atLeast"/>
              <w:rPr>
                <w:rFonts w:ascii="宋体"/>
                <w:bCs/>
                <w:iCs/>
                <w:sz w:val="24"/>
                <w:szCs w:val="24"/>
              </w:rPr>
            </w:pPr>
            <w:r>
              <w:rPr>
                <w:rFonts w:hint="eastAsia" w:ascii="宋体"/>
                <w:bCs/>
                <w:iCs/>
                <w:sz w:val="24"/>
                <w:szCs w:val="24"/>
              </w:rPr>
              <w:t>2020年0</w:t>
            </w:r>
            <w:r>
              <w:rPr>
                <w:rFonts w:ascii="宋体"/>
                <w:bCs/>
                <w:iCs/>
                <w:sz w:val="24"/>
                <w:szCs w:val="24"/>
              </w:rPr>
              <w:t>7</w:t>
            </w:r>
            <w:r>
              <w:rPr>
                <w:rFonts w:hint="eastAsia" w:ascii="宋体"/>
                <w:bCs/>
                <w:iCs/>
                <w:sz w:val="24"/>
                <w:szCs w:val="24"/>
              </w:rPr>
              <w:t>月</w:t>
            </w:r>
            <w:r>
              <w:rPr>
                <w:rFonts w:ascii="宋体"/>
                <w:bCs/>
                <w:iCs/>
                <w:sz w:val="24"/>
                <w:szCs w:val="24"/>
              </w:rPr>
              <w:t>12</w:t>
            </w:r>
            <w:r>
              <w:rPr>
                <w:rFonts w:hint="eastAsia" w:ascii="宋体"/>
                <w:bCs/>
                <w:iCs/>
                <w:sz w:val="24"/>
                <w:szCs w:val="24"/>
              </w:rPr>
              <w:t>日-</w:t>
            </w:r>
            <w:r>
              <w:rPr>
                <w:rFonts w:ascii="宋体"/>
                <w:bCs/>
                <w:iCs/>
                <w:sz w:val="24"/>
                <w:szCs w:val="24"/>
              </w:rPr>
              <w:t>2020年</w:t>
            </w:r>
            <w:r>
              <w:rPr>
                <w:rFonts w:hint="eastAsia" w:ascii="宋体"/>
                <w:bCs/>
                <w:iCs/>
                <w:sz w:val="24"/>
                <w:szCs w:val="24"/>
              </w:rPr>
              <w:t>7月</w:t>
            </w:r>
            <w:r>
              <w:rPr>
                <w:rFonts w:ascii="宋体"/>
                <w:bCs/>
                <w:iCs/>
                <w:sz w:val="24"/>
                <w:szCs w:val="24"/>
              </w:rPr>
              <w:t>21日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line="480" w:lineRule="atLeast"/>
              <w:rPr>
                <w:rFonts w:ascii="宋体"/>
                <w:b/>
                <w:bCs/>
                <w:iCs/>
                <w:sz w:val="24"/>
                <w:szCs w:val="24"/>
              </w:rPr>
            </w:pPr>
            <w:r>
              <w:rPr>
                <w:rFonts w:hint="eastAsia" w:ascii="宋体" w:hAnsi="宋体"/>
                <w:b/>
                <w:bCs/>
                <w:iCs/>
                <w:sz w:val="24"/>
                <w:szCs w:val="24"/>
              </w:rPr>
              <w:t>地点</w:t>
            </w:r>
          </w:p>
        </w:tc>
        <w:tc>
          <w:tcPr>
            <w:tcW w:w="6713" w:type="dxa"/>
          </w:tcPr>
          <w:p>
            <w:pPr>
              <w:spacing w:line="480" w:lineRule="atLeast"/>
              <w:rPr>
                <w:rFonts w:ascii="宋体"/>
                <w:bCs/>
                <w:iCs/>
                <w:sz w:val="24"/>
                <w:szCs w:val="24"/>
              </w:rPr>
            </w:pPr>
            <w:r>
              <w:rPr>
                <w:rFonts w:hint="eastAsia" w:ascii="宋体"/>
                <w:bCs/>
                <w:iCs/>
                <w:sz w:val="24"/>
                <w:szCs w:val="24"/>
              </w:rPr>
              <w:t>现场调研、电话会议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809" w:type="dxa"/>
          </w:tcPr>
          <w:p>
            <w:pPr>
              <w:spacing w:line="480" w:lineRule="atLeast"/>
              <w:rPr>
                <w:rFonts w:ascii="宋体" w:hAnsi="宋体"/>
                <w:b/>
                <w:bCs/>
                <w:iCs/>
                <w:sz w:val="24"/>
                <w:szCs w:val="24"/>
              </w:rPr>
            </w:pPr>
            <w:r>
              <w:rPr>
                <w:rFonts w:hint="eastAsia" w:ascii="宋体" w:hAnsi="宋体"/>
                <w:b/>
                <w:bCs/>
                <w:iCs/>
                <w:sz w:val="24"/>
                <w:szCs w:val="24"/>
              </w:rPr>
              <w:t>上市公司接</w:t>
            </w:r>
          </w:p>
          <w:p>
            <w:pPr>
              <w:spacing w:line="480" w:lineRule="atLeast"/>
              <w:rPr>
                <w:rFonts w:ascii="宋体"/>
                <w:b/>
                <w:bCs/>
                <w:iCs/>
                <w:sz w:val="24"/>
                <w:szCs w:val="24"/>
              </w:rPr>
            </w:pPr>
            <w:r>
              <w:rPr>
                <w:rFonts w:hint="eastAsia" w:ascii="宋体" w:hAnsi="宋体"/>
                <w:b/>
                <w:bCs/>
                <w:iCs/>
                <w:sz w:val="24"/>
                <w:szCs w:val="24"/>
              </w:rPr>
              <w:t>待人员姓名</w:t>
            </w:r>
          </w:p>
        </w:tc>
        <w:tc>
          <w:tcPr>
            <w:tcW w:w="6713" w:type="dxa"/>
          </w:tcPr>
          <w:p>
            <w:pPr>
              <w:spacing w:line="480" w:lineRule="atLeast"/>
              <w:jc w:val="left"/>
              <w:rPr>
                <w:rFonts w:ascii="宋体"/>
                <w:bCs/>
                <w:iCs/>
                <w:sz w:val="24"/>
                <w:szCs w:val="24"/>
              </w:rPr>
            </w:pPr>
            <w:r>
              <w:rPr>
                <w:rFonts w:hint="eastAsia" w:ascii="宋体"/>
                <w:bCs/>
                <w:iCs/>
                <w:sz w:val="24"/>
                <w:szCs w:val="24"/>
              </w:rPr>
              <w:t>公司副总经理兼董事会秘书 朱国海</w:t>
            </w:r>
          </w:p>
          <w:p>
            <w:pPr>
              <w:spacing w:line="480" w:lineRule="atLeast"/>
              <w:jc w:val="left"/>
              <w:rPr>
                <w:rFonts w:ascii="宋体"/>
                <w:bCs/>
                <w:iCs/>
                <w:sz w:val="24"/>
                <w:szCs w:val="24"/>
              </w:rPr>
            </w:pPr>
            <w:r>
              <w:rPr>
                <w:rFonts w:ascii="宋体"/>
                <w:bCs/>
                <w:iCs/>
                <w:sz w:val="24"/>
                <w:szCs w:val="24"/>
              </w:rPr>
              <w:t>公司证券事务总监</w:t>
            </w:r>
            <w:r>
              <w:rPr>
                <w:rFonts w:hint="eastAsia" w:ascii="宋体"/>
                <w:bCs/>
                <w:iCs/>
                <w:sz w:val="24"/>
                <w:szCs w:val="24"/>
              </w:rPr>
              <w:t xml:space="preserve"> </w:t>
            </w:r>
            <w:r>
              <w:rPr>
                <w:rFonts w:ascii="宋体"/>
                <w:bCs/>
                <w:iCs/>
                <w:sz w:val="24"/>
                <w:szCs w:val="24"/>
              </w:rPr>
              <w:t xml:space="preserve">        刘畅</w:t>
            </w:r>
          </w:p>
          <w:p>
            <w:pPr>
              <w:spacing w:line="480" w:lineRule="atLeast"/>
              <w:jc w:val="left"/>
              <w:rPr>
                <w:rFonts w:ascii="宋体"/>
                <w:bCs/>
                <w:i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09" w:type="dxa"/>
            <w:vAlign w:val="center"/>
          </w:tcPr>
          <w:p>
            <w:pPr>
              <w:spacing w:line="480" w:lineRule="atLeast"/>
              <w:rPr>
                <w:rFonts w:ascii="宋体" w:hAnsi="宋体"/>
                <w:b/>
                <w:bCs/>
                <w:iCs/>
                <w:sz w:val="24"/>
                <w:szCs w:val="24"/>
              </w:rPr>
            </w:pPr>
            <w:r>
              <w:rPr>
                <w:rFonts w:hint="eastAsia" w:ascii="宋体" w:hAnsi="宋体"/>
                <w:b/>
                <w:bCs/>
                <w:iCs/>
                <w:sz w:val="24"/>
                <w:szCs w:val="24"/>
              </w:rPr>
              <w:t>投资者关系</w:t>
            </w:r>
          </w:p>
          <w:p>
            <w:pPr>
              <w:spacing w:line="480" w:lineRule="atLeast"/>
              <w:rPr>
                <w:rFonts w:ascii="宋体" w:hAnsi="宋体"/>
                <w:b/>
                <w:bCs/>
                <w:iCs/>
                <w:sz w:val="24"/>
                <w:szCs w:val="24"/>
              </w:rPr>
            </w:pPr>
            <w:r>
              <w:rPr>
                <w:rFonts w:hint="eastAsia" w:ascii="宋体" w:hAnsi="宋体"/>
                <w:b/>
                <w:bCs/>
                <w:iCs/>
                <w:sz w:val="24"/>
                <w:szCs w:val="24"/>
              </w:rPr>
              <w:t>活动主要内</w:t>
            </w:r>
          </w:p>
          <w:p>
            <w:pPr>
              <w:spacing w:line="480" w:lineRule="atLeast"/>
              <w:ind w:firstLine="482" w:firstLineChars="200"/>
              <w:rPr>
                <w:rFonts w:ascii="宋体"/>
                <w:b/>
                <w:bCs/>
                <w:iCs/>
                <w:sz w:val="24"/>
                <w:szCs w:val="24"/>
              </w:rPr>
            </w:pPr>
            <w:r>
              <w:rPr>
                <w:rFonts w:hint="eastAsia" w:ascii="宋体" w:hAnsi="宋体"/>
                <w:b/>
                <w:bCs/>
                <w:iCs/>
                <w:sz w:val="24"/>
                <w:szCs w:val="24"/>
              </w:rPr>
              <w:t>容介绍</w:t>
            </w:r>
          </w:p>
        </w:tc>
        <w:tc>
          <w:tcPr>
            <w:tcW w:w="6713" w:type="dxa"/>
          </w:tcPr>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一、公司副总经理、董秘朱国海介绍公司经营情况</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公司是2011年首批获得国内全支付牌照企业，截至目前打造了覆盖全国的机构网络，拥有庞大的商户规模。2</w:t>
            </w:r>
            <w:r>
              <w:rPr>
                <w:rFonts w:ascii="宋体" w:hAnsi="宋体" w:cs="宋体"/>
                <w:sz w:val="24"/>
                <w:szCs w:val="24"/>
              </w:rPr>
              <w:t>019年</w:t>
            </w:r>
            <w:r>
              <w:rPr>
                <w:rFonts w:hint="eastAsia" w:ascii="宋体" w:hAnsi="宋体" w:cs="宋体"/>
                <w:sz w:val="24"/>
                <w:szCs w:val="24"/>
              </w:rPr>
              <w:t>完成了“超越支付”的战略规划，正式进入战略4.0阶段，以支付为切入，协同“支付、金融、电商、信息”四大科技业务板块，全维度为中小微商户提供线上与线下服务。2019年公司主动调整商户拓展、优化收入结构，向2</w:t>
            </w:r>
            <w:r>
              <w:rPr>
                <w:rFonts w:ascii="宋体" w:hAnsi="宋体" w:cs="宋体"/>
                <w:sz w:val="24"/>
                <w:szCs w:val="24"/>
              </w:rPr>
              <w:t>200万</w:t>
            </w:r>
            <w:r>
              <w:rPr>
                <w:rFonts w:hint="eastAsia" w:ascii="宋体" w:hAnsi="宋体" w:cs="宋体"/>
                <w:sz w:val="24"/>
                <w:szCs w:val="24"/>
              </w:rPr>
              <w:t>中小微商户提供以科技为主的综合服务，解决商户的经营需求。未来公司将坚定执行既有战略，在保证商户规模稳步增长的同时，发力商户经营业务。2</w:t>
            </w:r>
            <w:r>
              <w:rPr>
                <w:rFonts w:ascii="宋体" w:hAnsi="宋体" w:cs="宋体"/>
                <w:sz w:val="24"/>
                <w:szCs w:val="24"/>
              </w:rPr>
              <w:t>019年实现收入</w:t>
            </w:r>
            <w:r>
              <w:rPr>
                <w:rFonts w:hint="eastAsia" w:ascii="宋体" w:hAnsi="宋体" w:cs="宋体"/>
                <w:sz w:val="24"/>
                <w:szCs w:val="24"/>
              </w:rPr>
              <w:t>4</w:t>
            </w:r>
            <w:r>
              <w:rPr>
                <w:rFonts w:ascii="宋体" w:hAnsi="宋体" w:cs="宋体"/>
                <w:sz w:val="24"/>
                <w:szCs w:val="24"/>
              </w:rPr>
              <w:t>8.99亿元</w:t>
            </w:r>
            <w:r>
              <w:rPr>
                <w:rFonts w:hint="eastAsia" w:ascii="宋体" w:hAnsi="宋体" w:cs="宋体"/>
                <w:sz w:val="24"/>
                <w:szCs w:val="24"/>
              </w:rPr>
              <w:t>，</w:t>
            </w:r>
            <w:r>
              <w:rPr>
                <w:rFonts w:ascii="宋体" w:hAnsi="宋体" w:cs="宋体"/>
                <w:sz w:val="24"/>
                <w:szCs w:val="24"/>
              </w:rPr>
              <w:t>归属母公司净利润</w:t>
            </w:r>
            <w:r>
              <w:rPr>
                <w:rFonts w:hint="eastAsia" w:ascii="宋体" w:hAnsi="宋体" w:cs="宋体"/>
                <w:sz w:val="24"/>
                <w:szCs w:val="24"/>
              </w:rPr>
              <w:t>8</w:t>
            </w:r>
            <w:r>
              <w:rPr>
                <w:rFonts w:ascii="宋体" w:hAnsi="宋体" w:cs="宋体"/>
                <w:sz w:val="24"/>
                <w:szCs w:val="24"/>
              </w:rPr>
              <w:t>.06亿元</w:t>
            </w:r>
            <w:r>
              <w:rPr>
                <w:rFonts w:hint="eastAsia" w:ascii="宋体" w:hAnsi="宋体" w:cs="宋体"/>
                <w:sz w:val="24"/>
                <w:szCs w:val="24"/>
              </w:rPr>
              <w:t>，2</w:t>
            </w:r>
            <w:r>
              <w:rPr>
                <w:rFonts w:ascii="宋体" w:hAnsi="宋体" w:cs="宋体"/>
                <w:sz w:val="24"/>
                <w:szCs w:val="24"/>
              </w:rPr>
              <w:t>020年一季度实现收入</w:t>
            </w:r>
            <w:r>
              <w:rPr>
                <w:rFonts w:hint="eastAsia" w:ascii="宋体" w:hAnsi="宋体" w:cs="宋体"/>
                <w:sz w:val="24"/>
                <w:szCs w:val="24"/>
              </w:rPr>
              <w:t>1</w:t>
            </w:r>
            <w:r>
              <w:rPr>
                <w:rFonts w:ascii="宋体" w:hAnsi="宋体" w:cs="宋体"/>
                <w:sz w:val="24"/>
                <w:szCs w:val="24"/>
              </w:rPr>
              <w:t>0.56亿元</w:t>
            </w:r>
            <w:r>
              <w:rPr>
                <w:rFonts w:hint="eastAsia" w:ascii="宋体" w:hAnsi="宋体" w:cs="宋体"/>
                <w:sz w:val="24"/>
                <w:szCs w:val="24"/>
              </w:rPr>
              <w:t>，</w:t>
            </w:r>
            <w:r>
              <w:rPr>
                <w:rFonts w:ascii="宋体" w:hAnsi="宋体" w:cs="宋体"/>
                <w:sz w:val="24"/>
                <w:szCs w:val="24"/>
              </w:rPr>
              <w:t>归属母公司净利润</w:t>
            </w:r>
            <w:r>
              <w:rPr>
                <w:rFonts w:hint="eastAsia" w:ascii="宋体" w:hAnsi="宋体" w:cs="宋体"/>
                <w:sz w:val="24"/>
                <w:szCs w:val="24"/>
              </w:rPr>
              <w:t>1</w:t>
            </w:r>
            <w:r>
              <w:rPr>
                <w:rFonts w:ascii="宋体" w:hAnsi="宋体" w:cs="宋体"/>
                <w:sz w:val="24"/>
                <w:szCs w:val="24"/>
              </w:rPr>
              <w:t>.68亿元</w:t>
            </w:r>
            <w:r>
              <w:rPr>
                <w:rFonts w:hint="eastAsia" w:ascii="宋体" w:hAnsi="宋体" w:cs="宋体"/>
                <w:sz w:val="24"/>
                <w:szCs w:val="24"/>
              </w:rPr>
              <w:t>。</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作为头部公司，在这个行业里始终坚持创新，无论产品，还是商业模式。拉卡拉从2005年以来一直在很多方面领跑。第一个阶段从2005年到拿支付牌照之前，我们是以便利支付在领跑市场，市场份额市场第一。第二阶段进入收单领域以后，重新定义POS，推出包括智能POS、跨界手环等一些智能终端，都是在领跑。2</w:t>
            </w:r>
            <w:r>
              <w:rPr>
                <w:rFonts w:ascii="宋体" w:hAnsi="宋体" w:cs="宋体"/>
                <w:sz w:val="24"/>
                <w:szCs w:val="24"/>
              </w:rPr>
              <w:t>019年</w:t>
            </w:r>
            <w:r>
              <w:rPr>
                <w:rFonts w:hint="eastAsia" w:ascii="宋体" w:hAnsi="宋体" w:cs="宋体"/>
                <w:sz w:val="24"/>
                <w:szCs w:val="24"/>
              </w:rPr>
              <w:t xml:space="preserve">上市以后投资了SaaS领域， </w:t>
            </w:r>
            <w:r>
              <w:rPr>
                <w:rFonts w:ascii="宋体" w:hAnsi="宋体" w:cs="宋体"/>
                <w:sz w:val="24"/>
                <w:szCs w:val="24"/>
              </w:rPr>
              <w:t>2019年</w:t>
            </w:r>
            <w:r>
              <w:rPr>
                <w:rFonts w:hint="eastAsia" w:ascii="宋体" w:hAnsi="宋体" w:cs="宋体"/>
                <w:sz w:val="24"/>
                <w:szCs w:val="24"/>
              </w:rPr>
              <w:t>10月份发布了4个新产品：1）云小店，针对母婴、快销、生鲜等几个行业，重点去推，帮助这些行业的商户经营，为他们提供收银、线上线下开店、会员管理、以及资金周转等；2）收款码，收款码不是一个单纯的码，还有一些隐含的小程序以及跟公众号相关的一些功能，方便这些商家的经营和管理；3）汇管店，帮助商家进行会员管理；4）再一个就是我们向银行输出的“云收单”。我们始终不断地在创新，包括我们与华为钱包开展的合作，现在就是第一步手机POS做出来了，进入市场推广期。</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二、问答环节</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Q：公司有哪些新的业务布局？</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2019年公司上市后，在支付科技、金融科技、电商科技、信息科技四大业务板块都有新的业务布局，推出了一系列新的产品和业务，主要是投资布局产业互联网，收购互联网保险等科技金融资产，启动华为钱包手机POS业务，向金融机构推广云收单，深度融合四大科技服务业业务，提升商户服务能力。</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ascii="宋体" w:hAnsi="宋体" w:cs="宋体"/>
                <w:sz w:val="24"/>
                <w:szCs w:val="24"/>
              </w:rPr>
              <w:t>Q</w:t>
            </w:r>
            <w:r>
              <w:rPr>
                <w:rFonts w:hint="eastAsia" w:ascii="宋体" w:hAnsi="宋体" w:cs="宋体"/>
                <w:sz w:val="24"/>
                <w:szCs w:val="24"/>
              </w:rPr>
              <w:t xml:space="preserve">：公司的优势在哪些方面，以及如何通过各种科技的潜在布局来提升份额的能力？ </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A：1）遍布全国的分支机构；2）超过2</w:t>
            </w:r>
            <w:r>
              <w:rPr>
                <w:rFonts w:ascii="宋体" w:hAnsi="宋体" w:cs="宋体"/>
                <w:sz w:val="24"/>
                <w:szCs w:val="24"/>
              </w:rPr>
              <w:t>200万的商户规模</w:t>
            </w:r>
            <w:r>
              <w:rPr>
                <w:rFonts w:hint="eastAsia" w:ascii="宋体" w:hAnsi="宋体" w:cs="宋体"/>
                <w:sz w:val="24"/>
                <w:szCs w:val="24"/>
              </w:rPr>
              <w:t>；3）战略投资银行、证券、保险、网联以及产业互联网等领域，形成了为中小微商户提供支付、金融、电商以及信息等科技服务的强大能力；4）业务不断创新，上市后推出基于SaaS的“云小店”、“汇管店”、“收款码”、“云收单”、“手机POS”等产品；5）强大的技术实力，搭建了DT驱动的大数据中台和独立架构的清结算体系。</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Q：公司聚焦小商户的运营，那么未来流水增长是根据什么变化？</w:t>
            </w:r>
          </w:p>
          <w:p>
            <w:pPr>
              <w:pStyle w:val="18"/>
              <w:adjustRightInd w:val="0"/>
              <w:snapToGrid w:val="0"/>
              <w:spacing w:before="218" w:beforeLines="70" w:after="218" w:afterLines="70"/>
              <w:ind w:firstLine="480"/>
              <w:rPr>
                <w:rFonts w:ascii="宋体" w:hAnsi="宋体" w:cs="宋体"/>
                <w:sz w:val="24"/>
                <w:szCs w:val="24"/>
              </w:rPr>
            </w:pPr>
            <w:r>
              <w:rPr>
                <w:rFonts w:ascii="宋体" w:hAnsi="宋体" w:cs="宋体"/>
                <w:sz w:val="24"/>
                <w:szCs w:val="24"/>
              </w:rPr>
              <w:t>A</w:t>
            </w:r>
            <w:r>
              <w:rPr>
                <w:rFonts w:hint="eastAsia" w:ascii="宋体" w:hAnsi="宋体" w:cs="宋体"/>
                <w:sz w:val="24"/>
                <w:szCs w:val="24"/>
              </w:rPr>
              <w:t>：首先我们聚焦每个商户的交易规模增长，</w:t>
            </w:r>
            <w:r>
              <w:rPr>
                <w:rFonts w:ascii="宋体" w:hAnsi="宋体" w:cs="宋体"/>
                <w:sz w:val="24"/>
                <w:szCs w:val="24"/>
              </w:rPr>
              <w:t>其次通过自有平台</w:t>
            </w:r>
            <w:r>
              <w:rPr>
                <w:rFonts w:hint="eastAsia" w:ascii="宋体" w:hAnsi="宋体" w:cs="宋体"/>
                <w:sz w:val="24"/>
                <w:szCs w:val="24"/>
              </w:rPr>
              <w:t>提供</w:t>
            </w:r>
            <w:r>
              <w:rPr>
                <w:rFonts w:ascii="宋体" w:hAnsi="宋体" w:cs="宋体"/>
                <w:sz w:val="24"/>
                <w:szCs w:val="24"/>
              </w:rPr>
              <w:t>综合服务能力</w:t>
            </w:r>
            <w:r>
              <w:rPr>
                <w:rFonts w:hint="eastAsia" w:ascii="宋体" w:hAnsi="宋体" w:cs="宋体"/>
                <w:sz w:val="24"/>
                <w:szCs w:val="24"/>
              </w:rPr>
              <w:t>以及新的产品投放获取更多的优质商户。</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ascii="宋体" w:hAnsi="宋体" w:cs="宋体"/>
                <w:sz w:val="24"/>
                <w:szCs w:val="24"/>
              </w:rPr>
              <w:t>Q</w:t>
            </w:r>
            <w:r>
              <w:rPr>
                <w:rFonts w:hint="eastAsia" w:ascii="宋体" w:hAnsi="宋体" w:cs="宋体"/>
                <w:sz w:val="24"/>
                <w:szCs w:val="24"/>
              </w:rPr>
              <w:t>：往5G的时代去走的话，无论是手机还是其他的智能终端，是不是会从一个纯支付入口更好的变成一个商户服务的入口？</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手机POS最大的特点一个是去终端化，但是它又具有终端的能力，它给商户的服务和体验会比以前码牌或者POS机更好，特别适合中小微商户。在5G时代到来以后，围绕降低商户的成本、提高效率，是我们主要目标。简易外设就可以使它能够替代现有的一些商用终端去实现相关的服务以前体验会好很多。</w:t>
            </w:r>
          </w:p>
          <w:p>
            <w:pPr>
              <w:pStyle w:val="18"/>
              <w:adjustRightInd w:val="0"/>
              <w:snapToGrid w:val="0"/>
              <w:spacing w:before="218" w:beforeLines="70" w:after="218" w:afterLines="70"/>
              <w:ind w:firstLine="480"/>
              <w:rPr>
                <w:rFonts w:ascii="宋体" w:hAnsi="宋体" w:cs="宋体"/>
                <w:sz w:val="24"/>
                <w:szCs w:val="24"/>
              </w:rPr>
            </w:pP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Q：公司的文化以及监管这一块的要求对我们事实上是什么样的影响？</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A： 公司的文化是我们公司独特的自创的文化，总共有五层，最核心的底层文化是核心价值观，求实、进取、创新、协同、分享，公司创建以来执行的非常好。从公司团队就可以体现，团队从领军人物、创始团队、技术人员、一线经营人员，到引入行业高管人才，还是非常强大的。拉卡拉还有经营机制的优势，市场总是有效的。</w:t>
            </w:r>
          </w:p>
          <w:p>
            <w:pPr>
              <w:pStyle w:val="18"/>
              <w:adjustRightInd w:val="0"/>
              <w:snapToGrid w:val="0"/>
              <w:spacing w:before="218" w:beforeLines="70" w:after="218" w:afterLines="70"/>
              <w:ind w:firstLine="480"/>
              <w:rPr>
                <w:rFonts w:ascii="宋体" w:hAnsi="宋体" w:cs="宋体"/>
                <w:sz w:val="24"/>
                <w:szCs w:val="24"/>
              </w:rPr>
            </w:pPr>
            <w:r>
              <w:rPr>
                <w:rFonts w:hint="eastAsia" w:ascii="宋体" w:hAnsi="宋体" w:cs="宋体"/>
                <w:sz w:val="24"/>
                <w:szCs w:val="24"/>
              </w:rPr>
              <w:t>从监管层面来看就是说，每个行业都受到监管，因为支付是一个金融的行业，所以它监管要求比较高。拉卡拉作为一个行业头部公司，从公司文化、团队管理、经营理念，拥抱监管，实现可持续的增长。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09" w:type="dxa"/>
            <w:vAlign w:val="center"/>
          </w:tcPr>
          <w:p>
            <w:pPr>
              <w:spacing w:line="480" w:lineRule="atLeast"/>
              <w:ind w:firstLine="482" w:firstLineChars="200"/>
              <w:rPr>
                <w:rFonts w:ascii="宋体" w:hAnsi="宋体"/>
                <w:b/>
                <w:bCs/>
                <w:iCs/>
                <w:sz w:val="24"/>
                <w:szCs w:val="24"/>
              </w:rPr>
            </w:pPr>
            <w:r>
              <w:rPr>
                <w:rFonts w:hint="eastAsia" w:ascii="宋体" w:hAnsi="宋体"/>
                <w:b/>
                <w:bCs/>
                <w:iCs/>
                <w:sz w:val="24"/>
                <w:szCs w:val="24"/>
              </w:rPr>
              <w:t>附件清单</w:t>
            </w:r>
          </w:p>
          <w:p>
            <w:pPr>
              <w:spacing w:line="480" w:lineRule="atLeast"/>
              <w:ind w:firstLine="482" w:firstLineChars="200"/>
              <w:rPr>
                <w:rFonts w:ascii="宋体"/>
                <w:b/>
                <w:bCs/>
                <w:iCs/>
                <w:sz w:val="24"/>
                <w:szCs w:val="24"/>
              </w:rPr>
            </w:pPr>
            <w:r>
              <w:rPr>
                <w:rFonts w:hint="eastAsia" w:ascii="宋体" w:hAnsi="宋体"/>
                <w:b/>
                <w:bCs/>
                <w:iCs/>
                <w:sz w:val="24"/>
                <w:szCs w:val="24"/>
              </w:rPr>
              <w:t>（如有）</w:t>
            </w:r>
          </w:p>
        </w:tc>
        <w:tc>
          <w:tcPr>
            <w:tcW w:w="6713" w:type="dxa"/>
          </w:tcPr>
          <w:p>
            <w:pPr>
              <w:spacing w:line="360" w:lineRule="auto"/>
              <w:rPr>
                <w:rFonts w:ascii="宋体"/>
                <w:bCs/>
                <w:iCs/>
                <w:color w:val="0000FF"/>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spacing w:line="480" w:lineRule="atLeast"/>
              <w:jc w:val="center"/>
              <w:rPr>
                <w:rFonts w:ascii="宋体"/>
                <w:b/>
                <w:bCs/>
                <w:iCs/>
                <w:sz w:val="24"/>
                <w:szCs w:val="24"/>
              </w:rPr>
            </w:pPr>
            <w:r>
              <w:rPr>
                <w:rFonts w:hint="eastAsia" w:ascii="宋体" w:hAnsi="宋体"/>
                <w:b/>
                <w:bCs/>
                <w:iCs/>
                <w:sz w:val="24"/>
                <w:szCs w:val="24"/>
              </w:rPr>
              <w:t>日期</w:t>
            </w:r>
          </w:p>
        </w:tc>
        <w:tc>
          <w:tcPr>
            <w:tcW w:w="6713" w:type="dxa"/>
          </w:tcPr>
          <w:p>
            <w:pPr>
              <w:spacing w:line="480" w:lineRule="atLeast"/>
              <w:rPr>
                <w:rFonts w:ascii="宋体"/>
                <w:bCs/>
                <w:iCs/>
                <w:sz w:val="24"/>
                <w:szCs w:val="24"/>
              </w:rPr>
            </w:pPr>
            <w:r>
              <w:rPr>
                <w:rFonts w:hint="eastAsia" w:ascii="宋体"/>
                <w:bCs/>
                <w:iCs/>
                <w:sz w:val="24"/>
                <w:szCs w:val="24"/>
              </w:rPr>
              <w:t>2020年0</w:t>
            </w:r>
            <w:r>
              <w:rPr>
                <w:rFonts w:ascii="宋体"/>
                <w:bCs/>
                <w:iCs/>
                <w:sz w:val="24"/>
                <w:szCs w:val="24"/>
              </w:rPr>
              <w:t>7</w:t>
            </w:r>
            <w:r>
              <w:rPr>
                <w:rFonts w:hint="eastAsia" w:ascii="宋体"/>
                <w:bCs/>
                <w:iCs/>
                <w:sz w:val="24"/>
                <w:szCs w:val="24"/>
              </w:rPr>
              <w:t>月</w:t>
            </w:r>
            <w:r>
              <w:rPr>
                <w:rFonts w:ascii="宋体"/>
                <w:bCs/>
                <w:iCs/>
                <w:sz w:val="24"/>
                <w:szCs w:val="24"/>
              </w:rPr>
              <w:t>2</w:t>
            </w:r>
            <w:r>
              <w:rPr>
                <w:rFonts w:hint="eastAsia" w:ascii="宋体"/>
                <w:bCs/>
                <w:iCs/>
                <w:sz w:val="24"/>
                <w:szCs w:val="24"/>
              </w:rPr>
              <w:t>1日</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2237C"/>
    <w:rsid w:val="0000536D"/>
    <w:rsid w:val="000061B9"/>
    <w:rsid w:val="000071D1"/>
    <w:rsid w:val="00011C0A"/>
    <w:rsid w:val="00012615"/>
    <w:rsid w:val="00012F95"/>
    <w:rsid w:val="00013110"/>
    <w:rsid w:val="000131F9"/>
    <w:rsid w:val="000137F9"/>
    <w:rsid w:val="000148A3"/>
    <w:rsid w:val="000150A3"/>
    <w:rsid w:val="00024776"/>
    <w:rsid w:val="00026ECB"/>
    <w:rsid w:val="00027B63"/>
    <w:rsid w:val="00031EB5"/>
    <w:rsid w:val="00040CAB"/>
    <w:rsid w:val="000420E5"/>
    <w:rsid w:val="0004529F"/>
    <w:rsid w:val="00045B1A"/>
    <w:rsid w:val="000509D7"/>
    <w:rsid w:val="00051610"/>
    <w:rsid w:val="00054692"/>
    <w:rsid w:val="00056E5E"/>
    <w:rsid w:val="00060B79"/>
    <w:rsid w:val="0006149C"/>
    <w:rsid w:val="00062267"/>
    <w:rsid w:val="00062972"/>
    <w:rsid w:val="000635B2"/>
    <w:rsid w:val="00071DB4"/>
    <w:rsid w:val="00075344"/>
    <w:rsid w:val="0008134A"/>
    <w:rsid w:val="00085B65"/>
    <w:rsid w:val="000908BF"/>
    <w:rsid w:val="000914D5"/>
    <w:rsid w:val="000929DE"/>
    <w:rsid w:val="00095625"/>
    <w:rsid w:val="00095E1A"/>
    <w:rsid w:val="00096B1A"/>
    <w:rsid w:val="000970FA"/>
    <w:rsid w:val="000A5ED1"/>
    <w:rsid w:val="000B034F"/>
    <w:rsid w:val="000B05F1"/>
    <w:rsid w:val="000B4ACA"/>
    <w:rsid w:val="000B4BD6"/>
    <w:rsid w:val="000B4D8E"/>
    <w:rsid w:val="000B6BB1"/>
    <w:rsid w:val="000C2A66"/>
    <w:rsid w:val="000C2EC1"/>
    <w:rsid w:val="000C7926"/>
    <w:rsid w:val="000D01DE"/>
    <w:rsid w:val="000D2265"/>
    <w:rsid w:val="000D474E"/>
    <w:rsid w:val="000D5879"/>
    <w:rsid w:val="000E13B6"/>
    <w:rsid w:val="000E2111"/>
    <w:rsid w:val="000E7538"/>
    <w:rsid w:val="000F3809"/>
    <w:rsid w:val="00100FF5"/>
    <w:rsid w:val="001044E0"/>
    <w:rsid w:val="00106BEA"/>
    <w:rsid w:val="001119A9"/>
    <w:rsid w:val="001175E4"/>
    <w:rsid w:val="00120682"/>
    <w:rsid w:val="00121457"/>
    <w:rsid w:val="00123AD8"/>
    <w:rsid w:val="00124F1C"/>
    <w:rsid w:val="00124FA0"/>
    <w:rsid w:val="00124FBA"/>
    <w:rsid w:val="00125A48"/>
    <w:rsid w:val="00130332"/>
    <w:rsid w:val="0013402C"/>
    <w:rsid w:val="0013533B"/>
    <w:rsid w:val="00140542"/>
    <w:rsid w:val="0014099F"/>
    <w:rsid w:val="00143D8F"/>
    <w:rsid w:val="001447FE"/>
    <w:rsid w:val="0014630C"/>
    <w:rsid w:val="0015379D"/>
    <w:rsid w:val="00157E17"/>
    <w:rsid w:val="00163803"/>
    <w:rsid w:val="001649CC"/>
    <w:rsid w:val="00170196"/>
    <w:rsid w:val="00173F93"/>
    <w:rsid w:val="001741F2"/>
    <w:rsid w:val="001774C5"/>
    <w:rsid w:val="00177A41"/>
    <w:rsid w:val="00180392"/>
    <w:rsid w:val="00184459"/>
    <w:rsid w:val="00184BED"/>
    <w:rsid w:val="001850C3"/>
    <w:rsid w:val="0019174E"/>
    <w:rsid w:val="001A52DF"/>
    <w:rsid w:val="001A70DE"/>
    <w:rsid w:val="001A7406"/>
    <w:rsid w:val="001A7EC4"/>
    <w:rsid w:val="001C0560"/>
    <w:rsid w:val="001C3101"/>
    <w:rsid w:val="001C635F"/>
    <w:rsid w:val="001D5571"/>
    <w:rsid w:val="001E1528"/>
    <w:rsid w:val="001E23AE"/>
    <w:rsid w:val="001E6CBA"/>
    <w:rsid w:val="001E6D33"/>
    <w:rsid w:val="001F09CF"/>
    <w:rsid w:val="001F29EB"/>
    <w:rsid w:val="001F4576"/>
    <w:rsid w:val="001F788C"/>
    <w:rsid w:val="0020250E"/>
    <w:rsid w:val="00207BF6"/>
    <w:rsid w:val="00211AD3"/>
    <w:rsid w:val="002166DE"/>
    <w:rsid w:val="00216FA0"/>
    <w:rsid w:val="0022736F"/>
    <w:rsid w:val="00231091"/>
    <w:rsid w:val="002322C3"/>
    <w:rsid w:val="00233398"/>
    <w:rsid w:val="002335D2"/>
    <w:rsid w:val="00243484"/>
    <w:rsid w:val="00250074"/>
    <w:rsid w:val="002609BF"/>
    <w:rsid w:val="002728EF"/>
    <w:rsid w:val="00274B76"/>
    <w:rsid w:val="0027574C"/>
    <w:rsid w:val="00282DC6"/>
    <w:rsid w:val="0028499B"/>
    <w:rsid w:val="00285628"/>
    <w:rsid w:val="00287C14"/>
    <w:rsid w:val="0029282E"/>
    <w:rsid w:val="00292D79"/>
    <w:rsid w:val="0029376B"/>
    <w:rsid w:val="002946EA"/>
    <w:rsid w:val="00297C64"/>
    <w:rsid w:val="002A124F"/>
    <w:rsid w:val="002A58AA"/>
    <w:rsid w:val="002B041B"/>
    <w:rsid w:val="002B319A"/>
    <w:rsid w:val="002B3F14"/>
    <w:rsid w:val="002B41F1"/>
    <w:rsid w:val="002B4810"/>
    <w:rsid w:val="002B4BC4"/>
    <w:rsid w:val="002C0F90"/>
    <w:rsid w:val="002C40C5"/>
    <w:rsid w:val="002C5974"/>
    <w:rsid w:val="002D0638"/>
    <w:rsid w:val="002D06A1"/>
    <w:rsid w:val="002D15B3"/>
    <w:rsid w:val="002D1D0A"/>
    <w:rsid w:val="002D3F15"/>
    <w:rsid w:val="002D6A5D"/>
    <w:rsid w:val="002D7A59"/>
    <w:rsid w:val="002E2038"/>
    <w:rsid w:val="002F1A79"/>
    <w:rsid w:val="002F3119"/>
    <w:rsid w:val="003147DC"/>
    <w:rsid w:val="00316C97"/>
    <w:rsid w:val="003242BD"/>
    <w:rsid w:val="00324607"/>
    <w:rsid w:val="00324D9B"/>
    <w:rsid w:val="003319E4"/>
    <w:rsid w:val="00335BCF"/>
    <w:rsid w:val="00346590"/>
    <w:rsid w:val="003470BB"/>
    <w:rsid w:val="003475CD"/>
    <w:rsid w:val="00351A60"/>
    <w:rsid w:val="00353BED"/>
    <w:rsid w:val="00357562"/>
    <w:rsid w:val="003650C6"/>
    <w:rsid w:val="0036712C"/>
    <w:rsid w:val="003715A1"/>
    <w:rsid w:val="00380348"/>
    <w:rsid w:val="0038232F"/>
    <w:rsid w:val="00383755"/>
    <w:rsid w:val="00384825"/>
    <w:rsid w:val="00390934"/>
    <w:rsid w:val="003927EB"/>
    <w:rsid w:val="003936CA"/>
    <w:rsid w:val="003947DF"/>
    <w:rsid w:val="003A0ECA"/>
    <w:rsid w:val="003A1BF3"/>
    <w:rsid w:val="003A2947"/>
    <w:rsid w:val="003A30AD"/>
    <w:rsid w:val="003A433A"/>
    <w:rsid w:val="003A48C0"/>
    <w:rsid w:val="003A49A5"/>
    <w:rsid w:val="003A775C"/>
    <w:rsid w:val="003B42CE"/>
    <w:rsid w:val="003B7556"/>
    <w:rsid w:val="003B7CF9"/>
    <w:rsid w:val="003D129D"/>
    <w:rsid w:val="003D2C53"/>
    <w:rsid w:val="003D4694"/>
    <w:rsid w:val="003D4CE3"/>
    <w:rsid w:val="003E0AD0"/>
    <w:rsid w:val="003E6F6E"/>
    <w:rsid w:val="003F26AC"/>
    <w:rsid w:val="003F3DFC"/>
    <w:rsid w:val="003F41BF"/>
    <w:rsid w:val="003F5791"/>
    <w:rsid w:val="00406747"/>
    <w:rsid w:val="0041089F"/>
    <w:rsid w:val="00410E97"/>
    <w:rsid w:val="004112D2"/>
    <w:rsid w:val="0041670D"/>
    <w:rsid w:val="00420B64"/>
    <w:rsid w:val="004265F7"/>
    <w:rsid w:val="00430495"/>
    <w:rsid w:val="00435F66"/>
    <w:rsid w:val="00436657"/>
    <w:rsid w:val="00437200"/>
    <w:rsid w:val="00446499"/>
    <w:rsid w:val="0045551A"/>
    <w:rsid w:val="00455EC8"/>
    <w:rsid w:val="00456D36"/>
    <w:rsid w:val="004607BC"/>
    <w:rsid w:val="004614B3"/>
    <w:rsid w:val="004636E5"/>
    <w:rsid w:val="004666D6"/>
    <w:rsid w:val="00470765"/>
    <w:rsid w:val="0047392A"/>
    <w:rsid w:val="00474A6A"/>
    <w:rsid w:val="004814B7"/>
    <w:rsid w:val="004861D0"/>
    <w:rsid w:val="00486919"/>
    <w:rsid w:val="0049067C"/>
    <w:rsid w:val="00491869"/>
    <w:rsid w:val="004949D2"/>
    <w:rsid w:val="004A4798"/>
    <w:rsid w:val="004A6948"/>
    <w:rsid w:val="004A6C8B"/>
    <w:rsid w:val="004B160D"/>
    <w:rsid w:val="004B3648"/>
    <w:rsid w:val="004B78F4"/>
    <w:rsid w:val="004C198C"/>
    <w:rsid w:val="004C3EC4"/>
    <w:rsid w:val="004C50CD"/>
    <w:rsid w:val="004C648F"/>
    <w:rsid w:val="004E484C"/>
    <w:rsid w:val="004E4A8E"/>
    <w:rsid w:val="004E7EE1"/>
    <w:rsid w:val="004F1B2D"/>
    <w:rsid w:val="004F1BA3"/>
    <w:rsid w:val="004F212B"/>
    <w:rsid w:val="00501719"/>
    <w:rsid w:val="00507F2C"/>
    <w:rsid w:val="00514718"/>
    <w:rsid w:val="00515D11"/>
    <w:rsid w:val="00515F6D"/>
    <w:rsid w:val="00516049"/>
    <w:rsid w:val="005162B2"/>
    <w:rsid w:val="00517F9F"/>
    <w:rsid w:val="00532FBB"/>
    <w:rsid w:val="00536062"/>
    <w:rsid w:val="005437EA"/>
    <w:rsid w:val="00553E07"/>
    <w:rsid w:val="00565839"/>
    <w:rsid w:val="0056644A"/>
    <w:rsid w:val="0056752A"/>
    <w:rsid w:val="005777EF"/>
    <w:rsid w:val="00583AA7"/>
    <w:rsid w:val="00590FE7"/>
    <w:rsid w:val="0059177C"/>
    <w:rsid w:val="005968A0"/>
    <w:rsid w:val="005A0EC8"/>
    <w:rsid w:val="005A2B9D"/>
    <w:rsid w:val="005A58E7"/>
    <w:rsid w:val="005A5BF1"/>
    <w:rsid w:val="005A7D3D"/>
    <w:rsid w:val="005B0201"/>
    <w:rsid w:val="005B092E"/>
    <w:rsid w:val="005B0B69"/>
    <w:rsid w:val="005B1683"/>
    <w:rsid w:val="005B7849"/>
    <w:rsid w:val="005B7CB6"/>
    <w:rsid w:val="005B7FA6"/>
    <w:rsid w:val="005C6B6F"/>
    <w:rsid w:val="005D7A09"/>
    <w:rsid w:val="005D7EB0"/>
    <w:rsid w:val="005E6EFD"/>
    <w:rsid w:val="005F19EC"/>
    <w:rsid w:val="005F4D19"/>
    <w:rsid w:val="005F679D"/>
    <w:rsid w:val="005F6FE0"/>
    <w:rsid w:val="006005A5"/>
    <w:rsid w:val="00602AD6"/>
    <w:rsid w:val="0060633D"/>
    <w:rsid w:val="00610970"/>
    <w:rsid w:val="006112CD"/>
    <w:rsid w:val="00614ACD"/>
    <w:rsid w:val="0061536D"/>
    <w:rsid w:val="00617FCA"/>
    <w:rsid w:val="00622A3F"/>
    <w:rsid w:val="00626570"/>
    <w:rsid w:val="00630621"/>
    <w:rsid w:val="006319B1"/>
    <w:rsid w:val="006337A7"/>
    <w:rsid w:val="00635C91"/>
    <w:rsid w:val="00650EEE"/>
    <w:rsid w:val="00661586"/>
    <w:rsid w:val="00665EC0"/>
    <w:rsid w:val="00671027"/>
    <w:rsid w:val="00682398"/>
    <w:rsid w:val="0068688F"/>
    <w:rsid w:val="00692CE4"/>
    <w:rsid w:val="00693FB1"/>
    <w:rsid w:val="00694E46"/>
    <w:rsid w:val="00694E7A"/>
    <w:rsid w:val="0069635D"/>
    <w:rsid w:val="00696726"/>
    <w:rsid w:val="006A2496"/>
    <w:rsid w:val="006A6CA0"/>
    <w:rsid w:val="006A6E81"/>
    <w:rsid w:val="006B1705"/>
    <w:rsid w:val="006B1A32"/>
    <w:rsid w:val="006C0826"/>
    <w:rsid w:val="006C4E0E"/>
    <w:rsid w:val="006C7E02"/>
    <w:rsid w:val="006D7503"/>
    <w:rsid w:val="006D7B0D"/>
    <w:rsid w:val="006E06BE"/>
    <w:rsid w:val="006E0776"/>
    <w:rsid w:val="006E4A7A"/>
    <w:rsid w:val="006E4BB3"/>
    <w:rsid w:val="006E5D6E"/>
    <w:rsid w:val="006E737C"/>
    <w:rsid w:val="006E7773"/>
    <w:rsid w:val="006E7AE9"/>
    <w:rsid w:val="006F0935"/>
    <w:rsid w:val="006F3E16"/>
    <w:rsid w:val="006F56D7"/>
    <w:rsid w:val="00700FBF"/>
    <w:rsid w:val="007015F4"/>
    <w:rsid w:val="007023FC"/>
    <w:rsid w:val="00706A17"/>
    <w:rsid w:val="00707584"/>
    <w:rsid w:val="00710308"/>
    <w:rsid w:val="007120AF"/>
    <w:rsid w:val="007146EC"/>
    <w:rsid w:val="00716DE4"/>
    <w:rsid w:val="0073320F"/>
    <w:rsid w:val="00741776"/>
    <w:rsid w:val="007502A9"/>
    <w:rsid w:val="00750E2B"/>
    <w:rsid w:val="007546F7"/>
    <w:rsid w:val="007577F5"/>
    <w:rsid w:val="00760028"/>
    <w:rsid w:val="00762AE7"/>
    <w:rsid w:val="00763CCB"/>
    <w:rsid w:val="00764DBF"/>
    <w:rsid w:val="00771C95"/>
    <w:rsid w:val="007772E6"/>
    <w:rsid w:val="00786662"/>
    <w:rsid w:val="0078703F"/>
    <w:rsid w:val="007870FC"/>
    <w:rsid w:val="0078729B"/>
    <w:rsid w:val="00787CAD"/>
    <w:rsid w:val="00790442"/>
    <w:rsid w:val="0079198A"/>
    <w:rsid w:val="00793C14"/>
    <w:rsid w:val="00796A3E"/>
    <w:rsid w:val="00796B53"/>
    <w:rsid w:val="007A216F"/>
    <w:rsid w:val="007A337E"/>
    <w:rsid w:val="007A3E35"/>
    <w:rsid w:val="007A527F"/>
    <w:rsid w:val="007A7174"/>
    <w:rsid w:val="007B18CA"/>
    <w:rsid w:val="007B1BA6"/>
    <w:rsid w:val="007B5F3A"/>
    <w:rsid w:val="007D4A1C"/>
    <w:rsid w:val="007D57FD"/>
    <w:rsid w:val="007D5804"/>
    <w:rsid w:val="007E18CB"/>
    <w:rsid w:val="007E35EE"/>
    <w:rsid w:val="007E492A"/>
    <w:rsid w:val="007E6123"/>
    <w:rsid w:val="007E66F9"/>
    <w:rsid w:val="007F32E2"/>
    <w:rsid w:val="007F5C40"/>
    <w:rsid w:val="008013F8"/>
    <w:rsid w:val="0080327C"/>
    <w:rsid w:val="0081226A"/>
    <w:rsid w:val="0081345F"/>
    <w:rsid w:val="0081380F"/>
    <w:rsid w:val="00815BED"/>
    <w:rsid w:val="00816557"/>
    <w:rsid w:val="0082237C"/>
    <w:rsid w:val="0082358E"/>
    <w:rsid w:val="00824CA9"/>
    <w:rsid w:val="0082540A"/>
    <w:rsid w:val="00825809"/>
    <w:rsid w:val="00835515"/>
    <w:rsid w:val="008377D9"/>
    <w:rsid w:val="00842ACA"/>
    <w:rsid w:val="00862B7A"/>
    <w:rsid w:val="00864E6E"/>
    <w:rsid w:val="0087521B"/>
    <w:rsid w:val="00875520"/>
    <w:rsid w:val="00882D94"/>
    <w:rsid w:val="00883888"/>
    <w:rsid w:val="00883AF8"/>
    <w:rsid w:val="00884F11"/>
    <w:rsid w:val="00885514"/>
    <w:rsid w:val="00885E78"/>
    <w:rsid w:val="008929D3"/>
    <w:rsid w:val="00893187"/>
    <w:rsid w:val="008975CA"/>
    <w:rsid w:val="008A692C"/>
    <w:rsid w:val="008B055F"/>
    <w:rsid w:val="008B1CC6"/>
    <w:rsid w:val="008B1FB6"/>
    <w:rsid w:val="008B224F"/>
    <w:rsid w:val="008B5C7E"/>
    <w:rsid w:val="008B67D1"/>
    <w:rsid w:val="008C3056"/>
    <w:rsid w:val="008C4D30"/>
    <w:rsid w:val="008C6535"/>
    <w:rsid w:val="008C6BCD"/>
    <w:rsid w:val="008C7294"/>
    <w:rsid w:val="008D176E"/>
    <w:rsid w:val="008D736F"/>
    <w:rsid w:val="008E51B3"/>
    <w:rsid w:val="008F7791"/>
    <w:rsid w:val="00902837"/>
    <w:rsid w:val="00910460"/>
    <w:rsid w:val="0091236A"/>
    <w:rsid w:val="00914382"/>
    <w:rsid w:val="009167C0"/>
    <w:rsid w:val="00917E53"/>
    <w:rsid w:val="00920A44"/>
    <w:rsid w:val="00922C4B"/>
    <w:rsid w:val="00936D9A"/>
    <w:rsid w:val="009415FA"/>
    <w:rsid w:val="00941A85"/>
    <w:rsid w:val="00947D72"/>
    <w:rsid w:val="009516C1"/>
    <w:rsid w:val="00954F93"/>
    <w:rsid w:val="00957724"/>
    <w:rsid w:val="00972C26"/>
    <w:rsid w:val="00973788"/>
    <w:rsid w:val="009738EA"/>
    <w:rsid w:val="00982700"/>
    <w:rsid w:val="00987818"/>
    <w:rsid w:val="009923EB"/>
    <w:rsid w:val="00995495"/>
    <w:rsid w:val="009A06F8"/>
    <w:rsid w:val="009B32B2"/>
    <w:rsid w:val="009B4AFC"/>
    <w:rsid w:val="009B699A"/>
    <w:rsid w:val="009C0473"/>
    <w:rsid w:val="009C3211"/>
    <w:rsid w:val="009C6E5F"/>
    <w:rsid w:val="009D0B4B"/>
    <w:rsid w:val="009D1555"/>
    <w:rsid w:val="009D3BDB"/>
    <w:rsid w:val="009D5521"/>
    <w:rsid w:val="009D6EE2"/>
    <w:rsid w:val="009E1C9D"/>
    <w:rsid w:val="009E29E5"/>
    <w:rsid w:val="009E2AE2"/>
    <w:rsid w:val="009F0E9C"/>
    <w:rsid w:val="009F2A6C"/>
    <w:rsid w:val="00A00B08"/>
    <w:rsid w:val="00A0664F"/>
    <w:rsid w:val="00A06E0B"/>
    <w:rsid w:val="00A10A2B"/>
    <w:rsid w:val="00A12388"/>
    <w:rsid w:val="00A168F6"/>
    <w:rsid w:val="00A2500C"/>
    <w:rsid w:val="00A25216"/>
    <w:rsid w:val="00A27331"/>
    <w:rsid w:val="00A31DDE"/>
    <w:rsid w:val="00A32095"/>
    <w:rsid w:val="00A36448"/>
    <w:rsid w:val="00A420D3"/>
    <w:rsid w:val="00A44405"/>
    <w:rsid w:val="00A470E8"/>
    <w:rsid w:val="00A52FF2"/>
    <w:rsid w:val="00A555EB"/>
    <w:rsid w:val="00A74FEC"/>
    <w:rsid w:val="00A8004C"/>
    <w:rsid w:val="00A82B14"/>
    <w:rsid w:val="00A85615"/>
    <w:rsid w:val="00AA4270"/>
    <w:rsid w:val="00AA4B20"/>
    <w:rsid w:val="00AA4D23"/>
    <w:rsid w:val="00AA70A2"/>
    <w:rsid w:val="00AB07D5"/>
    <w:rsid w:val="00AB1134"/>
    <w:rsid w:val="00AB117E"/>
    <w:rsid w:val="00AB1ADD"/>
    <w:rsid w:val="00AB4669"/>
    <w:rsid w:val="00AB49B6"/>
    <w:rsid w:val="00AB4E3B"/>
    <w:rsid w:val="00AC265C"/>
    <w:rsid w:val="00AC2A84"/>
    <w:rsid w:val="00AC34D5"/>
    <w:rsid w:val="00AC7572"/>
    <w:rsid w:val="00AC7BE8"/>
    <w:rsid w:val="00AD2C45"/>
    <w:rsid w:val="00AD733C"/>
    <w:rsid w:val="00AE0C53"/>
    <w:rsid w:val="00AE1C7B"/>
    <w:rsid w:val="00AF1497"/>
    <w:rsid w:val="00AF53E6"/>
    <w:rsid w:val="00AF6F1D"/>
    <w:rsid w:val="00B111FF"/>
    <w:rsid w:val="00B14DCA"/>
    <w:rsid w:val="00B163B7"/>
    <w:rsid w:val="00B22B48"/>
    <w:rsid w:val="00B26B0B"/>
    <w:rsid w:val="00B27A7D"/>
    <w:rsid w:val="00B43367"/>
    <w:rsid w:val="00B435A6"/>
    <w:rsid w:val="00B47778"/>
    <w:rsid w:val="00B50F58"/>
    <w:rsid w:val="00B51544"/>
    <w:rsid w:val="00B51FD7"/>
    <w:rsid w:val="00B54A3F"/>
    <w:rsid w:val="00B5526C"/>
    <w:rsid w:val="00B55C29"/>
    <w:rsid w:val="00B62832"/>
    <w:rsid w:val="00B8110F"/>
    <w:rsid w:val="00B83D50"/>
    <w:rsid w:val="00B8782B"/>
    <w:rsid w:val="00B9085C"/>
    <w:rsid w:val="00BA16D5"/>
    <w:rsid w:val="00BA2E95"/>
    <w:rsid w:val="00BA40A2"/>
    <w:rsid w:val="00BA6C8D"/>
    <w:rsid w:val="00BB5D17"/>
    <w:rsid w:val="00BB72BA"/>
    <w:rsid w:val="00BC4F8D"/>
    <w:rsid w:val="00BC76F1"/>
    <w:rsid w:val="00BE2F47"/>
    <w:rsid w:val="00BE445A"/>
    <w:rsid w:val="00BF320C"/>
    <w:rsid w:val="00C00454"/>
    <w:rsid w:val="00C01881"/>
    <w:rsid w:val="00C17F14"/>
    <w:rsid w:val="00C237DF"/>
    <w:rsid w:val="00C23ACA"/>
    <w:rsid w:val="00C2784B"/>
    <w:rsid w:val="00C33437"/>
    <w:rsid w:val="00C55B05"/>
    <w:rsid w:val="00C6386C"/>
    <w:rsid w:val="00C71B66"/>
    <w:rsid w:val="00C779F0"/>
    <w:rsid w:val="00C82DCB"/>
    <w:rsid w:val="00C91879"/>
    <w:rsid w:val="00C94D69"/>
    <w:rsid w:val="00C96167"/>
    <w:rsid w:val="00CA6AD3"/>
    <w:rsid w:val="00CB4F26"/>
    <w:rsid w:val="00CB6F96"/>
    <w:rsid w:val="00CB7F0D"/>
    <w:rsid w:val="00CC3C8A"/>
    <w:rsid w:val="00CC71F5"/>
    <w:rsid w:val="00CC755E"/>
    <w:rsid w:val="00CC7A8E"/>
    <w:rsid w:val="00CD149B"/>
    <w:rsid w:val="00CD7EFF"/>
    <w:rsid w:val="00CE66EB"/>
    <w:rsid w:val="00CE6860"/>
    <w:rsid w:val="00CE77A5"/>
    <w:rsid w:val="00CF75EE"/>
    <w:rsid w:val="00D1454D"/>
    <w:rsid w:val="00D15B02"/>
    <w:rsid w:val="00D2659B"/>
    <w:rsid w:val="00D2721D"/>
    <w:rsid w:val="00D323F0"/>
    <w:rsid w:val="00D32A3A"/>
    <w:rsid w:val="00D358D9"/>
    <w:rsid w:val="00D36AC8"/>
    <w:rsid w:val="00D4741C"/>
    <w:rsid w:val="00D52E94"/>
    <w:rsid w:val="00D56AD9"/>
    <w:rsid w:val="00D6120F"/>
    <w:rsid w:val="00D71D0A"/>
    <w:rsid w:val="00D71E89"/>
    <w:rsid w:val="00D75670"/>
    <w:rsid w:val="00D801F5"/>
    <w:rsid w:val="00D8068A"/>
    <w:rsid w:val="00D85497"/>
    <w:rsid w:val="00D87EB5"/>
    <w:rsid w:val="00D92BF3"/>
    <w:rsid w:val="00D94172"/>
    <w:rsid w:val="00D95141"/>
    <w:rsid w:val="00D9574C"/>
    <w:rsid w:val="00D95E66"/>
    <w:rsid w:val="00D96368"/>
    <w:rsid w:val="00DA419D"/>
    <w:rsid w:val="00DB2025"/>
    <w:rsid w:val="00DB5E97"/>
    <w:rsid w:val="00DB6FFE"/>
    <w:rsid w:val="00DC3F15"/>
    <w:rsid w:val="00DC47C4"/>
    <w:rsid w:val="00DC4AC8"/>
    <w:rsid w:val="00DD2459"/>
    <w:rsid w:val="00DD266A"/>
    <w:rsid w:val="00DD448A"/>
    <w:rsid w:val="00DD6C61"/>
    <w:rsid w:val="00DD798C"/>
    <w:rsid w:val="00DE15D7"/>
    <w:rsid w:val="00DE2732"/>
    <w:rsid w:val="00DF10CC"/>
    <w:rsid w:val="00E001EA"/>
    <w:rsid w:val="00E042D3"/>
    <w:rsid w:val="00E05D40"/>
    <w:rsid w:val="00E073DF"/>
    <w:rsid w:val="00E21BF1"/>
    <w:rsid w:val="00E2348D"/>
    <w:rsid w:val="00E23E67"/>
    <w:rsid w:val="00E24C23"/>
    <w:rsid w:val="00E24C35"/>
    <w:rsid w:val="00E26040"/>
    <w:rsid w:val="00E27DE3"/>
    <w:rsid w:val="00E33774"/>
    <w:rsid w:val="00E3428A"/>
    <w:rsid w:val="00E51B2F"/>
    <w:rsid w:val="00E55EF1"/>
    <w:rsid w:val="00E60566"/>
    <w:rsid w:val="00E63252"/>
    <w:rsid w:val="00E6448D"/>
    <w:rsid w:val="00E7576D"/>
    <w:rsid w:val="00E763B0"/>
    <w:rsid w:val="00E864E3"/>
    <w:rsid w:val="00E939D0"/>
    <w:rsid w:val="00E94990"/>
    <w:rsid w:val="00E94ADB"/>
    <w:rsid w:val="00E957C3"/>
    <w:rsid w:val="00EA08D0"/>
    <w:rsid w:val="00EA0F97"/>
    <w:rsid w:val="00EA1BD5"/>
    <w:rsid w:val="00EA3676"/>
    <w:rsid w:val="00EA413D"/>
    <w:rsid w:val="00EA6030"/>
    <w:rsid w:val="00EB1C78"/>
    <w:rsid w:val="00EB589E"/>
    <w:rsid w:val="00EB758C"/>
    <w:rsid w:val="00EC1FC9"/>
    <w:rsid w:val="00EE490E"/>
    <w:rsid w:val="00EE63BE"/>
    <w:rsid w:val="00EE6FBF"/>
    <w:rsid w:val="00EE7B15"/>
    <w:rsid w:val="00EF03A5"/>
    <w:rsid w:val="00EF3E26"/>
    <w:rsid w:val="00F04FD0"/>
    <w:rsid w:val="00F06895"/>
    <w:rsid w:val="00F06C27"/>
    <w:rsid w:val="00F12EF2"/>
    <w:rsid w:val="00F16856"/>
    <w:rsid w:val="00F177AA"/>
    <w:rsid w:val="00F17D04"/>
    <w:rsid w:val="00F2258D"/>
    <w:rsid w:val="00F40B61"/>
    <w:rsid w:val="00F53318"/>
    <w:rsid w:val="00F62D74"/>
    <w:rsid w:val="00F63AD8"/>
    <w:rsid w:val="00F643C2"/>
    <w:rsid w:val="00F6676C"/>
    <w:rsid w:val="00F71093"/>
    <w:rsid w:val="00F75335"/>
    <w:rsid w:val="00F81EF8"/>
    <w:rsid w:val="00F83198"/>
    <w:rsid w:val="00F85267"/>
    <w:rsid w:val="00F858DA"/>
    <w:rsid w:val="00FA2875"/>
    <w:rsid w:val="00FA34FC"/>
    <w:rsid w:val="00FC3079"/>
    <w:rsid w:val="00FC7413"/>
    <w:rsid w:val="00FD05DF"/>
    <w:rsid w:val="00FD63FB"/>
    <w:rsid w:val="00FE3562"/>
    <w:rsid w:val="00FF18FD"/>
    <w:rsid w:val="00FF27D2"/>
    <w:rsid w:val="00FF46AC"/>
    <w:rsid w:val="019F461C"/>
    <w:rsid w:val="01AF4DFA"/>
    <w:rsid w:val="022D0D62"/>
    <w:rsid w:val="02DC16DC"/>
    <w:rsid w:val="030D0218"/>
    <w:rsid w:val="049215B4"/>
    <w:rsid w:val="050523D1"/>
    <w:rsid w:val="05A6767F"/>
    <w:rsid w:val="06027874"/>
    <w:rsid w:val="07195300"/>
    <w:rsid w:val="07330A70"/>
    <w:rsid w:val="07E55ACC"/>
    <w:rsid w:val="08057E3D"/>
    <w:rsid w:val="0895416A"/>
    <w:rsid w:val="089F2A9C"/>
    <w:rsid w:val="08BE0D2E"/>
    <w:rsid w:val="0A96177E"/>
    <w:rsid w:val="0BB22810"/>
    <w:rsid w:val="0CB81877"/>
    <w:rsid w:val="0DEF2218"/>
    <w:rsid w:val="10580363"/>
    <w:rsid w:val="1094322A"/>
    <w:rsid w:val="1177789E"/>
    <w:rsid w:val="120A0F3C"/>
    <w:rsid w:val="12327929"/>
    <w:rsid w:val="127E7B7A"/>
    <w:rsid w:val="12A85383"/>
    <w:rsid w:val="12D34C22"/>
    <w:rsid w:val="13342FBC"/>
    <w:rsid w:val="134E6C67"/>
    <w:rsid w:val="137523DC"/>
    <w:rsid w:val="151B42B7"/>
    <w:rsid w:val="155E2F7E"/>
    <w:rsid w:val="16942C2B"/>
    <w:rsid w:val="171A3CDE"/>
    <w:rsid w:val="172A3AB5"/>
    <w:rsid w:val="17DC1CCE"/>
    <w:rsid w:val="18D52E51"/>
    <w:rsid w:val="19857438"/>
    <w:rsid w:val="1A0102C3"/>
    <w:rsid w:val="1AB529D9"/>
    <w:rsid w:val="1B782C51"/>
    <w:rsid w:val="1BD211F1"/>
    <w:rsid w:val="1C20645E"/>
    <w:rsid w:val="1CC9076F"/>
    <w:rsid w:val="1D026A59"/>
    <w:rsid w:val="1F6D2243"/>
    <w:rsid w:val="1FFF52FD"/>
    <w:rsid w:val="216564B9"/>
    <w:rsid w:val="21A91E87"/>
    <w:rsid w:val="21CD5F04"/>
    <w:rsid w:val="224E7A36"/>
    <w:rsid w:val="22A41471"/>
    <w:rsid w:val="23141549"/>
    <w:rsid w:val="232A4AED"/>
    <w:rsid w:val="23B44DD4"/>
    <w:rsid w:val="25EC2C30"/>
    <w:rsid w:val="27A2775E"/>
    <w:rsid w:val="27FE5A94"/>
    <w:rsid w:val="290F73DF"/>
    <w:rsid w:val="2ADB7715"/>
    <w:rsid w:val="2B296CE2"/>
    <w:rsid w:val="2BFB06A0"/>
    <w:rsid w:val="2CE52957"/>
    <w:rsid w:val="2E867ADD"/>
    <w:rsid w:val="2E9A4F86"/>
    <w:rsid w:val="2F3102EE"/>
    <w:rsid w:val="2F58112D"/>
    <w:rsid w:val="30484E27"/>
    <w:rsid w:val="3073258C"/>
    <w:rsid w:val="31B67643"/>
    <w:rsid w:val="31CD00BA"/>
    <w:rsid w:val="32A33F95"/>
    <w:rsid w:val="33541CC7"/>
    <w:rsid w:val="35407EA4"/>
    <w:rsid w:val="355E240E"/>
    <w:rsid w:val="358502B3"/>
    <w:rsid w:val="3629358B"/>
    <w:rsid w:val="37A117AC"/>
    <w:rsid w:val="37CE60BB"/>
    <w:rsid w:val="37FC30DD"/>
    <w:rsid w:val="38B97517"/>
    <w:rsid w:val="39316E6E"/>
    <w:rsid w:val="39AC68D5"/>
    <w:rsid w:val="39BD2329"/>
    <w:rsid w:val="39C63C50"/>
    <w:rsid w:val="39D44C42"/>
    <w:rsid w:val="3A35769E"/>
    <w:rsid w:val="3A9E6D76"/>
    <w:rsid w:val="3AAF00C4"/>
    <w:rsid w:val="3AEF1265"/>
    <w:rsid w:val="3B213BBB"/>
    <w:rsid w:val="3C77446E"/>
    <w:rsid w:val="3DB506EC"/>
    <w:rsid w:val="3DFE6BB0"/>
    <w:rsid w:val="3E333D4C"/>
    <w:rsid w:val="3F1B0AF2"/>
    <w:rsid w:val="3FFF2B56"/>
    <w:rsid w:val="40DA2596"/>
    <w:rsid w:val="429E1503"/>
    <w:rsid w:val="42B42326"/>
    <w:rsid w:val="4345127F"/>
    <w:rsid w:val="43481379"/>
    <w:rsid w:val="43E903FB"/>
    <w:rsid w:val="44573808"/>
    <w:rsid w:val="45A9690C"/>
    <w:rsid w:val="48303094"/>
    <w:rsid w:val="485D457B"/>
    <w:rsid w:val="48D23566"/>
    <w:rsid w:val="48E95446"/>
    <w:rsid w:val="4915171E"/>
    <w:rsid w:val="49CD6B97"/>
    <w:rsid w:val="4A0B781F"/>
    <w:rsid w:val="4AAC134D"/>
    <w:rsid w:val="4BA71B20"/>
    <w:rsid w:val="4C272843"/>
    <w:rsid w:val="4C4948E0"/>
    <w:rsid w:val="4DCA06D8"/>
    <w:rsid w:val="4DDE4A7D"/>
    <w:rsid w:val="4E102F92"/>
    <w:rsid w:val="4F467D9B"/>
    <w:rsid w:val="50124C49"/>
    <w:rsid w:val="515014E2"/>
    <w:rsid w:val="517D08D2"/>
    <w:rsid w:val="518A3D31"/>
    <w:rsid w:val="53616804"/>
    <w:rsid w:val="5440246A"/>
    <w:rsid w:val="548E75BD"/>
    <w:rsid w:val="54FF48D9"/>
    <w:rsid w:val="556A2EC9"/>
    <w:rsid w:val="559D4069"/>
    <w:rsid w:val="56984139"/>
    <w:rsid w:val="572F431A"/>
    <w:rsid w:val="5753718E"/>
    <w:rsid w:val="57656C94"/>
    <w:rsid w:val="57EB29E7"/>
    <w:rsid w:val="58867B22"/>
    <w:rsid w:val="5B8B53E3"/>
    <w:rsid w:val="5BD05788"/>
    <w:rsid w:val="5D5E5F51"/>
    <w:rsid w:val="5E997AF0"/>
    <w:rsid w:val="5FF34D5E"/>
    <w:rsid w:val="617436E2"/>
    <w:rsid w:val="62666782"/>
    <w:rsid w:val="63CA1D16"/>
    <w:rsid w:val="647F69E5"/>
    <w:rsid w:val="64B31F24"/>
    <w:rsid w:val="67241C5B"/>
    <w:rsid w:val="680A6BA8"/>
    <w:rsid w:val="6820725D"/>
    <w:rsid w:val="685D3DC2"/>
    <w:rsid w:val="68723E96"/>
    <w:rsid w:val="688F2233"/>
    <w:rsid w:val="6BBD5EC0"/>
    <w:rsid w:val="6C363A63"/>
    <w:rsid w:val="6EC939F6"/>
    <w:rsid w:val="6F1F6167"/>
    <w:rsid w:val="6F8B49D7"/>
    <w:rsid w:val="710132DB"/>
    <w:rsid w:val="72A735AD"/>
    <w:rsid w:val="742C5790"/>
    <w:rsid w:val="743B7BEB"/>
    <w:rsid w:val="744C1208"/>
    <w:rsid w:val="7567545F"/>
    <w:rsid w:val="75E9335C"/>
    <w:rsid w:val="76FD6A38"/>
    <w:rsid w:val="774575D1"/>
    <w:rsid w:val="77E07839"/>
    <w:rsid w:val="7861550A"/>
    <w:rsid w:val="7A0674B0"/>
    <w:rsid w:val="7A3A0587"/>
    <w:rsid w:val="7C5538A5"/>
    <w:rsid w:val="7D86047A"/>
    <w:rsid w:val="7F701CF1"/>
    <w:rsid w:val="7FC73EC4"/>
    <w:rsid w:val="7FFA12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34"/>
    <w:qFormat/>
    <w:uiPriority w:val="0"/>
    <w:pPr>
      <w:jc w:val="left"/>
    </w:pPr>
  </w:style>
  <w:style w:type="paragraph" w:styleId="3">
    <w:name w:val="Balloon Text"/>
    <w:basedOn w:val="1"/>
    <w:link w:val="20"/>
    <w:qFormat/>
    <w:uiPriority w:val="0"/>
    <w:rPr>
      <w:sz w:val="18"/>
      <w:szCs w:val="18"/>
    </w:rPr>
  </w:style>
  <w:style w:type="paragraph" w:styleId="4">
    <w:name w:val="footer"/>
    <w:basedOn w:val="1"/>
    <w:link w:val="35"/>
    <w:qFormat/>
    <w:uiPriority w:val="0"/>
    <w:pPr>
      <w:tabs>
        <w:tab w:val="center" w:pos="4153"/>
        <w:tab w:val="right" w:pos="8306"/>
      </w:tabs>
      <w:snapToGrid w:val="0"/>
      <w:jc w:val="left"/>
    </w:pPr>
    <w:rPr>
      <w:sz w:val="18"/>
      <w:szCs w:val="18"/>
    </w:rPr>
  </w:style>
  <w:style w:type="paragraph" w:styleId="5">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annotation subject"/>
    <w:basedOn w:val="2"/>
    <w:next w:val="2"/>
    <w:link w:val="23"/>
    <w:qFormat/>
    <w:uiPriority w:val="0"/>
    <w:rPr>
      <w:b/>
      <w:bCs/>
    </w:rPr>
  </w:style>
  <w:style w:type="character" w:styleId="10">
    <w:name w:val="Strong"/>
    <w:basedOn w:val="9"/>
    <w:qFormat/>
    <w:uiPriority w:val="0"/>
    <w:rPr>
      <w:b/>
    </w:rPr>
  </w:style>
  <w:style w:type="character" w:styleId="11">
    <w:name w:val="FollowedHyperlink"/>
    <w:basedOn w:val="9"/>
    <w:qFormat/>
    <w:uiPriority w:val="0"/>
    <w:rPr>
      <w:color w:val="333333"/>
      <w:u w:val="none"/>
    </w:rPr>
  </w:style>
  <w:style w:type="character" w:styleId="12">
    <w:name w:val="Emphasis"/>
    <w:basedOn w:val="9"/>
    <w:qFormat/>
    <w:uiPriority w:val="0"/>
    <w:rPr>
      <w:color w:val="FF0000"/>
    </w:rPr>
  </w:style>
  <w:style w:type="character" w:styleId="13">
    <w:name w:val="Hyperlink"/>
    <w:basedOn w:val="9"/>
    <w:qFormat/>
    <w:uiPriority w:val="0"/>
    <w:rPr>
      <w:color w:val="333333"/>
      <w:u w:val="none"/>
    </w:rPr>
  </w:style>
  <w:style w:type="character" w:styleId="14">
    <w:name w:val="HTML Code"/>
    <w:basedOn w:val="9"/>
    <w:qFormat/>
    <w:uiPriority w:val="0"/>
    <w:rPr>
      <w:rFonts w:hint="default" w:ascii="monospace" w:hAnsi="monospace" w:eastAsia="monospace" w:cs="monospace"/>
      <w:sz w:val="21"/>
      <w:szCs w:val="21"/>
    </w:rPr>
  </w:style>
  <w:style w:type="character" w:styleId="15">
    <w:name w:val="annotation reference"/>
    <w:qFormat/>
    <w:uiPriority w:val="0"/>
    <w:rPr>
      <w:sz w:val="21"/>
      <w:szCs w:val="21"/>
    </w:rPr>
  </w:style>
  <w:style w:type="character" w:styleId="16">
    <w:name w:val="HTML Keyboard"/>
    <w:basedOn w:val="9"/>
    <w:qFormat/>
    <w:uiPriority w:val="0"/>
    <w:rPr>
      <w:rFonts w:ascii="monospace" w:hAnsi="monospace" w:eastAsia="monospace" w:cs="monospace"/>
      <w:sz w:val="21"/>
      <w:szCs w:val="21"/>
    </w:rPr>
  </w:style>
  <w:style w:type="character" w:styleId="17">
    <w:name w:val="HTML Sample"/>
    <w:basedOn w:val="9"/>
    <w:qFormat/>
    <w:uiPriority w:val="0"/>
    <w:rPr>
      <w:rFonts w:hint="default" w:ascii="monospace" w:hAnsi="monospace" w:eastAsia="monospace" w:cs="monospace"/>
      <w:sz w:val="21"/>
      <w:szCs w:val="21"/>
    </w:rPr>
  </w:style>
  <w:style w:type="paragraph" w:customStyle="1" w:styleId="18">
    <w:name w:val="列出段落1"/>
    <w:basedOn w:val="1"/>
    <w:qFormat/>
    <w:uiPriority w:val="0"/>
    <w:pPr>
      <w:ind w:firstLine="420" w:firstLineChars="200"/>
    </w:pPr>
    <w:rPr>
      <w:rFonts w:ascii="Calibri" w:hAnsi="Calibri"/>
      <w:szCs w:val="22"/>
    </w:rPr>
  </w:style>
  <w:style w:type="paragraph" w:customStyle="1" w:styleId="1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character" w:customStyle="1" w:styleId="20">
    <w:name w:val="批注框文本 Char"/>
    <w:link w:val="3"/>
    <w:qFormat/>
    <w:uiPriority w:val="0"/>
    <w:rPr>
      <w:kern w:val="2"/>
      <w:sz w:val="18"/>
      <w:szCs w:val="18"/>
    </w:rPr>
  </w:style>
  <w:style w:type="character" w:customStyle="1" w:styleId="21">
    <w:name w:val="not([class*=suffix])1"/>
    <w:basedOn w:val="9"/>
    <w:qFormat/>
    <w:uiPriority w:val="0"/>
    <w:rPr>
      <w:sz w:val="13"/>
      <w:szCs w:val="13"/>
    </w:rPr>
  </w:style>
  <w:style w:type="character" w:customStyle="1" w:styleId="22">
    <w:name w:val="no-reply-icon"/>
    <w:basedOn w:val="9"/>
    <w:qFormat/>
    <w:uiPriority w:val="0"/>
    <w:rPr>
      <w:color w:val="BBC0CC"/>
      <w:bdr w:val="single" w:color="F8F8F8" w:sz="4" w:space="0"/>
      <w:shd w:val="clear" w:color="auto" w:fill="F8F8F8"/>
    </w:rPr>
  </w:style>
  <w:style w:type="character" w:customStyle="1" w:styleId="23">
    <w:name w:val="批注主题 Char"/>
    <w:link w:val="7"/>
    <w:qFormat/>
    <w:uiPriority w:val="0"/>
    <w:rPr>
      <w:b/>
      <w:bCs/>
      <w:kern w:val="2"/>
      <w:sz w:val="21"/>
    </w:rPr>
  </w:style>
  <w:style w:type="character" w:customStyle="1" w:styleId="24">
    <w:name w:val="flag-title2"/>
    <w:basedOn w:val="9"/>
    <w:qFormat/>
    <w:uiPriority w:val="0"/>
    <w:rPr>
      <w:color w:val="8790A4"/>
      <w:sz w:val="12"/>
      <w:szCs w:val="12"/>
      <w:bdr w:val="dashed" w:color="E5E5E5" w:sz="4" w:space="0"/>
    </w:rPr>
  </w:style>
  <w:style w:type="character" w:customStyle="1" w:styleId="25">
    <w:name w:val="right"/>
    <w:basedOn w:val="9"/>
    <w:qFormat/>
    <w:uiPriority w:val="0"/>
    <w:rPr>
      <w:shd w:val="clear" w:color="auto" w:fill="E5E5E5"/>
    </w:rPr>
  </w:style>
  <w:style w:type="character" w:customStyle="1" w:styleId="26">
    <w:name w:val="new-question-icon"/>
    <w:basedOn w:val="9"/>
    <w:qFormat/>
    <w:uiPriority w:val="0"/>
    <w:rPr>
      <w:color w:val="F99403"/>
      <w:bdr w:val="single" w:color="FFF8E2" w:sz="4" w:space="0"/>
      <w:shd w:val="clear" w:color="auto" w:fill="FFF8E2"/>
    </w:rPr>
  </w:style>
  <w:style w:type="character" w:customStyle="1" w:styleId="27">
    <w:name w:val="hover4"/>
    <w:basedOn w:val="9"/>
    <w:qFormat/>
    <w:uiPriority w:val="0"/>
    <w:rPr>
      <w:color w:val="0077E6"/>
    </w:rPr>
  </w:style>
  <w:style w:type="character" w:customStyle="1" w:styleId="28">
    <w:name w:val="not([class*=suffix])"/>
    <w:basedOn w:val="9"/>
    <w:qFormat/>
    <w:uiPriority w:val="0"/>
  </w:style>
  <w:style w:type="character" w:customStyle="1" w:styleId="29">
    <w:name w:val="页眉 Char"/>
    <w:link w:val="5"/>
    <w:qFormat/>
    <w:uiPriority w:val="0"/>
    <w:rPr>
      <w:kern w:val="2"/>
      <w:sz w:val="18"/>
      <w:szCs w:val="18"/>
    </w:rPr>
  </w:style>
  <w:style w:type="character" w:customStyle="1" w:styleId="30">
    <w:name w:val="nth-child(1)"/>
    <w:basedOn w:val="9"/>
    <w:qFormat/>
    <w:uiPriority w:val="0"/>
  </w:style>
  <w:style w:type="character" w:customStyle="1" w:styleId="31">
    <w:name w:val="nth-child(3)"/>
    <w:basedOn w:val="9"/>
    <w:qFormat/>
    <w:uiPriority w:val="0"/>
  </w:style>
  <w:style w:type="character" w:customStyle="1" w:styleId="32">
    <w:name w:val="hot-question-icon"/>
    <w:basedOn w:val="9"/>
    <w:qFormat/>
    <w:uiPriority w:val="0"/>
    <w:rPr>
      <w:color w:val="FF0000"/>
    </w:rPr>
  </w:style>
  <w:style w:type="character" w:customStyle="1" w:styleId="33">
    <w:name w:val="nth-child(2)"/>
    <w:basedOn w:val="9"/>
    <w:qFormat/>
    <w:uiPriority w:val="0"/>
  </w:style>
  <w:style w:type="character" w:customStyle="1" w:styleId="34">
    <w:name w:val="批注文字 Char"/>
    <w:link w:val="2"/>
    <w:qFormat/>
    <w:uiPriority w:val="0"/>
    <w:rPr>
      <w:kern w:val="2"/>
      <w:sz w:val="21"/>
    </w:rPr>
  </w:style>
  <w:style w:type="character" w:customStyle="1" w:styleId="35">
    <w:name w:val="页脚 Char"/>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418</Words>
  <Characters>2389</Characters>
  <Lines>19</Lines>
  <Paragraphs>5</Paragraphs>
  <TotalTime>1263</TotalTime>
  <ScaleCrop>false</ScaleCrop>
  <LinksUpToDate>false</LinksUpToDate>
  <CharactersWithSpaces>2802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2020-07-14T01:28:00Z</dcterms:created>
  <dc:creator>jnc</dc:creator>
  <cp:lastModifiedBy>怀江</cp:lastModifiedBy>
  <dcterms:modified xsi:type="dcterms:W3CDTF">2020-07-22T02:16:58Z</dcterms:modified>
  <dc:title>证券代码：002408                              证券简称：齐翔腾达</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