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7F" w:rsidRPr="00E45A59" w:rsidRDefault="00E93A7F" w:rsidP="007C045A">
      <w:pPr>
        <w:spacing w:afterLines="50" w:after="156" w:line="360" w:lineRule="auto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E45A5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证券代码：300417                                   证券简称：南华仪器</w:t>
      </w:r>
    </w:p>
    <w:p w:rsidR="00E93A7F" w:rsidRPr="00E45A59" w:rsidRDefault="00E93A7F" w:rsidP="007C045A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28"/>
          <w:szCs w:val="28"/>
        </w:rPr>
      </w:pPr>
      <w:r w:rsidRPr="00E45A59">
        <w:rPr>
          <w:rFonts w:asciiTheme="minorEastAsia" w:eastAsiaTheme="minorEastAsia" w:hAnsiTheme="minorEastAsia" w:hint="eastAsia"/>
          <w:b/>
          <w:bCs/>
          <w:iCs/>
          <w:color w:val="000000"/>
          <w:sz w:val="28"/>
          <w:szCs w:val="28"/>
        </w:rPr>
        <w:t>佛山市南华仪器股份有限公司投资者关系活动记录表</w:t>
      </w:r>
    </w:p>
    <w:p w:rsidR="00E93A7F" w:rsidRPr="00E45A59" w:rsidRDefault="00E93A7F" w:rsidP="00E93A7F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E45A5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编号：</w:t>
      </w:r>
      <w:r w:rsidR="00DE5FC1" w:rsidRPr="00DE5FC1">
        <w:rPr>
          <w:rFonts w:asciiTheme="minorEastAsia" w:eastAsiaTheme="minorEastAsia" w:hAnsiTheme="minorEastAsia"/>
          <w:bCs/>
          <w:iCs/>
          <w:color w:val="000000"/>
          <w:sz w:val="24"/>
        </w:rPr>
        <w:t>NH/IR20</w:t>
      </w:r>
      <w:r w:rsidR="00DE5FC1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20</w:t>
      </w:r>
      <w:r w:rsidR="00DE5FC1" w:rsidRPr="00DE5FC1">
        <w:rPr>
          <w:rFonts w:asciiTheme="minorEastAsia" w:eastAsiaTheme="minorEastAsia" w:hAnsiTheme="minorEastAsia"/>
          <w:bCs/>
          <w:iCs/>
          <w:color w:val="000000"/>
          <w:sz w:val="24"/>
        </w:rPr>
        <w:t>-0</w:t>
      </w:r>
      <w:r w:rsidR="00FE4C6E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3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946"/>
      </w:tblGrid>
      <w:tr w:rsidR="00E93A7F" w:rsidRPr="00E45A59" w:rsidTr="00E45A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FA3E9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93A7F" w:rsidRPr="00E45A59" w:rsidRDefault="00E93A7F" w:rsidP="00FA3E9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7C045A">
            <w:pPr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√</w:t>
            </w:r>
            <w:r w:rsidR="00E93A7F"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特定对象调研        □分析师会议</w:t>
            </w:r>
          </w:p>
          <w:p w:rsidR="00E93A7F" w:rsidRPr="00E45A59" w:rsidRDefault="00E93A7F" w:rsidP="007C045A">
            <w:pPr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□媒体采访            □业绩说明会</w:t>
            </w:r>
          </w:p>
          <w:p w:rsidR="00E93A7F" w:rsidRPr="00E45A59" w:rsidRDefault="00E93A7F" w:rsidP="007C045A">
            <w:pPr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:rsidR="00E93A7F" w:rsidRPr="00E45A59" w:rsidRDefault="00E93A7F" w:rsidP="00E45A59">
            <w:pPr>
              <w:tabs>
                <w:tab w:val="left" w:pos="2685"/>
                <w:tab w:val="center" w:pos="3199"/>
              </w:tabs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□现场参观</w:t>
            </w: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  <w:t>□其他 （</w:t>
            </w:r>
            <w:proofErr w:type="gramStart"/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E93A7F" w:rsidRPr="00E45A59" w:rsidTr="00E45A59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D" w:rsidRPr="00E45A59" w:rsidRDefault="008A3849" w:rsidP="00AF44B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华泰证券黄波</w:t>
            </w:r>
          </w:p>
        </w:tc>
      </w:tr>
      <w:tr w:rsidR="00E93A7F" w:rsidRPr="00E45A59" w:rsidTr="00E45A59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8A384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2020年</w:t>
            </w:r>
            <w:r w:rsid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7</w:t>
            </w: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8A384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24</w:t>
            </w: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日15：00－16：00</w:t>
            </w:r>
          </w:p>
        </w:tc>
      </w:tr>
      <w:tr w:rsidR="00E93A7F" w:rsidRPr="00E45A59" w:rsidTr="00E45A59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南华仪器一楼会议室 </w:t>
            </w:r>
          </w:p>
        </w:tc>
      </w:tr>
      <w:tr w:rsidR="00E93A7F" w:rsidRPr="00E45A59" w:rsidTr="00E45A59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B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董事会秘书</w:t>
            </w:r>
            <w:proofErr w:type="gramStart"/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伍颂颖</w:t>
            </w:r>
            <w:proofErr w:type="gramEnd"/>
          </w:p>
          <w:p w:rsidR="00AF44B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证券事务代表彭丽杉</w:t>
            </w:r>
          </w:p>
        </w:tc>
      </w:tr>
      <w:tr w:rsidR="00E93A7F" w:rsidRPr="00E45A59" w:rsidTr="00E45A59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1、公司未来的增长点有哪些？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答：从公司机动车检测设备业务未来的增长点来说，主要有两个方面： 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第一，汽车保有量的增长。目前我国机动车近两年虽机动车销售量虽有所放缓慢，但汽车保有量却处于持续增长态势，截至2019年年底，全国机动车保有量已达3.48亿辆，其中汽车2.6亿辆；机动车驾驶人4.35亿人，其中汽车驾驶人3.97亿人。我国机动车尤其汽车的保有量持续快速增长，市场基础不断扩大。因此建站需求不断扩大，对于检测设备的需求随之水涨船高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 第二，技术进步。目前我国汽车产业正由成长期迈入成熟期，平均车龄持续增长，缓解机动车保有量的增长与道路交通事故频发、空气质量恶化的矛盾已成为当务之急，国家将不断制定新标准以提高的机动车检测能力。我司将自主研发和掌握核心技术作为企业核心发展战略，凭借公司二十多年来在机动车检测行业的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 xml:space="preserve">技术经验储备及研发队伍建设，公司具备不断提高设备检测能力的研发实力。 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目前公司进行战略转型，利用自身掌握技术向环境监测行业延伸，环境监测作为治理环境污染、衡量环境质量、检验治理效果的基础，随着国家对污染物排放标准和环境质量要求的提升、环保执法监管的加强，环境监测行业具有更加广阔的市场需求空间。公司环境监测设备及系统在2019年已经初步投放市场并实现营业收入，公司将不断加强环保检测方面产品的研发投入，加大环保产品的市场开拓，培育新的利润增长点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2、公司现有研发与服务人员的构成？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答：截至2019年底，公司及子公司华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贝软件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拥有已获授权的专利78项，其中包括14项发明专利、54项实用新型专利和10项外观设计专利，拥有计算机软件著作权108项。公司研发人员数量为212人，人数占比38%。公司研发团队专业涵盖精密光学、精密机械、电子、计算机软件、自动化以及人工智能等领域。2020年的研发工作主要集中于环境监测设备及系统。根据公司预算，2020年公司研发投入占比不低于5%，研发投入围绕公司战略目标而制定，具体现有研发情况请关注公司2020年半年度报告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3、车检设备市场竞争格局与主要竞争对手有哪些？公司的产品对比竞争对手有哪些优势？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答：目前市场占有率较大的企业包括南华仪器、安车检测、石家庄华燕等，还有较多其他小规模的从业企业，目前车检设备技术门槛较高，随着国家技术标准的不断提高，小企业可能存在因技术升级、研发实力较弱等原因逐步退出市场的情形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公司在掌握产品核心技术方面具备竞争优势，公司全面掌握了所有产品的主要核心技术，尤其是掌握了生产关键部件（如：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不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透光度计检测平台和气体分析光学平台）的核心技术，代替了进口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采购，具有成本优势。同时相对于购买关键部件进行组装生产的竞争对手而言，能够在最短时间内向客户提供更好的标准化、专业化的售后技术支持和服务。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4、车检系统升级有哪些规律？还有哪些潜在升级空间？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答：根据公司多年经验，车检系统的国家标准一般3到5年更新一次，新标准一般会较旧标准更为严格、先进，通常会涉及到检验方法、检测设备、技术的升级以及检测项目的增加或细化等，这会带来软件升级、设备换新的需求。例如，目前热点的国六话题，主要是针对新车的发动机技术、排放标准的升级。国六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标准较国五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严格，因此未来车辆</w:t>
            </w:r>
            <w:r w:rsidR="001B114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年检也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须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衔接国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六的要求，</w:t>
            </w:r>
            <w:r w:rsidR="001B114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会有制定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相适应的检测标准</w:t>
            </w:r>
            <w:r w:rsidR="001B114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制定出来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 另外机动车检测系统使用寿命一般为5－8年，操作人员的熟练程度直接影响到易损耗件的更换频次，而使用不当、设备搬迁等原因可能加速老化。目前我国尚未出台明确的检测设备报废标准,因此当前部分已超过正常使用寿命、可靠性缺乏保障的机动车检测系统仍在使用,存在较大隐患,</w:t>
            </w:r>
            <w:r w:rsidR="001B114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目前报废标准也在制定当中，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一旦检测设备报废标准正式出台,</w:t>
            </w:r>
            <w:r w:rsidR="001B114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将加速老旧检测系统的淘汰，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将带来较强的重置和维护需求。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5、车检设备价格如何？每个检测站大致的投入与设备配备量？</w:t>
            </w:r>
          </w:p>
          <w:p w:rsidR="001B1145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答： 投资检测站需考虑土地的租赁或者购买、设备的采购、厂房建设和人员配置等。首先地区不同用地成本也有区别，另外还需考虑到检测站的规模，对于检测站的设备配备也要考虑地区实际情况及市场需求，（例如城区限行区域，可能会选择做二检合一的检测站，如果是郊区且场地条件也能满足的则可能会选择三检合一）同时要估算检测站检测车辆数量并考虑周边配备检测线数量等因素，决定最终投入的设备量（举例来说，假如周边竞争比较激烈，那么可能就会只选择建一条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安检线</w:t>
            </w:r>
            <w:proofErr w:type="gramEnd"/>
            <w:r w:rsidR="001B114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和</w:t>
            </w: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两条或者三条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环保线做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一个小型检测站）</w:t>
            </w:r>
            <w:r w:rsidR="001B1145"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</w:p>
          <w:p w:rsidR="00392619" w:rsidRPr="00392619" w:rsidRDefault="001B1145" w:rsidP="001B1145">
            <w:pPr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因此</w:t>
            </w:r>
            <w:r w:rsidR="00392619"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机动车检测站的建站需求实际上需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要根据客户的具体要求进行个性化定制，配置的</w:t>
            </w:r>
            <w:r w:rsidR="00392619"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设备价格也有所不同，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建站</w:t>
            </w:r>
            <w:r w:rsidR="00392619"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投入金额没有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一个</w:t>
            </w:r>
            <w:r w:rsidR="00392619"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明确的标准。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6、下游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车检站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已经开始整合，公司有哪些应对举措？</w:t>
            </w:r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答：机动车检测行业普遍存在企业规模小、人才分散、技术分散、资源分散的特点，下游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车检站整合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有利于车检市场的合</w:t>
            </w:r>
            <w:proofErr w:type="gramStart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规化</w:t>
            </w:r>
            <w:proofErr w:type="gramEnd"/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发展，有利于加快检测机构建设，改善我国机动车检测机构数量不足及空间布局不合理的现状，对于公司有积极影响。</w:t>
            </w:r>
            <w:bookmarkStart w:id="0" w:name="_GoBack"/>
            <w:bookmarkEnd w:id="0"/>
          </w:p>
          <w:p w:rsidR="00392619" w:rsidRPr="00392619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 xml:space="preserve">7、公司是否考虑向下游延伸，进入车检服务领域？ </w:t>
            </w:r>
          </w:p>
          <w:p w:rsidR="002144E0" w:rsidRPr="00984CF1" w:rsidRDefault="00392619" w:rsidP="0039261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926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答：根据公司的战略规划，公司坚持在汽车检测领域做专做强的基础上，并利用自身掌握的技术向环境监测领域延伸，目前暂无进入车检服务行业的计划。</w:t>
            </w:r>
          </w:p>
        </w:tc>
      </w:tr>
    </w:tbl>
    <w:p w:rsidR="003D372E" w:rsidRPr="00F35EC6" w:rsidRDefault="003D372E">
      <w:pPr>
        <w:rPr>
          <w:rFonts w:asciiTheme="minorEastAsia" w:eastAsiaTheme="minorEastAsia" w:hAnsiTheme="minorEastAsia"/>
          <w:sz w:val="24"/>
        </w:rPr>
      </w:pPr>
    </w:p>
    <w:sectPr w:rsidR="003D372E" w:rsidRPr="00F3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41" w:rsidRDefault="006B0541" w:rsidP="008730D8">
      <w:r>
        <w:separator/>
      </w:r>
    </w:p>
  </w:endnote>
  <w:endnote w:type="continuationSeparator" w:id="0">
    <w:p w:rsidR="006B0541" w:rsidRDefault="006B0541" w:rsidP="0087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41" w:rsidRDefault="006B0541" w:rsidP="008730D8">
      <w:r>
        <w:separator/>
      </w:r>
    </w:p>
  </w:footnote>
  <w:footnote w:type="continuationSeparator" w:id="0">
    <w:p w:rsidR="006B0541" w:rsidRDefault="006B0541" w:rsidP="0087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7F"/>
    <w:rsid w:val="00054DB6"/>
    <w:rsid w:val="00065134"/>
    <w:rsid w:val="000C11A0"/>
    <w:rsid w:val="000D62DD"/>
    <w:rsid w:val="000F2E45"/>
    <w:rsid w:val="00123E89"/>
    <w:rsid w:val="0014251C"/>
    <w:rsid w:val="0016475E"/>
    <w:rsid w:val="001A7F69"/>
    <w:rsid w:val="001B1145"/>
    <w:rsid w:val="001B69BC"/>
    <w:rsid w:val="002144E0"/>
    <w:rsid w:val="002411FD"/>
    <w:rsid w:val="00356CBA"/>
    <w:rsid w:val="00381994"/>
    <w:rsid w:val="00392619"/>
    <w:rsid w:val="003A3675"/>
    <w:rsid w:val="003A72F7"/>
    <w:rsid w:val="003B58BC"/>
    <w:rsid w:val="003D372E"/>
    <w:rsid w:val="00441BD1"/>
    <w:rsid w:val="00515D33"/>
    <w:rsid w:val="0054128D"/>
    <w:rsid w:val="00561409"/>
    <w:rsid w:val="00595CF5"/>
    <w:rsid w:val="005A193F"/>
    <w:rsid w:val="005D6A8F"/>
    <w:rsid w:val="00600BEA"/>
    <w:rsid w:val="006607EE"/>
    <w:rsid w:val="006B0541"/>
    <w:rsid w:val="006F31E4"/>
    <w:rsid w:val="007C045A"/>
    <w:rsid w:val="008730D8"/>
    <w:rsid w:val="008A3849"/>
    <w:rsid w:val="009315FA"/>
    <w:rsid w:val="00984CF1"/>
    <w:rsid w:val="00A07E86"/>
    <w:rsid w:val="00A86D4C"/>
    <w:rsid w:val="00AF44BF"/>
    <w:rsid w:val="00B31DEB"/>
    <w:rsid w:val="00BD04E1"/>
    <w:rsid w:val="00BE4B5C"/>
    <w:rsid w:val="00C042BC"/>
    <w:rsid w:val="00C55B22"/>
    <w:rsid w:val="00CA5600"/>
    <w:rsid w:val="00CF3D25"/>
    <w:rsid w:val="00D612C6"/>
    <w:rsid w:val="00DA088D"/>
    <w:rsid w:val="00DA0EB8"/>
    <w:rsid w:val="00DD0C15"/>
    <w:rsid w:val="00DE5FC1"/>
    <w:rsid w:val="00E45A59"/>
    <w:rsid w:val="00E93A7F"/>
    <w:rsid w:val="00EC0DDF"/>
    <w:rsid w:val="00ED700C"/>
    <w:rsid w:val="00EF6C63"/>
    <w:rsid w:val="00F2644B"/>
    <w:rsid w:val="00F3074E"/>
    <w:rsid w:val="00F35EC6"/>
    <w:rsid w:val="00F55698"/>
    <w:rsid w:val="00F964DB"/>
    <w:rsid w:val="00FA3E9C"/>
    <w:rsid w:val="00FC79A4"/>
    <w:rsid w:val="00FD1A0D"/>
    <w:rsid w:val="00FE4C6E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4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42E8-46D0-41C1-A4C9-752F343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伍颂颖</dc:creator>
  <cp:lastModifiedBy>彭丽杉</cp:lastModifiedBy>
  <cp:revision>3</cp:revision>
  <cp:lastPrinted>2020-07-24T06:47:00Z</cp:lastPrinted>
  <dcterms:created xsi:type="dcterms:W3CDTF">2020-07-24T09:11:00Z</dcterms:created>
  <dcterms:modified xsi:type="dcterms:W3CDTF">2020-07-24T09:15:00Z</dcterms:modified>
</cp:coreProperties>
</file>