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证券代码：002955                          证券简称：鸿合科技</w:t>
      </w:r>
    </w:p>
    <w:p>
      <w:pPr>
        <w:spacing w:before="312" w:beforeLines="100" w:after="312" w:afterLines="100" w:line="480" w:lineRule="auto"/>
        <w:jc w:val="center"/>
        <w:rPr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鸿合科技股份有限公司投资者关系活动记录表</w:t>
      </w:r>
    </w:p>
    <w:p>
      <w:pPr>
        <w:spacing w:line="400" w:lineRule="exac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编号：2020-004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媒体采访  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新闻发布会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北京成泉资本管理有限公司、东北证券股份有限公司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2020年8月14日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下午</w:t>
            </w:r>
            <w:r>
              <w:rPr>
                <w:bCs/>
                <w:iCs/>
                <w:sz w:val="24"/>
                <w:szCs w:val="24"/>
              </w:rPr>
              <w:t>16:30-17:30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融新科技中心F座会议室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董事长邢修青</w:t>
            </w:r>
          </w:p>
          <w:p>
            <w:pPr>
              <w:widowControl/>
              <w:spacing w:line="360" w:lineRule="auto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总经理王京</w:t>
            </w:r>
          </w:p>
          <w:p>
            <w:pPr>
              <w:spacing w:line="360" w:lineRule="auto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董事会秘书孙晓蔷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本次投资者交流内容概要：</w:t>
            </w:r>
          </w:p>
          <w:p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1、</w:t>
            </w:r>
            <w:r>
              <w:rPr>
                <w:rFonts w:hint="eastAsia"/>
                <w:b/>
                <w:iCs/>
                <w:sz w:val="24"/>
                <w:szCs w:val="24"/>
              </w:rPr>
              <w:t>公</w:t>
            </w:r>
            <w:r>
              <w:rPr>
                <w:b/>
                <w:iCs/>
                <w:sz w:val="24"/>
                <w:szCs w:val="24"/>
              </w:rPr>
              <w:t>司</w:t>
            </w:r>
            <w:r>
              <w:rPr>
                <w:rFonts w:hint="eastAsia"/>
                <w:b/>
                <w:iCs/>
                <w:sz w:val="24"/>
                <w:szCs w:val="24"/>
              </w:rPr>
              <w:t>如何看待教育与商用市场的市场空间？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公司在教育与商用市场均有良好发展基础。</w:t>
            </w:r>
          </w:p>
          <w:p>
            <w:pPr>
              <w:spacing w:line="480" w:lineRule="atLeast"/>
              <w:ind w:firstLine="480" w:firstLineChars="200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default"/>
                <w:bCs/>
                <w:iCs/>
                <w:sz w:val="24"/>
                <w:szCs w:val="24"/>
              </w:rPr>
              <w:t>教育市场：</w:t>
            </w:r>
            <w:r>
              <w:rPr>
                <w:rFonts w:hint="eastAsia"/>
                <w:bCs/>
                <w:iCs/>
                <w:sz w:val="24"/>
                <w:szCs w:val="24"/>
              </w:rPr>
              <w:t>国内教育新增市场和存量市场均有发展潜力。顺应国家教育信息化2.0的政策要求，今后教育信息化行业将以软件、内容和服务为主要发展方向；海外的教育市场在政府长期计划支持、学校需求稳定增长的背景下具有良好的前景，市场可拓展范围较大。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商用市场：未来，全球市场尤其是中国市场，5G全面覆盖的时代即将到来，物联网的联通和应用将极大改善社会生态。以云视频为代表的现代办公服务已经突破了传统应用的场景范畴，向智慧教育、智慧医疗、远程培训等新应用场景渗透。另外，视频行业云+端的整合也是未来趋势，公司将积极进行业务布局。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</w:p>
          <w:p>
            <w:pPr>
              <w:spacing w:line="48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2、公司</w:t>
            </w:r>
            <w:r>
              <w:rPr>
                <w:rFonts w:hint="eastAsia"/>
                <w:b/>
                <w:iCs/>
                <w:sz w:val="24"/>
                <w:szCs w:val="24"/>
              </w:rPr>
              <w:t>如何推进与</w:t>
            </w:r>
            <w:r>
              <w:rPr>
                <w:b/>
                <w:iCs/>
                <w:sz w:val="24"/>
                <w:szCs w:val="24"/>
              </w:rPr>
              <w:t>落实</w:t>
            </w:r>
            <w:r>
              <w:rPr>
                <w:rFonts w:hint="eastAsia"/>
                <w:b/>
                <w:iCs/>
                <w:sz w:val="24"/>
                <w:szCs w:val="24"/>
              </w:rPr>
              <w:t>新的战略？</w:t>
            </w:r>
          </w:p>
          <w:p>
            <w:pPr>
              <w:spacing w:line="480" w:lineRule="atLeast"/>
              <w:ind w:firstLine="480" w:firstLineChars="200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公司管理层高度重视新的战略规划的推动与实施，具体而言：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1）智慧教育集团上半年围绕产品和服务，加快落实“一核两翼”战略规划：升级软硬件产品，强化一核优势，满足多场景教学需求；以师训服务和教室服务为抓手，推进两翼业务；优化物流仓储，提升服务品质。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2）商用业务集团上半年拓展多场景解决方案，开发市场新客户：newline海外事业群灵活调整策略，保持快速增长；中国商用事业群聚焦视频会议场景，巩固市场优势；整机及方案事业群紧跟客户需求，着力提升客户满意度。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</w:p>
          <w:p>
            <w:pPr>
              <w:pStyle w:val="24"/>
              <w:numPr>
                <w:ilvl w:val="0"/>
                <w:numId w:val="1"/>
              </w:numPr>
              <w:spacing w:line="480" w:lineRule="atLeast"/>
              <w:ind w:firstLineChars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公司的竞争优势是什么</w:t>
            </w:r>
            <w:r>
              <w:rPr>
                <w:rFonts w:hint="eastAsia"/>
                <w:b/>
                <w:iCs/>
                <w:sz w:val="24"/>
                <w:szCs w:val="24"/>
              </w:rPr>
              <w:t>？</w:t>
            </w:r>
          </w:p>
          <w:p>
            <w:pPr>
              <w:spacing w:line="480" w:lineRule="atLeast"/>
              <w:ind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公司在技术研发、产品制造、创新发展、人才引进等各方面均占有独特优势，主要竞争优势如下：</w:t>
            </w:r>
          </w:p>
          <w:p>
            <w:pPr>
              <w:numPr>
                <w:numId w:val="0"/>
              </w:numPr>
              <w:spacing w:line="480" w:lineRule="atLeast"/>
              <w:ind w:left="0" w:leftChars="0" w:firstLine="480" w:firstLineChars="200"/>
              <w:rPr>
                <w:bCs/>
                <w:iCs/>
                <w:sz w:val="24"/>
                <w:szCs w:val="24"/>
              </w:rPr>
            </w:pPr>
            <w:bookmarkStart w:id="0" w:name="_GoBack"/>
            <w:r>
              <w:rPr>
                <w:rFonts w:hint="default"/>
                <w:bCs/>
                <w:iCs/>
                <w:sz w:val="24"/>
                <w:szCs w:val="24"/>
              </w:rPr>
              <w:t>（1）</w:t>
            </w:r>
            <w:r>
              <w:rPr>
                <w:rFonts w:hint="eastAsia"/>
                <w:bCs/>
                <w:iCs/>
                <w:sz w:val="24"/>
                <w:szCs w:val="24"/>
              </w:rPr>
              <w:t>技术优势</w:t>
            </w:r>
            <w:r>
              <w:rPr>
                <w:bCs/>
                <w:iCs/>
                <w:sz w:val="24"/>
                <w:szCs w:val="24"/>
              </w:rPr>
              <w:t>：公司始终坚持创新驱动、技术引领的发展战略。公司设立了北京、深圳、保定和台湾新竹四个研发中心，拥有一支600多人的软硬件研发团队，截至2020年6月30日，公司及其控股子公司共取得专利562项，取得计算机软件著作权共289项，形成了完整的研发体系，具有较为坚实的技术基础和技术储备。</w:t>
            </w:r>
          </w:p>
          <w:p>
            <w:pPr>
              <w:numPr>
                <w:numId w:val="0"/>
              </w:numPr>
              <w:spacing w:line="480" w:lineRule="atLeast"/>
              <w:ind w:left="0" w:leftChars="0"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（2）</w:t>
            </w:r>
            <w:r>
              <w:rPr>
                <w:bCs/>
                <w:iCs/>
                <w:sz w:val="24"/>
                <w:szCs w:val="24"/>
              </w:rPr>
              <w:t>创新优势：在核心技术的支持下，公司具备持续推出创新型产品的能力，多年来在硬件和软件方面不断创新，推出了一系列引领市场的产品。如全贴合技术、第四代交互式教学软件—鸿合π等等。</w:t>
            </w:r>
          </w:p>
          <w:p>
            <w:pPr>
              <w:spacing w:line="480" w:lineRule="atLeast"/>
              <w:ind w:left="0" w:leftChars="0" w:firstLine="480" w:firstLineChars="20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（3）</w:t>
            </w:r>
            <w:r>
              <w:rPr>
                <w:bCs/>
                <w:iCs/>
                <w:sz w:val="24"/>
                <w:szCs w:val="24"/>
              </w:rPr>
              <w:t>市场优势：公司市场优势体现在品牌优势、渠道优势、服务优势。在发展过程中始终坚持自有品牌为主的竞争策略，公司旗下 “鸿合HiteVision”智慧教育品牌和“newline”全球商用品牌，</w:t>
            </w:r>
            <w:r>
              <w:rPr>
                <w:rFonts w:hint="eastAsia"/>
                <w:bCs/>
                <w:iCs/>
                <w:sz w:val="24"/>
                <w:szCs w:val="24"/>
              </w:rPr>
              <w:t>均</w:t>
            </w:r>
            <w:r>
              <w:rPr>
                <w:bCs/>
                <w:iCs/>
                <w:sz w:val="24"/>
                <w:szCs w:val="24"/>
              </w:rPr>
              <w:t xml:space="preserve">具备较高的行业知名度和美誉度。 </w:t>
            </w:r>
          </w:p>
          <w:p>
            <w:pPr>
              <w:spacing w:line="480" w:lineRule="atLeast"/>
              <w:ind w:left="0" w:leftChars="0"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（4）</w:t>
            </w:r>
            <w:r>
              <w:rPr>
                <w:bCs/>
                <w:iCs/>
                <w:sz w:val="24"/>
                <w:szCs w:val="24"/>
              </w:rPr>
              <w:t>产研一体化优势：公司通过垂直整合，建立产研一体化的高端制造基地，持续保证技术、产品、市场的领先。规划建设深圳产业园以及安徽蚌埠产业园，利用前沿的制程技术并辅之以自动化工艺，整合制造、物流、信息化等资源，推动“制造”向“智造”转变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2020年8月14日</w:t>
            </w:r>
          </w:p>
        </w:tc>
      </w:tr>
    </w:tbl>
    <w:p>
      <w:pPr>
        <w:widowControl/>
        <w:jc w:val="left"/>
        <w:rPr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B59"/>
    <w:multiLevelType w:val="multilevel"/>
    <w:tmpl w:val="7CE35B59"/>
    <w:lvl w:ilvl="0" w:tentative="0">
      <w:start w:val="3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B"/>
    <w:rsid w:val="00016130"/>
    <w:rsid w:val="00083136"/>
    <w:rsid w:val="000861EA"/>
    <w:rsid w:val="000F5967"/>
    <w:rsid w:val="00136793"/>
    <w:rsid w:val="00171BDD"/>
    <w:rsid w:val="001A1607"/>
    <w:rsid w:val="0020408B"/>
    <w:rsid w:val="00231B20"/>
    <w:rsid w:val="002819C1"/>
    <w:rsid w:val="00337107"/>
    <w:rsid w:val="00365594"/>
    <w:rsid w:val="0037747A"/>
    <w:rsid w:val="003C24A9"/>
    <w:rsid w:val="00420A0A"/>
    <w:rsid w:val="0042501D"/>
    <w:rsid w:val="00431D08"/>
    <w:rsid w:val="004E1DC3"/>
    <w:rsid w:val="0051719A"/>
    <w:rsid w:val="00521A7E"/>
    <w:rsid w:val="00542F6B"/>
    <w:rsid w:val="00581C14"/>
    <w:rsid w:val="00591BE4"/>
    <w:rsid w:val="006151CB"/>
    <w:rsid w:val="00636920"/>
    <w:rsid w:val="006B3C5E"/>
    <w:rsid w:val="006C4CBB"/>
    <w:rsid w:val="00713C30"/>
    <w:rsid w:val="00732EF4"/>
    <w:rsid w:val="007934A7"/>
    <w:rsid w:val="007D3C0F"/>
    <w:rsid w:val="007E0AFA"/>
    <w:rsid w:val="00815519"/>
    <w:rsid w:val="00842F36"/>
    <w:rsid w:val="00844CBB"/>
    <w:rsid w:val="00845304"/>
    <w:rsid w:val="00895DA7"/>
    <w:rsid w:val="008B1F53"/>
    <w:rsid w:val="008F0A8B"/>
    <w:rsid w:val="009041C2"/>
    <w:rsid w:val="00905321"/>
    <w:rsid w:val="00905584"/>
    <w:rsid w:val="00914530"/>
    <w:rsid w:val="00A56567"/>
    <w:rsid w:val="00A93F94"/>
    <w:rsid w:val="00A95CFC"/>
    <w:rsid w:val="00AA69BB"/>
    <w:rsid w:val="00AB39B5"/>
    <w:rsid w:val="00AF0381"/>
    <w:rsid w:val="00AF402E"/>
    <w:rsid w:val="00AF78B7"/>
    <w:rsid w:val="00B054C1"/>
    <w:rsid w:val="00B86CAC"/>
    <w:rsid w:val="00C01D44"/>
    <w:rsid w:val="00C5310E"/>
    <w:rsid w:val="00C56AE2"/>
    <w:rsid w:val="00C778BA"/>
    <w:rsid w:val="00CB33A7"/>
    <w:rsid w:val="00CB6AF3"/>
    <w:rsid w:val="00CC7331"/>
    <w:rsid w:val="00CD32B3"/>
    <w:rsid w:val="00D0027B"/>
    <w:rsid w:val="00D05850"/>
    <w:rsid w:val="00D067AF"/>
    <w:rsid w:val="00D966BA"/>
    <w:rsid w:val="00DA1FB0"/>
    <w:rsid w:val="00DD3387"/>
    <w:rsid w:val="00DF1C04"/>
    <w:rsid w:val="00E273ED"/>
    <w:rsid w:val="00E56BD1"/>
    <w:rsid w:val="00ED50A7"/>
    <w:rsid w:val="00EF5BB7"/>
    <w:rsid w:val="00EF5FDB"/>
    <w:rsid w:val="00F030E2"/>
    <w:rsid w:val="00F33EF2"/>
    <w:rsid w:val="00F44570"/>
    <w:rsid w:val="00F61D45"/>
    <w:rsid w:val="00F66CBC"/>
    <w:rsid w:val="00F720EA"/>
    <w:rsid w:val="00F77931"/>
    <w:rsid w:val="00F93D08"/>
    <w:rsid w:val="00FA0595"/>
    <w:rsid w:val="00FE08E6"/>
    <w:rsid w:val="00FE6FBA"/>
    <w:rsid w:val="0EBFF6E8"/>
    <w:rsid w:val="0ED86C0A"/>
    <w:rsid w:val="23B2976B"/>
    <w:rsid w:val="2B7EF4CA"/>
    <w:rsid w:val="2FEB2962"/>
    <w:rsid w:val="37F329DB"/>
    <w:rsid w:val="3B4FCE70"/>
    <w:rsid w:val="3EDFD820"/>
    <w:rsid w:val="3FBED859"/>
    <w:rsid w:val="3FEF855F"/>
    <w:rsid w:val="45FD1881"/>
    <w:rsid w:val="4EB3048F"/>
    <w:rsid w:val="51FF367D"/>
    <w:rsid w:val="57FB08F9"/>
    <w:rsid w:val="5DE9041A"/>
    <w:rsid w:val="5EEC77EF"/>
    <w:rsid w:val="5FDBA3EC"/>
    <w:rsid w:val="5FFDF622"/>
    <w:rsid w:val="67EDD5FD"/>
    <w:rsid w:val="69FAD2E0"/>
    <w:rsid w:val="6FFE5555"/>
    <w:rsid w:val="6FFF8C2B"/>
    <w:rsid w:val="76EF04B6"/>
    <w:rsid w:val="78EB5AB2"/>
    <w:rsid w:val="7AFEBE3B"/>
    <w:rsid w:val="7BAD5666"/>
    <w:rsid w:val="7BFF87C4"/>
    <w:rsid w:val="7C6FD589"/>
    <w:rsid w:val="7EDE5BE1"/>
    <w:rsid w:val="7EFFD968"/>
    <w:rsid w:val="7F27E161"/>
    <w:rsid w:val="7F3E1F91"/>
    <w:rsid w:val="7F6B7E39"/>
    <w:rsid w:val="7FADF6CA"/>
    <w:rsid w:val="7FBF74FE"/>
    <w:rsid w:val="7FED7A02"/>
    <w:rsid w:val="7FFD1724"/>
    <w:rsid w:val="7FFF68D3"/>
    <w:rsid w:val="9BFEE478"/>
    <w:rsid w:val="ACFAF0B3"/>
    <w:rsid w:val="AEFFA6B7"/>
    <w:rsid w:val="B7AE6B93"/>
    <w:rsid w:val="B9EFC692"/>
    <w:rsid w:val="BDA5798B"/>
    <w:rsid w:val="BDDF3CA1"/>
    <w:rsid w:val="BE6F2C9C"/>
    <w:rsid w:val="D35FEE61"/>
    <w:rsid w:val="D4F527EA"/>
    <w:rsid w:val="D7FCEA90"/>
    <w:rsid w:val="D9DBE0A2"/>
    <w:rsid w:val="DB99B1F7"/>
    <w:rsid w:val="DBBBC170"/>
    <w:rsid w:val="DDF8B016"/>
    <w:rsid w:val="DFDFC61C"/>
    <w:rsid w:val="DFF95694"/>
    <w:rsid w:val="E37F3E7E"/>
    <w:rsid w:val="EB93DA09"/>
    <w:rsid w:val="EF7EE4CD"/>
    <w:rsid w:val="EFBF5CE8"/>
    <w:rsid w:val="EFDF3F87"/>
    <w:rsid w:val="EFF49E26"/>
    <w:rsid w:val="EFFDEB99"/>
    <w:rsid w:val="EFFFA628"/>
    <w:rsid w:val="F37FB979"/>
    <w:rsid w:val="F3FF2C85"/>
    <w:rsid w:val="F4FB5213"/>
    <w:rsid w:val="F7BF44C7"/>
    <w:rsid w:val="FB7F1470"/>
    <w:rsid w:val="FB89CE08"/>
    <w:rsid w:val="FBF495D5"/>
    <w:rsid w:val="FD6B85BA"/>
    <w:rsid w:val="FDCF9862"/>
    <w:rsid w:val="FEEE3227"/>
    <w:rsid w:val="FFD7C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rPr>
      <w:sz w:val="28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  <w:rPr>
      <w:sz w:val="28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1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11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16">
    <w:name w:val="无间隔1"/>
    <w:link w:val="1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7">
    <w:name w:val="无间隔 字符"/>
    <w:basedOn w:val="11"/>
    <w:link w:val="16"/>
    <w:qFormat/>
    <w:uiPriority w:val="1"/>
    <w:rPr>
      <w:kern w:val="0"/>
      <w:sz w:val="22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0">
    <w:name w:val="页眉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未处理的提及1"/>
    <w:basedOn w:val="11"/>
    <w:unhideWhenUsed/>
    <w:qFormat/>
    <w:uiPriority w:val="99"/>
    <w:rPr>
      <w:color w:val="808080"/>
      <w:shd w:val="clear" w:color="auto" w:fill="E6E6E6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paragraph" w:styleId="2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219</Words>
  <Characters>1250</Characters>
  <Lines>10</Lines>
  <Paragraphs>2</Paragraphs>
  <TotalTime>42</TotalTime>
  <ScaleCrop>false</ScaleCrop>
  <LinksUpToDate>false</LinksUpToDate>
  <CharactersWithSpaces>1467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2020-04-30T10:37:00Z</dcterms:created>
  <dc:creator>王忻[xinwang]</dc:creator>
  <cp:lastModifiedBy>yi</cp:lastModifiedBy>
  <dcterms:modified xsi:type="dcterms:W3CDTF">2020-08-17T19:09:21Z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