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39" w:rsidRDefault="00FD5D29">
      <w:pPr>
        <w:spacing w:beforeLines="50" w:before="156" w:afterLines="50" w:after="156" w:line="400" w:lineRule="exact"/>
        <w:jc w:val="center"/>
        <w:rPr>
          <w:rFonts w:ascii="宋体" w:hAnsi="宋体"/>
          <w:b/>
          <w:bCs/>
          <w:iCs/>
          <w:color w:val="000000"/>
          <w:sz w:val="32"/>
          <w:szCs w:val="32"/>
        </w:rPr>
      </w:pPr>
      <w:r>
        <w:rPr>
          <w:rFonts w:ascii="宋体" w:hAnsi="宋体" w:hint="eastAsia"/>
          <w:bCs/>
          <w:iCs/>
          <w:color w:val="000000"/>
          <w:sz w:val="30"/>
          <w:szCs w:val="30"/>
        </w:rPr>
        <w:t>证券</w:t>
      </w:r>
      <w:r>
        <w:rPr>
          <w:rFonts w:ascii="宋体" w:hAnsi="宋体"/>
          <w:bCs/>
          <w:iCs/>
          <w:color w:val="000000"/>
          <w:sz w:val="30"/>
          <w:szCs w:val="30"/>
        </w:rPr>
        <w:t>代码：</w:t>
      </w:r>
      <w:r>
        <w:rPr>
          <w:rFonts w:ascii="宋体" w:hAnsi="宋体" w:hint="eastAsia"/>
          <w:bCs/>
          <w:iCs/>
          <w:color w:val="000000"/>
          <w:sz w:val="30"/>
          <w:szCs w:val="30"/>
        </w:rPr>
        <w:t xml:space="preserve">002903  </w:t>
      </w:r>
      <w:r>
        <w:rPr>
          <w:rFonts w:ascii="宋体" w:hAnsi="宋体"/>
          <w:bCs/>
          <w:iCs/>
          <w:color w:val="000000"/>
          <w:sz w:val="30"/>
          <w:szCs w:val="30"/>
        </w:rPr>
        <w:t xml:space="preserve">              </w:t>
      </w:r>
      <w:r w:rsidR="00614C14">
        <w:rPr>
          <w:rFonts w:ascii="宋体" w:hAnsi="宋体"/>
          <w:bCs/>
          <w:iCs/>
          <w:color w:val="000000"/>
          <w:sz w:val="30"/>
          <w:szCs w:val="30"/>
        </w:rPr>
        <w:t xml:space="preserve">  </w:t>
      </w:r>
      <w:r>
        <w:rPr>
          <w:rFonts w:ascii="宋体" w:hAnsi="宋体" w:hint="eastAsia"/>
          <w:bCs/>
          <w:iCs/>
          <w:color w:val="000000"/>
          <w:sz w:val="30"/>
          <w:szCs w:val="30"/>
        </w:rPr>
        <w:t xml:space="preserve">  证券</w:t>
      </w:r>
      <w:r>
        <w:rPr>
          <w:rFonts w:ascii="宋体" w:hAnsi="宋体"/>
          <w:bCs/>
          <w:iCs/>
          <w:color w:val="000000"/>
          <w:sz w:val="30"/>
          <w:szCs w:val="30"/>
        </w:rPr>
        <w:t>简称：宇环数控</w:t>
      </w:r>
    </w:p>
    <w:p w:rsidR="00614C14" w:rsidRDefault="00614C14">
      <w:pPr>
        <w:spacing w:beforeLines="50" w:before="156" w:afterLines="50" w:after="156" w:line="400" w:lineRule="exact"/>
        <w:jc w:val="center"/>
        <w:rPr>
          <w:rFonts w:ascii="宋体" w:hAnsi="宋体"/>
          <w:b/>
          <w:bCs/>
          <w:iCs/>
          <w:color w:val="000000"/>
          <w:sz w:val="32"/>
          <w:szCs w:val="32"/>
        </w:rPr>
      </w:pPr>
    </w:p>
    <w:p w:rsidR="003E3039" w:rsidRDefault="00FD5D29">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宇环数控机床股份有限公司</w:t>
      </w:r>
    </w:p>
    <w:p w:rsidR="003E3039" w:rsidRDefault="00FD5D29">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3E3039" w:rsidRDefault="00FD5D29">
      <w:pPr>
        <w:spacing w:line="400" w:lineRule="exact"/>
        <w:rPr>
          <w:rFonts w:ascii="宋体" w:hAnsi="宋体"/>
          <w:bCs/>
          <w:iCs/>
          <w:color w:val="000000"/>
          <w:sz w:val="24"/>
        </w:rPr>
      </w:pPr>
      <w:r>
        <w:rPr>
          <w:rFonts w:ascii="宋体" w:hAnsi="宋体" w:hint="eastAsia"/>
          <w:bCs/>
          <w:iCs/>
          <w:color w:val="000000"/>
          <w:sz w:val="24"/>
        </w:rPr>
        <w:t xml:space="preserve">                                                        编号：20</w:t>
      </w:r>
      <w:r>
        <w:rPr>
          <w:rFonts w:ascii="宋体" w:hAnsi="宋体"/>
          <w:bCs/>
          <w:iCs/>
          <w:color w:val="000000"/>
          <w:sz w:val="24"/>
        </w:rPr>
        <w:t>20</w:t>
      </w:r>
      <w:r>
        <w:rPr>
          <w:rFonts w:ascii="宋体" w:hAnsi="宋体" w:hint="eastAsia"/>
          <w:bCs/>
          <w:iCs/>
          <w:color w:val="000000"/>
          <w:sz w:val="24"/>
        </w:rPr>
        <w:t>-001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086"/>
        <w:gridCol w:w="2500"/>
        <w:gridCol w:w="2785"/>
      </w:tblGrid>
      <w:tr w:rsidR="003E3039" w:rsidTr="00FD5D2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snapToGrid w:val="0"/>
              <w:spacing w:line="276" w:lineRule="auto"/>
              <w:rPr>
                <w:rFonts w:ascii="宋体" w:hAnsi="宋体"/>
                <w:bCs/>
                <w:iCs/>
                <w:color w:val="000000"/>
                <w:sz w:val="24"/>
              </w:rPr>
            </w:pPr>
            <w:r>
              <w:rPr>
                <w:rFonts w:ascii="宋体" w:hAnsi="宋体" w:hint="eastAsia"/>
                <w:bCs/>
                <w:iCs/>
                <w:color w:val="000000"/>
                <w:sz w:val="24"/>
              </w:rPr>
              <w:t>投资者关系活动类别</w:t>
            </w:r>
          </w:p>
          <w:p w:rsidR="003E3039" w:rsidRDefault="003E3039" w:rsidP="00614C14">
            <w:pPr>
              <w:snapToGrid w:val="0"/>
              <w:spacing w:line="276" w:lineRule="auto"/>
              <w:rPr>
                <w:rFonts w:ascii="宋体" w:hAnsi="宋体"/>
                <w:bCs/>
                <w:iCs/>
                <w:color w:val="000000"/>
                <w:sz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snapToGrid w:val="0"/>
              <w:spacing w:line="276" w:lineRule="auto"/>
              <w:rPr>
                <w:rFonts w:ascii="宋体" w:hAnsi="宋体"/>
                <w:sz w:val="28"/>
                <w:szCs w:val="28"/>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3E3039" w:rsidRDefault="00FD5D29" w:rsidP="00614C14">
            <w:pPr>
              <w:snapToGrid w:val="0"/>
              <w:spacing w:line="276"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3E3039" w:rsidRDefault="00FD5D29" w:rsidP="00614C14">
            <w:pPr>
              <w:snapToGrid w:val="0"/>
              <w:spacing w:line="276"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3E3039" w:rsidRDefault="00FD5D29" w:rsidP="00614C14">
            <w:pPr>
              <w:tabs>
                <w:tab w:val="left" w:pos="3045"/>
                <w:tab w:val="center" w:pos="3199"/>
              </w:tabs>
              <w:snapToGrid w:val="0"/>
              <w:spacing w:line="276"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3E3039" w:rsidRDefault="00FD5D29" w:rsidP="00614C14">
            <w:pPr>
              <w:tabs>
                <w:tab w:val="center" w:pos="3199"/>
              </w:tabs>
              <w:snapToGrid w:val="0"/>
              <w:spacing w:line="276"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（电话会</w:t>
            </w:r>
            <w:r w:rsidRPr="00FD5D29">
              <w:rPr>
                <w:rFonts w:ascii="宋体" w:hAnsi="宋体" w:hint="eastAsia"/>
                <w:sz w:val="28"/>
                <w:szCs w:val="28"/>
              </w:rPr>
              <w:t>议）</w:t>
            </w:r>
          </w:p>
        </w:tc>
      </w:tr>
      <w:tr w:rsidR="003E3039" w:rsidTr="00614C14">
        <w:trPr>
          <w:trHeight w:hRule="exact" w:val="340"/>
        </w:trPr>
        <w:tc>
          <w:tcPr>
            <w:tcW w:w="1555" w:type="dxa"/>
            <w:vMerge w:val="restart"/>
            <w:tcBorders>
              <w:top w:val="single" w:sz="4" w:space="0" w:color="auto"/>
              <w:left w:val="single" w:sz="4" w:space="0" w:color="auto"/>
              <w:right w:val="single" w:sz="4" w:space="0" w:color="auto"/>
            </w:tcBorders>
            <w:shd w:val="clear" w:color="auto" w:fill="auto"/>
            <w:vAlign w:val="center"/>
          </w:tcPr>
          <w:p w:rsidR="003E3039" w:rsidRDefault="00FD5D29" w:rsidP="00614C14">
            <w:pPr>
              <w:rPr>
                <w:rFonts w:ascii="宋体" w:hAnsi="宋体"/>
                <w:bCs/>
                <w:iCs/>
                <w:color w:val="000000"/>
                <w:sz w:val="24"/>
              </w:rPr>
            </w:pPr>
            <w:r>
              <w:rPr>
                <w:rFonts w:ascii="宋体" w:hAnsi="宋体" w:hint="eastAsia"/>
                <w:bCs/>
                <w:iCs/>
                <w:color w:val="000000"/>
                <w:sz w:val="24"/>
              </w:rPr>
              <w:t>参与单位名称及人员姓名</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序号</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姓名</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公司名称</w:t>
            </w:r>
          </w:p>
        </w:tc>
      </w:tr>
      <w:tr w:rsidR="003E3039" w:rsidTr="00614C14">
        <w:trPr>
          <w:trHeight w:hRule="exact" w:val="340"/>
        </w:trPr>
        <w:tc>
          <w:tcPr>
            <w:tcW w:w="1555" w:type="dxa"/>
            <w:vMerge/>
            <w:tcBorders>
              <w:left w:val="single" w:sz="4" w:space="0" w:color="auto"/>
              <w:right w:val="single" w:sz="4" w:space="0" w:color="auto"/>
            </w:tcBorders>
            <w:shd w:val="clear" w:color="auto" w:fill="auto"/>
            <w:vAlign w:val="center"/>
          </w:tcPr>
          <w:p w:rsidR="003E3039" w:rsidRDefault="003E303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1</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孔涛</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华安基金</w:t>
            </w:r>
          </w:p>
        </w:tc>
      </w:tr>
      <w:tr w:rsidR="003E3039" w:rsidTr="00614C14">
        <w:trPr>
          <w:trHeight w:hRule="exact" w:val="340"/>
        </w:trPr>
        <w:tc>
          <w:tcPr>
            <w:tcW w:w="1555" w:type="dxa"/>
            <w:vMerge/>
            <w:tcBorders>
              <w:left w:val="single" w:sz="4" w:space="0" w:color="auto"/>
              <w:right w:val="single" w:sz="4" w:space="0" w:color="auto"/>
            </w:tcBorders>
            <w:shd w:val="clear" w:color="auto" w:fill="auto"/>
            <w:vAlign w:val="center"/>
          </w:tcPr>
          <w:p w:rsidR="003E3039" w:rsidRDefault="003E303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范桂峰</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proofErr w:type="gramStart"/>
            <w:r>
              <w:rPr>
                <w:rFonts w:ascii="宋体" w:hAnsi="宋体" w:cs="宋体" w:hint="eastAsia"/>
                <w:sz w:val="24"/>
              </w:rPr>
              <w:t>汐</w:t>
            </w:r>
            <w:proofErr w:type="gramEnd"/>
            <w:r>
              <w:rPr>
                <w:rFonts w:ascii="宋体" w:hAnsi="宋体" w:cs="宋体" w:hint="eastAsia"/>
                <w:sz w:val="24"/>
              </w:rPr>
              <w:t>泰投资</w:t>
            </w:r>
          </w:p>
        </w:tc>
      </w:tr>
      <w:tr w:rsidR="003E3039" w:rsidTr="00614C14">
        <w:trPr>
          <w:trHeight w:hRule="exact" w:val="340"/>
        </w:trPr>
        <w:tc>
          <w:tcPr>
            <w:tcW w:w="1555" w:type="dxa"/>
            <w:vMerge/>
            <w:tcBorders>
              <w:left w:val="single" w:sz="4" w:space="0" w:color="auto"/>
              <w:right w:val="single" w:sz="4" w:space="0" w:color="auto"/>
            </w:tcBorders>
            <w:shd w:val="clear" w:color="auto" w:fill="auto"/>
            <w:vAlign w:val="center"/>
          </w:tcPr>
          <w:p w:rsidR="003E3039" w:rsidRDefault="003E303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张怀安</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顶天投资</w:t>
            </w:r>
          </w:p>
        </w:tc>
      </w:tr>
      <w:tr w:rsidR="003E3039" w:rsidTr="00614C14">
        <w:trPr>
          <w:trHeight w:hRule="exact" w:val="340"/>
        </w:trPr>
        <w:tc>
          <w:tcPr>
            <w:tcW w:w="1555" w:type="dxa"/>
            <w:vMerge/>
            <w:tcBorders>
              <w:left w:val="single" w:sz="4" w:space="0" w:color="auto"/>
              <w:right w:val="single" w:sz="4" w:space="0" w:color="auto"/>
            </w:tcBorders>
            <w:shd w:val="clear" w:color="auto" w:fill="auto"/>
            <w:vAlign w:val="center"/>
          </w:tcPr>
          <w:p w:rsidR="003E3039" w:rsidRDefault="003E303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proofErr w:type="gramStart"/>
            <w:r>
              <w:rPr>
                <w:rFonts w:ascii="宋体" w:hAnsi="宋体" w:cs="宋体" w:hint="eastAsia"/>
                <w:sz w:val="24"/>
              </w:rPr>
              <w:t>李胜敏</w:t>
            </w:r>
            <w:proofErr w:type="gramEnd"/>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3E3039" w:rsidRDefault="00FD5D29" w:rsidP="00614C14">
            <w:pPr>
              <w:jc w:val="center"/>
              <w:rPr>
                <w:rFonts w:ascii="宋体" w:hAnsi="宋体" w:cs="宋体"/>
                <w:sz w:val="24"/>
              </w:rPr>
            </w:pPr>
            <w:r>
              <w:rPr>
                <w:rFonts w:ascii="宋体" w:hAnsi="宋体" w:cs="宋体" w:hint="eastAsia"/>
                <w:sz w:val="24"/>
              </w:rPr>
              <w:t>顶天投资</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翟盛杰</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前海人寿</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陈炜</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乐</w:t>
            </w:r>
            <w:proofErr w:type="gramStart"/>
            <w:r>
              <w:rPr>
                <w:rFonts w:ascii="宋体" w:hAnsi="宋体" w:cs="宋体" w:hint="eastAsia"/>
                <w:sz w:val="24"/>
              </w:rPr>
              <w:t>心资产</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王尚博</w:t>
            </w:r>
            <w:proofErr w:type="gramEnd"/>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宝</w:t>
            </w:r>
            <w:proofErr w:type="gramStart"/>
            <w:r>
              <w:rPr>
                <w:rFonts w:ascii="宋体" w:hAnsi="宋体" w:cs="宋体" w:hint="eastAsia"/>
                <w:sz w:val="24"/>
              </w:rPr>
              <w:t>盈基金</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温中朝</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东北证券</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张洛</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成泉资本</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张琦</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金塔投资</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11</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焦云</w:t>
            </w:r>
            <w:proofErr w:type="gramEnd"/>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禾永投资</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吴少飞</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巽升资产</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王雯珺</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成泉资本</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张沛</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成泉资本</w:t>
            </w:r>
            <w:proofErr w:type="gramEnd"/>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谢泓材</w:t>
            </w:r>
            <w:proofErr w:type="gramEnd"/>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国泰基金</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proofErr w:type="gramStart"/>
            <w:r>
              <w:rPr>
                <w:rFonts w:ascii="宋体" w:hAnsi="宋体" w:cs="宋体" w:hint="eastAsia"/>
                <w:sz w:val="24"/>
              </w:rPr>
              <w:t>时灵曦</w:t>
            </w:r>
            <w:proofErr w:type="gramEnd"/>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东北证券</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刘军</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东北证券</w:t>
            </w:r>
          </w:p>
        </w:tc>
      </w:tr>
      <w:tr w:rsidR="00FD5D29" w:rsidTr="00614C14">
        <w:trPr>
          <w:trHeight w:hRule="exact" w:val="340"/>
        </w:trPr>
        <w:tc>
          <w:tcPr>
            <w:tcW w:w="1555" w:type="dxa"/>
            <w:vMerge/>
            <w:tcBorders>
              <w:left w:val="single" w:sz="4" w:space="0" w:color="auto"/>
              <w:right w:val="single" w:sz="4" w:space="0" w:color="auto"/>
            </w:tcBorders>
            <w:shd w:val="clear" w:color="auto" w:fill="auto"/>
            <w:vAlign w:val="center"/>
          </w:tcPr>
          <w:p w:rsidR="00FD5D29" w:rsidRDefault="00FD5D29" w:rsidP="00614C14">
            <w:pPr>
              <w:rPr>
                <w:rFonts w:ascii="宋体" w:hAnsi="宋体"/>
                <w:bCs/>
                <w:iCs/>
                <w:color w:val="000000"/>
                <w:sz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18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朱宇航</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614C14">
            <w:pPr>
              <w:jc w:val="center"/>
              <w:rPr>
                <w:rFonts w:ascii="宋体" w:hAnsi="宋体" w:cs="宋体"/>
                <w:sz w:val="24"/>
              </w:rPr>
            </w:pPr>
            <w:r>
              <w:rPr>
                <w:rFonts w:ascii="宋体" w:hAnsi="宋体" w:cs="宋体" w:hint="eastAsia"/>
                <w:sz w:val="24"/>
              </w:rPr>
              <w:t>东北证券</w:t>
            </w:r>
          </w:p>
        </w:tc>
      </w:tr>
      <w:tr w:rsidR="00FD5D29" w:rsidTr="00FD5D2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时间</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2020年8月21日  15：00-16：30</w:t>
            </w:r>
          </w:p>
        </w:tc>
      </w:tr>
      <w:tr w:rsidR="00FD5D29" w:rsidTr="00FD5D2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地点</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长沙大道567号运达中央广场4101室</w:t>
            </w:r>
          </w:p>
        </w:tc>
      </w:tr>
      <w:tr w:rsidR="00FD5D29" w:rsidTr="00FD5D2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cs="宋体"/>
                <w:sz w:val="24"/>
              </w:rPr>
            </w:pPr>
            <w:r>
              <w:rPr>
                <w:rFonts w:ascii="宋体" w:hAnsi="宋体" w:cs="宋体" w:hint="eastAsia"/>
                <w:sz w:val="24"/>
              </w:rPr>
              <w:t>董事长：许</w:t>
            </w:r>
            <w:proofErr w:type="gramStart"/>
            <w:r>
              <w:rPr>
                <w:rFonts w:ascii="宋体" w:hAnsi="宋体" w:cs="宋体" w:hint="eastAsia"/>
                <w:sz w:val="24"/>
              </w:rPr>
              <w:t>世</w:t>
            </w:r>
            <w:proofErr w:type="gramEnd"/>
            <w:r>
              <w:rPr>
                <w:rFonts w:ascii="宋体" w:hAnsi="宋体" w:cs="宋体" w:hint="eastAsia"/>
                <w:sz w:val="24"/>
              </w:rPr>
              <w:t>雄</w:t>
            </w:r>
          </w:p>
          <w:p w:rsidR="00FD5D29" w:rsidRDefault="00FD5D29" w:rsidP="00FD5D29">
            <w:pPr>
              <w:spacing w:line="480" w:lineRule="atLeast"/>
              <w:rPr>
                <w:rFonts w:ascii="宋体" w:hAnsi="宋体" w:cs="宋体"/>
                <w:sz w:val="24"/>
              </w:rPr>
            </w:pPr>
            <w:r>
              <w:rPr>
                <w:rFonts w:ascii="宋体" w:hAnsi="宋体" w:cs="宋体" w:hint="eastAsia"/>
                <w:sz w:val="24"/>
              </w:rPr>
              <w:t>副总经理、董事会秘书：易欣</w:t>
            </w:r>
          </w:p>
          <w:p w:rsidR="00FD5D29" w:rsidRDefault="00FD5D29" w:rsidP="00FD5D29">
            <w:pPr>
              <w:spacing w:line="480" w:lineRule="atLeast"/>
              <w:rPr>
                <w:rFonts w:ascii="宋体" w:hAnsi="宋体" w:cs="宋体"/>
                <w:sz w:val="24"/>
              </w:rPr>
            </w:pPr>
            <w:r>
              <w:rPr>
                <w:rFonts w:ascii="宋体" w:hAnsi="宋体" w:cs="宋体" w:hint="eastAsia"/>
                <w:sz w:val="24"/>
              </w:rPr>
              <w:t>财务总监：</w:t>
            </w:r>
            <w:proofErr w:type="gramStart"/>
            <w:r>
              <w:rPr>
                <w:rFonts w:ascii="宋体" w:hAnsi="宋体" w:cs="宋体" w:hint="eastAsia"/>
                <w:sz w:val="24"/>
              </w:rPr>
              <w:t>杨任东</w:t>
            </w:r>
            <w:proofErr w:type="gramEnd"/>
          </w:p>
          <w:p w:rsidR="00FD5D29" w:rsidRDefault="00FD5D29" w:rsidP="00FD5D29">
            <w:pPr>
              <w:spacing w:line="480" w:lineRule="atLeast"/>
              <w:rPr>
                <w:rFonts w:ascii="宋体" w:hAnsi="宋体" w:cs="宋体"/>
                <w:sz w:val="24"/>
              </w:rPr>
            </w:pPr>
            <w:r>
              <w:rPr>
                <w:rFonts w:ascii="宋体" w:hAnsi="宋体" w:cs="宋体" w:hint="eastAsia"/>
                <w:sz w:val="24"/>
              </w:rPr>
              <w:lastRenderedPageBreak/>
              <w:t>证券事务代表：孙勇</w:t>
            </w:r>
          </w:p>
        </w:tc>
        <w:bookmarkStart w:id="0" w:name="_GoBack"/>
        <w:bookmarkEnd w:id="0"/>
      </w:tr>
      <w:tr w:rsidR="00FD5D29" w:rsidTr="00614C14">
        <w:trPr>
          <w:trHeight w:val="34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lastRenderedPageBreak/>
              <w:t>投资者关系活动主要内容介绍</w:t>
            </w:r>
          </w:p>
          <w:p w:rsidR="00FD5D29" w:rsidRDefault="00FD5D29" w:rsidP="00FD5D29">
            <w:pPr>
              <w:spacing w:line="480" w:lineRule="atLeast"/>
              <w:rPr>
                <w:rFonts w:ascii="宋体" w:hAnsi="宋体"/>
                <w:bCs/>
                <w:iCs/>
                <w:color w:val="000000"/>
                <w:sz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numPr>
                <w:ilvl w:val="0"/>
                <w:numId w:val="1"/>
              </w:numPr>
              <w:spacing w:line="480" w:lineRule="atLeast"/>
              <w:rPr>
                <w:rFonts w:ascii="宋体" w:hAnsi="宋体"/>
                <w:bCs/>
                <w:iCs/>
                <w:color w:val="000000"/>
                <w:sz w:val="24"/>
              </w:rPr>
            </w:pPr>
            <w:r>
              <w:rPr>
                <w:rFonts w:ascii="宋体" w:hAnsi="宋体" w:hint="eastAsia"/>
                <w:bCs/>
                <w:iCs/>
                <w:color w:val="000000"/>
                <w:sz w:val="24"/>
              </w:rPr>
              <w:t>公司董事会秘书介绍公司及公司2020年半年度报告基本情况。</w:t>
            </w:r>
          </w:p>
          <w:p w:rsidR="00FD5D29" w:rsidRDefault="00FD5D29" w:rsidP="00FD5D29">
            <w:pPr>
              <w:numPr>
                <w:ilvl w:val="0"/>
                <w:numId w:val="1"/>
              </w:numPr>
              <w:spacing w:line="480" w:lineRule="atLeast"/>
              <w:rPr>
                <w:rFonts w:ascii="宋体" w:hAnsi="宋体"/>
                <w:bCs/>
                <w:iCs/>
                <w:color w:val="000000"/>
                <w:sz w:val="24"/>
              </w:rPr>
            </w:pPr>
            <w:r>
              <w:rPr>
                <w:rFonts w:ascii="宋体" w:hAnsi="宋体" w:hint="eastAsia"/>
                <w:bCs/>
                <w:iCs/>
                <w:color w:val="000000"/>
                <w:sz w:val="24"/>
              </w:rPr>
              <w:t>投资者主要问题</w:t>
            </w:r>
          </w:p>
          <w:p w:rsidR="00FD5D29" w:rsidRDefault="00FD5D29" w:rsidP="00FD5D29">
            <w:pPr>
              <w:spacing w:line="480" w:lineRule="atLeast"/>
              <w:rPr>
                <w:rFonts w:ascii="宋体" w:hAnsi="宋体"/>
                <w:b/>
                <w:bCs/>
                <w:iCs/>
                <w:color w:val="000000"/>
                <w:sz w:val="24"/>
              </w:rPr>
            </w:pPr>
            <w:r>
              <w:rPr>
                <w:rFonts w:ascii="宋体" w:hAnsi="宋体" w:hint="eastAsia"/>
                <w:b/>
                <w:bCs/>
                <w:iCs/>
                <w:color w:val="000000"/>
                <w:sz w:val="24"/>
              </w:rPr>
              <w:t>1、2020年上半年公司</w:t>
            </w:r>
            <w:r>
              <w:rPr>
                <w:rFonts w:ascii="宋体" w:hAnsi="宋体"/>
                <w:b/>
                <w:bCs/>
                <w:iCs/>
                <w:color w:val="000000"/>
                <w:sz w:val="24"/>
              </w:rPr>
              <w:t>与成都</w:t>
            </w:r>
            <w:r>
              <w:rPr>
                <w:rFonts w:ascii="宋体" w:hAnsi="宋体" w:hint="eastAsia"/>
                <w:b/>
                <w:bCs/>
                <w:iCs/>
                <w:color w:val="000000"/>
                <w:sz w:val="24"/>
              </w:rPr>
              <w:t>捷普签署的</w:t>
            </w:r>
            <w:r>
              <w:rPr>
                <w:rFonts w:ascii="宋体" w:hAnsi="宋体"/>
                <w:b/>
                <w:bCs/>
                <w:iCs/>
                <w:color w:val="000000"/>
                <w:sz w:val="24"/>
              </w:rPr>
              <w:t>合同</w:t>
            </w:r>
            <w:r>
              <w:rPr>
                <w:rFonts w:ascii="宋体" w:hAnsi="宋体" w:hint="eastAsia"/>
                <w:b/>
                <w:bCs/>
                <w:iCs/>
                <w:color w:val="000000"/>
                <w:sz w:val="24"/>
              </w:rPr>
              <w:t>订单交付进展情况？</w:t>
            </w:r>
          </w:p>
          <w:p w:rsidR="00FD5D29" w:rsidRDefault="00FD5D29" w:rsidP="00FD5D29">
            <w:pPr>
              <w:spacing w:line="480" w:lineRule="atLeast"/>
              <w:ind w:firstLineChars="200" w:firstLine="480"/>
              <w:rPr>
                <w:rFonts w:ascii="宋体" w:hAnsi="宋体"/>
                <w:bCs/>
                <w:iCs/>
                <w:color w:val="000000"/>
                <w:sz w:val="24"/>
              </w:rPr>
            </w:pPr>
            <w:r>
              <w:rPr>
                <w:rFonts w:ascii="宋体" w:hAnsi="宋体" w:hint="eastAsia"/>
                <w:bCs/>
                <w:iCs/>
                <w:color w:val="000000"/>
                <w:sz w:val="24"/>
              </w:rPr>
              <w:t>目前公司与成都捷普签署的合同订单正按计划正常履行。截至到</w:t>
            </w:r>
            <w:r>
              <w:rPr>
                <w:rFonts w:ascii="宋体" w:hAnsi="宋体"/>
                <w:bCs/>
                <w:iCs/>
                <w:color w:val="000000"/>
                <w:sz w:val="24"/>
              </w:rPr>
              <w:t>2020</w:t>
            </w:r>
            <w:r>
              <w:rPr>
                <w:rFonts w:ascii="宋体" w:hAnsi="宋体" w:hint="eastAsia"/>
                <w:bCs/>
                <w:iCs/>
                <w:color w:val="000000"/>
                <w:sz w:val="24"/>
              </w:rPr>
              <w:t>年6月30日，公司已交付的机台占合同总</w:t>
            </w:r>
            <w:r>
              <w:rPr>
                <w:rFonts w:ascii="宋体" w:hAnsi="宋体"/>
                <w:bCs/>
                <w:iCs/>
                <w:color w:val="000000"/>
                <w:sz w:val="24"/>
              </w:rPr>
              <w:t>数量</w:t>
            </w:r>
            <w:r>
              <w:rPr>
                <w:rFonts w:ascii="宋体" w:hAnsi="宋体" w:hint="eastAsia"/>
                <w:bCs/>
                <w:iCs/>
                <w:color w:val="000000"/>
                <w:sz w:val="24"/>
              </w:rPr>
              <w:t>的三分之一左右，预计今年三季</w:t>
            </w:r>
            <w:r>
              <w:rPr>
                <w:rFonts w:ascii="宋体" w:hAnsi="宋体"/>
                <w:bCs/>
                <w:iCs/>
                <w:color w:val="000000"/>
                <w:sz w:val="24"/>
              </w:rPr>
              <w:t>度</w:t>
            </w:r>
            <w:r>
              <w:rPr>
                <w:rFonts w:ascii="宋体" w:hAnsi="宋体" w:hint="eastAsia"/>
                <w:bCs/>
                <w:iCs/>
                <w:color w:val="000000"/>
                <w:sz w:val="24"/>
              </w:rPr>
              <w:t>公司</w:t>
            </w:r>
            <w:r>
              <w:rPr>
                <w:rFonts w:ascii="宋体" w:hAnsi="宋体"/>
                <w:bCs/>
                <w:iCs/>
                <w:color w:val="000000"/>
                <w:sz w:val="24"/>
              </w:rPr>
              <w:t>将会</w:t>
            </w:r>
            <w:r>
              <w:rPr>
                <w:rFonts w:ascii="宋体" w:hAnsi="宋体" w:hint="eastAsia"/>
                <w:bCs/>
                <w:iCs/>
                <w:color w:val="000000"/>
                <w:sz w:val="24"/>
              </w:rPr>
              <w:t>陆续</w:t>
            </w:r>
            <w:r>
              <w:rPr>
                <w:rFonts w:ascii="宋体" w:hAnsi="宋体"/>
                <w:bCs/>
                <w:iCs/>
                <w:color w:val="000000"/>
                <w:sz w:val="24"/>
              </w:rPr>
              <w:t>完成剩余</w:t>
            </w:r>
            <w:r>
              <w:rPr>
                <w:rFonts w:ascii="宋体" w:hAnsi="宋体" w:hint="eastAsia"/>
                <w:bCs/>
                <w:iCs/>
                <w:color w:val="000000"/>
                <w:sz w:val="24"/>
              </w:rPr>
              <w:t>设备</w:t>
            </w:r>
            <w:r>
              <w:rPr>
                <w:rFonts w:ascii="宋体" w:hAnsi="宋体"/>
                <w:bCs/>
                <w:iCs/>
                <w:color w:val="000000"/>
                <w:sz w:val="24"/>
              </w:rPr>
              <w:t>的交付。</w:t>
            </w:r>
            <w:r>
              <w:rPr>
                <w:rFonts w:ascii="宋体" w:hAnsi="宋体" w:hint="eastAsia"/>
                <w:bCs/>
                <w:iCs/>
                <w:color w:val="000000"/>
                <w:sz w:val="24"/>
              </w:rPr>
              <w:t>公司产品需要通过安装调试并进行小批量验证，</w:t>
            </w:r>
            <w:r>
              <w:rPr>
                <w:rFonts w:ascii="宋体" w:hAnsi="宋体"/>
                <w:bCs/>
                <w:iCs/>
                <w:color w:val="000000"/>
                <w:sz w:val="24"/>
              </w:rPr>
              <w:t>达到客户的</w:t>
            </w:r>
            <w:r>
              <w:rPr>
                <w:rFonts w:ascii="宋体" w:hAnsi="宋体" w:hint="eastAsia"/>
                <w:bCs/>
                <w:iCs/>
                <w:color w:val="000000"/>
                <w:sz w:val="24"/>
              </w:rPr>
              <w:t>使用</w:t>
            </w:r>
            <w:r>
              <w:rPr>
                <w:rFonts w:ascii="宋体" w:hAnsi="宋体"/>
                <w:bCs/>
                <w:iCs/>
                <w:color w:val="000000"/>
                <w:sz w:val="24"/>
              </w:rPr>
              <w:t>状态后才能完成</w:t>
            </w:r>
            <w:r>
              <w:rPr>
                <w:rFonts w:ascii="宋体" w:hAnsi="宋体" w:hint="eastAsia"/>
                <w:bCs/>
                <w:iCs/>
                <w:color w:val="000000"/>
                <w:sz w:val="24"/>
              </w:rPr>
              <w:t>验收。</w:t>
            </w:r>
          </w:p>
          <w:p w:rsidR="00FD5D29" w:rsidRDefault="00FD5D29" w:rsidP="00FD5D29">
            <w:pPr>
              <w:spacing w:line="360" w:lineRule="auto"/>
              <w:rPr>
                <w:rFonts w:ascii="宋体" w:hAnsi="宋体"/>
                <w:b/>
                <w:sz w:val="24"/>
              </w:rPr>
            </w:pPr>
            <w:r>
              <w:rPr>
                <w:rFonts w:ascii="宋体" w:hAnsi="宋体" w:hint="eastAsia"/>
                <w:b/>
                <w:sz w:val="24"/>
              </w:rPr>
              <w:t>2、成都捷普订单涉及到的设备具体种类，数控研磨抛光机、数控磨床的占比及分类。</w:t>
            </w:r>
          </w:p>
          <w:p w:rsidR="00FD5D29" w:rsidRDefault="00FD5D29" w:rsidP="00FD5D29">
            <w:pPr>
              <w:spacing w:line="360" w:lineRule="auto"/>
              <w:ind w:firstLineChars="200" w:firstLine="480"/>
              <w:rPr>
                <w:rFonts w:ascii="宋体" w:hAnsi="宋体"/>
                <w:bCs/>
                <w:iCs/>
                <w:color w:val="000000"/>
                <w:sz w:val="24"/>
              </w:rPr>
            </w:pPr>
            <w:r>
              <w:rPr>
                <w:rFonts w:ascii="宋体" w:hAnsi="宋体" w:hint="eastAsia"/>
                <w:sz w:val="24"/>
              </w:rPr>
              <w:t>本年</w:t>
            </w:r>
            <w:r>
              <w:rPr>
                <w:rFonts w:ascii="宋体" w:hAnsi="宋体"/>
                <w:sz w:val="24"/>
              </w:rPr>
              <w:t>度</w:t>
            </w:r>
            <w:r w:rsidRPr="007E06F4">
              <w:rPr>
                <w:rFonts w:ascii="宋体" w:hAnsi="宋体" w:hint="eastAsia"/>
                <w:sz w:val="24"/>
              </w:rPr>
              <w:t>成都</w:t>
            </w:r>
            <w:r>
              <w:rPr>
                <w:rFonts w:ascii="宋体" w:hAnsi="宋体"/>
                <w:sz w:val="24"/>
              </w:rPr>
              <w:t>捷普与我公司签订的订单所</w:t>
            </w:r>
            <w:r w:rsidRPr="007E06F4">
              <w:rPr>
                <w:rFonts w:ascii="宋体" w:hAnsi="宋体" w:hint="eastAsia"/>
                <w:sz w:val="24"/>
              </w:rPr>
              <w:t>涉及到的设备</w:t>
            </w:r>
            <w:r>
              <w:rPr>
                <w:rFonts w:ascii="宋体" w:hAnsi="宋体"/>
                <w:sz w:val="24"/>
              </w:rPr>
              <w:t>主要</w:t>
            </w:r>
            <w:r>
              <w:rPr>
                <w:rFonts w:ascii="宋体" w:hAnsi="宋体" w:hint="eastAsia"/>
                <w:sz w:val="24"/>
              </w:rPr>
              <w:t>是：8590多</w:t>
            </w:r>
            <w:r>
              <w:rPr>
                <w:rFonts w:ascii="宋体" w:hAnsi="宋体"/>
                <w:sz w:val="24"/>
              </w:rPr>
              <w:t>工</w:t>
            </w:r>
            <w:r>
              <w:rPr>
                <w:rFonts w:ascii="宋体" w:hAnsi="宋体" w:hint="eastAsia"/>
                <w:sz w:val="24"/>
              </w:rPr>
              <w:t>位</w:t>
            </w:r>
            <w:r>
              <w:rPr>
                <w:rFonts w:ascii="宋体" w:hAnsi="宋体"/>
                <w:sz w:val="24"/>
              </w:rPr>
              <w:t>抛光机和</w:t>
            </w:r>
            <w:r>
              <w:rPr>
                <w:rFonts w:ascii="宋体" w:hAnsi="宋体" w:hint="eastAsia"/>
                <w:sz w:val="24"/>
              </w:rPr>
              <w:t>580立</w:t>
            </w:r>
            <w:r>
              <w:rPr>
                <w:rFonts w:ascii="宋体" w:hAnsi="宋体"/>
                <w:sz w:val="24"/>
              </w:rPr>
              <w:t>式双端面磨床</w:t>
            </w:r>
            <w:r>
              <w:rPr>
                <w:rFonts w:ascii="宋体" w:hAnsi="宋体" w:hint="eastAsia"/>
                <w:sz w:val="24"/>
              </w:rPr>
              <w:t>，其中抛光</w:t>
            </w:r>
            <w:r>
              <w:rPr>
                <w:rFonts w:ascii="宋体" w:hAnsi="宋体"/>
                <w:sz w:val="24"/>
              </w:rPr>
              <w:t>机</w:t>
            </w:r>
            <w:r>
              <w:rPr>
                <w:rFonts w:ascii="宋体" w:hAnsi="宋体" w:hint="eastAsia"/>
                <w:sz w:val="24"/>
              </w:rPr>
              <w:t>为主，占比在95%以上</w:t>
            </w:r>
            <w:r>
              <w:rPr>
                <w:rFonts w:ascii="宋体" w:hAnsi="宋体"/>
                <w:sz w:val="24"/>
              </w:rPr>
              <w:t>。</w:t>
            </w:r>
          </w:p>
          <w:p w:rsidR="00FD5D29" w:rsidRDefault="00FD5D29" w:rsidP="00FD5D29">
            <w:pPr>
              <w:spacing w:line="480" w:lineRule="atLeast"/>
              <w:rPr>
                <w:rFonts w:ascii="宋体" w:hAnsi="宋体"/>
                <w:b/>
                <w:bCs/>
                <w:iCs/>
                <w:color w:val="000000"/>
                <w:sz w:val="24"/>
              </w:rPr>
            </w:pPr>
            <w:r>
              <w:rPr>
                <w:rFonts w:ascii="宋体" w:hAnsi="宋体" w:hint="eastAsia"/>
                <w:b/>
                <w:bCs/>
                <w:iCs/>
                <w:color w:val="000000"/>
                <w:sz w:val="24"/>
              </w:rPr>
              <w:t>3、</w:t>
            </w:r>
            <w:r>
              <w:rPr>
                <w:rFonts w:ascii="宋体" w:hAnsi="宋体"/>
                <w:b/>
                <w:bCs/>
                <w:iCs/>
                <w:color w:val="000000"/>
                <w:sz w:val="24"/>
              </w:rPr>
              <w:t>公</w:t>
            </w:r>
            <w:r>
              <w:rPr>
                <w:rFonts w:ascii="宋体" w:hAnsi="宋体" w:hint="eastAsia"/>
                <w:b/>
                <w:bCs/>
                <w:iCs/>
                <w:color w:val="000000"/>
                <w:sz w:val="24"/>
              </w:rPr>
              <w:t>司</w:t>
            </w:r>
            <w:r>
              <w:rPr>
                <w:rFonts w:ascii="宋体" w:hAnsi="宋体"/>
                <w:b/>
                <w:bCs/>
                <w:iCs/>
                <w:color w:val="000000"/>
                <w:sz w:val="24"/>
              </w:rPr>
              <w:t>2020</w:t>
            </w:r>
            <w:r>
              <w:rPr>
                <w:rFonts w:ascii="宋体" w:hAnsi="宋体" w:hint="eastAsia"/>
                <w:b/>
                <w:bCs/>
                <w:iCs/>
                <w:color w:val="000000"/>
                <w:sz w:val="24"/>
              </w:rPr>
              <w:t>年</w:t>
            </w:r>
            <w:r>
              <w:rPr>
                <w:rFonts w:ascii="宋体" w:hAnsi="宋体"/>
                <w:b/>
                <w:bCs/>
                <w:iCs/>
                <w:color w:val="000000"/>
                <w:sz w:val="24"/>
              </w:rPr>
              <w:t>上半年产品毛利率明显提升，</w:t>
            </w:r>
            <w:r>
              <w:rPr>
                <w:rFonts w:ascii="宋体" w:hAnsi="宋体" w:hint="eastAsia"/>
                <w:b/>
                <w:bCs/>
                <w:iCs/>
                <w:color w:val="000000"/>
                <w:sz w:val="24"/>
              </w:rPr>
              <w:t>主要</w:t>
            </w:r>
            <w:r>
              <w:rPr>
                <w:rFonts w:ascii="宋体" w:hAnsi="宋体"/>
                <w:b/>
                <w:bCs/>
                <w:iCs/>
                <w:color w:val="000000"/>
                <w:sz w:val="24"/>
              </w:rPr>
              <w:t>原因是什么？</w:t>
            </w:r>
          </w:p>
          <w:p w:rsidR="00FD5D29" w:rsidRDefault="00FD5D29" w:rsidP="00FD5D29">
            <w:pPr>
              <w:spacing w:line="480" w:lineRule="atLeast"/>
              <w:ind w:firstLineChars="150" w:firstLine="360"/>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产品因产品结构和技术工艺的不同</w:t>
            </w:r>
            <w:r>
              <w:rPr>
                <w:rFonts w:ascii="宋体" w:hAnsi="宋体" w:hint="eastAsia"/>
                <w:bCs/>
                <w:iCs/>
                <w:color w:val="000000"/>
                <w:sz w:val="24"/>
              </w:rPr>
              <w:t>，</w:t>
            </w:r>
            <w:r>
              <w:rPr>
                <w:rFonts w:ascii="宋体" w:hAnsi="宋体" w:hint="eastAsia"/>
                <w:sz w:val="24"/>
              </w:rPr>
              <w:t>其</w:t>
            </w:r>
            <w:r>
              <w:rPr>
                <w:rFonts w:ascii="宋体" w:hAnsi="宋体"/>
                <w:bCs/>
                <w:iCs/>
                <w:color w:val="000000"/>
                <w:sz w:val="24"/>
              </w:rPr>
              <w:t>价格和毛利率水平</w:t>
            </w:r>
            <w:r>
              <w:rPr>
                <w:rFonts w:ascii="宋体" w:hAnsi="宋体" w:hint="eastAsia"/>
                <w:bCs/>
                <w:iCs/>
                <w:color w:val="000000"/>
                <w:sz w:val="24"/>
              </w:rPr>
              <w:t>也</w:t>
            </w:r>
            <w:r>
              <w:rPr>
                <w:rFonts w:ascii="宋体" w:hAnsi="宋体"/>
                <w:bCs/>
                <w:iCs/>
                <w:color w:val="000000"/>
                <w:sz w:val="24"/>
              </w:rPr>
              <w:t>会有所不同</w:t>
            </w:r>
            <w:r>
              <w:rPr>
                <w:rFonts w:ascii="宋体" w:hAnsi="宋体" w:hint="eastAsia"/>
                <w:bCs/>
                <w:iCs/>
                <w:color w:val="000000"/>
                <w:sz w:val="24"/>
              </w:rPr>
              <w:t>。公司多款产品的技术指标在国内</w:t>
            </w:r>
            <w:r>
              <w:rPr>
                <w:rFonts w:ascii="宋体" w:hAnsi="宋体"/>
                <w:bCs/>
                <w:iCs/>
                <w:color w:val="000000"/>
                <w:sz w:val="24"/>
              </w:rPr>
              <w:t>领先，</w:t>
            </w:r>
            <w:r>
              <w:rPr>
                <w:rFonts w:ascii="宋体" w:hAnsi="宋体" w:hint="eastAsia"/>
                <w:bCs/>
                <w:iCs/>
                <w:color w:val="000000"/>
                <w:sz w:val="24"/>
              </w:rPr>
              <w:t>在汽车及消费电子等领域均具有一定的竞争优势，公司</w:t>
            </w:r>
            <w:r>
              <w:rPr>
                <w:rFonts w:ascii="宋体" w:hAnsi="宋体"/>
                <w:bCs/>
                <w:iCs/>
                <w:color w:val="000000"/>
                <w:sz w:val="24"/>
              </w:rPr>
              <w:t>产品的</w:t>
            </w:r>
            <w:r>
              <w:rPr>
                <w:rFonts w:ascii="宋体" w:hAnsi="宋体" w:hint="eastAsia"/>
                <w:bCs/>
                <w:iCs/>
                <w:color w:val="000000"/>
                <w:sz w:val="24"/>
              </w:rPr>
              <w:t>毛利率一直保持比较好的水平。</w:t>
            </w:r>
          </w:p>
          <w:p w:rsidR="00FD5D29" w:rsidRPr="00C76E8F" w:rsidRDefault="00FD5D29" w:rsidP="00FD5D29">
            <w:pPr>
              <w:spacing w:line="480" w:lineRule="atLeast"/>
              <w:ind w:firstLineChars="150" w:firstLine="360"/>
              <w:rPr>
                <w:rFonts w:ascii="宋体" w:hAnsi="宋体"/>
                <w:bCs/>
                <w:iCs/>
                <w:color w:val="000000"/>
                <w:sz w:val="24"/>
              </w:rPr>
            </w:pPr>
            <w:r w:rsidRPr="003618C2">
              <w:rPr>
                <w:rFonts w:ascii="宋体" w:hAnsi="宋体"/>
                <w:bCs/>
                <w:iCs/>
                <w:color w:val="000000"/>
                <w:sz w:val="24"/>
              </w:rPr>
              <w:t>2020</w:t>
            </w:r>
            <w:r w:rsidRPr="003618C2">
              <w:rPr>
                <w:rFonts w:ascii="宋体" w:hAnsi="宋体" w:hint="eastAsia"/>
                <w:bCs/>
                <w:iCs/>
                <w:color w:val="000000"/>
                <w:sz w:val="24"/>
              </w:rPr>
              <w:t>年</w:t>
            </w:r>
            <w:r w:rsidRPr="003618C2">
              <w:rPr>
                <w:rFonts w:ascii="宋体" w:hAnsi="宋体"/>
                <w:bCs/>
                <w:iCs/>
                <w:color w:val="000000"/>
                <w:sz w:val="24"/>
              </w:rPr>
              <w:t>上半年公</w:t>
            </w:r>
            <w:r w:rsidRPr="003618C2">
              <w:rPr>
                <w:rFonts w:ascii="宋体" w:hAnsi="宋体" w:hint="eastAsia"/>
                <w:bCs/>
                <w:iCs/>
                <w:color w:val="000000"/>
                <w:sz w:val="24"/>
              </w:rPr>
              <w:t>司</w:t>
            </w:r>
            <w:r w:rsidRPr="003618C2">
              <w:rPr>
                <w:rFonts w:ascii="宋体" w:hAnsi="宋体"/>
                <w:bCs/>
                <w:iCs/>
                <w:color w:val="000000"/>
                <w:sz w:val="24"/>
              </w:rPr>
              <w:t>销售</w:t>
            </w:r>
            <w:r>
              <w:rPr>
                <w:rFonts w:ascii="宋体" w:hAnsi="宋体" w:hint="eastAsia"/>
                <w:bCs/>
                <w:iCs/>
                <w:color w:val="000000"/>
                <w:sz w:val="24"/>
              </w:rPr>
              <w:t>的部分</w:t>
            </w:r>
            <w:r w:rsidRPr="003618C2">
              <w:rPr>
                <w:rFonts w:ascii="宋体" w:hAnsi="宋体" w:hint="eastAsia"/>
                <w:bCs/>
                <w:iCs/>
                <w:color w:val="000000"/>
                <w:sz w:val="24"/>
              </w:rPr>
              <w:t>数控研磨抛光</w:t>
            </w:r>
            <w:r w:rsidRPr="003618C2">
              <w:rPr>
                <w:rFonts w:ascii="宋体" w:hAnsi="宋体"/>
                <w:bCs/>
                <w:iCs/>
                <w:color w:val="000000"/>
                <w:sz w:val="24"/>
              </w:rPr>
              <w:t>产品</w:t>
            </w:r>
            <w:r>
              <w:rPr>
                <w:rFonts w:ascii="宋体" w:hAnsi="宋体"/>
                <w:bCs/>
                <w:iCs/>
                <w:color w:val="000000"/>
                <w:sz w:val="24"/>
              </w:rPr>
              <w:t>属于公司新产品投入</w:t>
            </w:r>
            <w:r>
              <w:rPr>
                <w:rFonts w:ascii="宋体" w:hAnsi="宋体" w:hint="eastAsia"/>
                <w:bCs/>
                <w:iCs/>
                <w:color w:val="000000"/>
                <w:sz w:val="24"/>
              </w:rPr>
              <w:t>，</w:t>
            </w:r>
            <w:r>
              <w:rPr>
                <w:rFonts w:ascii="宋体" w:hAnsi="宋体" w:hint="eastAsia"/>
                <w:sz w:val="24"/>
              </w:rPr>
              <w:t>产品性能要求高，</w:t>
            </w:r>
            <w:r>
              <w:rPr>
                <w:rFonts w:ascii="宋体" w:hAnsi="宋体"/>
                <w:bCs/>
                <w:iCs/>
                <w:color w:val="000000"/>
                <w:sz w:val="24"/>
              </w:rPr>
              <w:t>技术难度大</w:t>
            </w:r>
            <w:r>
              <w:rPr>
                <w:rFonts w:ascii="宋体" w:hAnsi="宋体" w:hint="eastAsia"/>
                <w:bCs/>
                <w:iCs/>
                <w:color w:val="000000"/>
                <w:sz w:val="24"/>
              </w:rPr>
              <w:t>，公司</w:t>
            </w:r>
            <w:r>
              <w:rPr>
                <w:rFonts w:ascii="宋体" w:hAnsi="宋体" w:hint="eastAsia"/>
                <w:sz w:val="24"/>
              </w:rPr>
              <w:t>目前</w:t>
            </w:r>
            <w:r w:rsidRPr="003618C2">
              <w:rPr>
                <w:rFonts w:ascii="宋体" w:hAnsi="宋体" w:hint="eastAsia"/>
                <w:bCs/>
                <w:iCs/>
                <w:color w:val="000000"/>
                <w:sz w:val="24"/>
              </w:rPr>
              <w:t>已获得多项专利，</w:t>
            </w:r>
            <w:r>
              <w:rPr>
                <w:rFonts w:ascii="宋体" w:hAnsi="宋体" w:hint="eastAsia"/>
                <w:bCs/>
                <w:iCs/>
                <w:color w:val="000000"/>
                <w:sz w:val="24"/>
              </w:rPr>
              <w:t>因该产品定位较高，所以</w:t>
            </w:r>
            <w:r w:rsidRPr="003618C2">
              <w:rPr>
                <w:rFonts w:ascii="宋体" w:hAnsi="宋体"/>
                <w:bCs/>
                <w:iCs/>
                <w:color w:val="000000"/>
                <w:sz w:val="24"/>
              </w:rPr>
              <w:t>产品毛利率有所提升</w:t>
            </w:r>
            <w:r>
              <w:rPr>
                <w:rFonts w:ascii="宋体" w:hAnsi="宋体" w:hint="eastAsia"/>
                <w:sz w:val="24"/>
              </w:rPr>
              <w:t>。</w:t>
            </w:r>
          </w:p>
          <w:p w:rsidR="00FD5D29" w:rsidRDefault="00FD5D29" w:rsidP="00FD5D29">
            <w:pPr>
              <w:spacing w:line="480" w:lineRule="atLeast"/>
              <w:rPr>
                <w:rFonts w:ascii="宋体" w:hAnsi="宋体"/>
                <w:b/>
                <w:bCs/>
                <w:iCs/>
                <w:color w:val="000000"/>
                <w:sz w:val="24"/>
              </w:rPr>
            </w:pPr>
            <w:r>
              <w:rPr>
                <w:rFonts w:ascii="宋体" w:hAnsi="宋体" w:hint="eastAsia"/>
                <w:b/>
                <w:bCs/>
                <w:sz w:val="24"/>
              </w:rPr>
              <w:t>4、YH2M8590数控多工位抛光机</w:t>
            </w:r>
            <w:r>
              <w:rPr>
                <w:rFonts w:ascii="宋体" w:hAnsi="宋体" w:hint="eastAsia"/>
                <w:b/>
                <w:bCs/>
                <w:iCs/>
                <w:color w:val="000000"/>
                <w:sz w:val="24"/>
              </w:rPr>
              <w:t>在3C行业的应用前景和市场空间？</w:t>
            </w:r>
          </w:p>
          <w:p w:rsidR="00FD5D29" w:rsidRDefault="00FD5D29" w:rsidP="00FD5D29">
            <w:pPr>
              <w:spacing w:line="360" w:lineRule="auto"/>
              <w:ind w:firstLineChars="200" w:firstLine="480"/>
              <w:rPr>
                <w:rFonts w:ascii="宋体" w:hAnsi="宋体"/>
                <w:sz w:val="24"/>
              </w:rPr>
            </w:pPr>
            <w:r>
              <w:rPr>
                <w:rFonts w:ascii="宋体" w:hAnsi="宋体" w:hint="eastAsia"/>
                <w:sz w:val="24"/>
              </w:rPr>
              <w:t>公司的YH2M8590数控多工位抛光机是一款磨抛工艺应用领域的通用机型，应用范围非常广，适合于玻璃、陶瓷、蓝宝石、塑料、碳纤板、不锈钢、铝合金、钛合金等材料零部件3D表面的</w:t>
            </w:r>
            <w:r w:rsidR="00614C14">
              <w:rPr>
                <w:rFonts w:ascii="宋体" w:hAnsi="宋体" w:hint="eastAsia"/>
                <w:sz w:val="24"/>
              </w:rPr>
              <w:t>磨削抛光</w:t>
            </w:r>
            <w:r>
              <w:rPr>
                <w:rFonts w:ascii="宋体" w:hAnsi="宋体" w:hint="eastAsia"/>
                <w:sz w:val="24"/>
              </w:rPr>
              <w:t>。在消费电子、汽车零部件、航空航天、新材料、仪器仪表等行业均有着广泛需求。为了兼顾其他中低端市场需求，公司也推出了该产品的基础款，以为更多行业客户提供高品质保障和高性价比的制造解决方</w:t>
            </w:r>
            <w:r>
              <w:rPr>
                <w:rFonts w:ascii="宋体" w:hAnsi="宋体" w:hint="eastAsia"/>
                <w:sz w:val="24"/>
              </w:rPr>
              <w:lastRenderedPageBreak/>
              <w:t>案。</w:t>
            </w:r>
          </w:p>
          <w:p w:rsidR="00FD5D29" w:rsidRDefault="00FD5D29" w:rsidP="00FD5D29">
            <w:pPr>
              <w:spacing w:line="360" w:lineRule="auto"/>
              <w:rPr>
                <w:rFonts w:ascii="宋体" w:hAnsi="宋体"/>
                <w:b/>
                <w:bCs/>
                <w:sz w:val="24"/>
              </w:rPr>
            </w:pPr>
            <w:r>
              <w:rPr>
                <w:rFonts w:ascii="宋体" w:hAnsi="宋体" w:hint="eastAsia"/>
                <w:b/>
                <w:bCs/>
                <w:sz w:val="24"/>
              </w:rPr>
              <w:t>5、公司产能及扩产情况？</w:t>
            </w:r>
          </w:p>
          <w:p w:rsidR="00FD5D29" w:rsidRDefault="00FD5D29" w:rsidP="00FD5D29">
            <w:pPr>
              <w:spacing w:line="360" w:lineRule="auto"/>
              <w:ind w:firstLineChars="200" w:firstLine="480"/>
              <w:rPr>
                <w:rFonts w:ascii="宋体" w:hAnsi="宋体"/>
                <w:sz w:val="24"/>
              </w:rPr>
            </w:pPr>
            <w:r>
              <w:rPr>
                <w:rFonts w:ascii="宋体" w:hAnsi="宋体" w:hint="eastAsia"/>
                <w:sz w:val="24"/>
              </w:rPr>
              <w:t>公司现有产能可以完全满足成都捷普的订单交货需要。同时公司考虑未来成长需要，加快了</w:t>
            </w:r>
            <w:proofErr w:type="gramStart"/>
            <w:r>
              <w:rPr>
                <w:rFonts w:ascii="宋体" w:hAnsi="宋体" w:hint="eastAsia"/>
                <w:sz w:val="24"/>
              </w:rPr>
              <w:t>募投项目</w:t>
            </w:r>
            <w:proofErr w:type="gramEnd"/>
            <w:r>
              <w:rPr>
                <w:rFonts w:ascii="宋体" w:hAnsi="宋体" w:hint="eastAsia"/>
                <w:sz w:val="24"/>
              </w:rPr>
              <w:t>建设。目前公司精密高效智能化磨削设备及生产线升级扩能建设项目浏阳厂区已完成主体工程的建设并投产；星沙厂区承担的2号厂房完成建设并陆续投产，同时3号、4号厂房已全面启动建设。</w:t>
            </w:r>
          </w:p>
          <w:p w:rsidR="00FD5D29" w:rsidRDefault="00FD5D29" w:rsidP="00FD5D29">
            <w:pPr>
              <w:spacing w:line="360" w:lineRule="auto"/>
            </w:pPr>
            <w:r>
              <w:rPr>
                <w:rFonts w:ascii="宋体" w:hAnsi="宋体" w:hint="eastAsia"/>
                <w:b/>
                <w:bCs/>
                <w:sz w:val="24"/>
              </w:rPr>
              <w:t>6、</w:t>
            </w:r>
            <w:r>
              <w:rPr>
                <w:rFonts w:ascii="宋体" w:hAnsi="宋体"/>
                <w:b/>
                <w:bCs/>
                <w:sz w:val="24"/>
              </w:rPr>
              <w:t>公司产</w:t>
            </w:r>
            <w:r>
              <w:rPr>
                <w:rFonts w:ascii="宋体" w:hAnsi="宋体" w:hint="eastAsia"/>
                <w:b/>
                <w:bCs/>
                <w:sz w:val="24"/>
              </w:rPr>
              <w:t>品</w:t>
            </w:r>
            <w:r>
              <w:rPr>
                <w:rFonts w:ascii="宋体" w:hAnsi="宋体"/>
                <w:b/>
                <w:bCs/>
                <w:sz w:val="24"/>
              </w:rPr>
              <w:t>的更新周期情况怎么样？</w:t>
            </w:r>
          </w:p>
          <w:p w:rsidR="00FD5D29" w:rsidRDefault="00FD5D29" w:rsidP="00FD5D29">
            <w:pPr>
              <w:spacing w:line="360" w:lineRule="auto"/>
              <w:ind w:firstLineChars="200" w:firstLine="480"/>
              <w:rPr>
                <w:rFonts w:ascii="宋体" w:hAnsi="宋体"/>
                <w:sz w:val="24"/>
              </w:rPr>
            </w:pPr>
            <w:r>
              <w:rPr>
                <w:rFonts w:ascii="宋体" w:hAnsi="宋体" w:hint="eastAsia"/>
                <w:sz w:val="24"/>
              </w:rPr>
              <w:t>公司产品在消费电子行业主要应用于外观件、结构件（如边框、背板等）和触摸屏玻璃基板等精密组件的高精度磨削和抛光。消费电子行业产品更新换代速度较快，新材料的应用和加工精度要求在不断提高。为了更好的满足消费者需求，同时在较短的时间内形成批量产能，消费电子行业设备的更新周期较其他传统行业要快，其设备更新周期一般是2-3年。</w:t>
            </w:r>
          </w:p>
          <w:p w:rsidR="00FD5D29" w:rsidRDefault="00FD5D29" w:rsidP="00FD5D29">
            <w:pPr>
              <w:spacing w:line="360" w:lineRule="auto"/>
              <w:rPr>
                <w:rFonts w:ascii="宋体" w:hAnsi="宋体"/>
                <w:b/>
                <w:bCs/>
                <w:sz w:val="24"/>
              </w:rPr>
            </w:pPr>
            <w:r>
              <w:rPr>
                <w:rFonts w:ascii="宋体" w:hAnsi="宋体" w:hint="eastAsia"/>
                <w:b/>
                <w:bCs/>
                <w:sz w:val="24"/>
              </w:rPr>
              <w:t>7、</w:t>
            </w:r>
            <w:r>
              <w:rPr>
                <w:rFonts w:ascii="宋体" w:hAnsi="宋体"/>
                <w:b/>
                <w:bCs/>
                <w:sz w:val="24"/>
              </w:rPr>
              <w:t>公司</w:t>
            </w:r>
            <w:r>
              <w:rPr>
                <w:rFonts w:ascii="宋体" w:hAnsi="宋体" w:hint="eastAsia"/>
                <w:b/>
                <w:bCs/>
                <w:sz w:val="24"/>
              </w:rPr>
              <w:t>未来三至五年的发</w:t>
            </w:r>
            <w:r>
              <w:rPr>
                <w:rFonts w:ascii="宋体" w:hAnsi="宋体"/>
                <w:b/>
                <w:bCs/>
                <w:sz w:val="24"/>
              </w:rPr>
              <w:t>展战略方向？</w:t>
            </w:r>
          </w:p>
          <w:p w:rsidR="00FD5D29" w:rsidRDefault="00FD5D29" w:rsidP="00FD5D29">
            <w:pPr>
              <w:spacing w:line="360" w:lineRule="auto"/>
              <w:ind w:firstLineChars="150" w:firstLine="360"/>
              <w:rPr>
                <w:rFonts w:ascii="宋体" w:hAnsi="宋体"/>
                <w:sz w:val="24"/>
              </w:rPr>
            </w:pPr>
            <w:r>
              <w:rPr>
                <w:rFonts w:ascii="宋体" w:hAnsi="宋体" w:hint="eastAsia"/>
                <w:sz w:val="24"/>
              </w:rPr>
              <w:t>数控机床是工业制造业的母机，其应用</w:t>
            </w:r>
            <w:r>
              <w:rPr>
                <w:rFonts w:ascii="宋体" w:hAnsi="宋体"/>
                <w:sz w:val="24"/>
              </w:rPr>
              <w:t>领域</w:t>
            </w:r>
            <w:r>
              <w:rPr>
                <w:rFonts w:ascii="宋体" w:hAnsi="宋体" w:hint="eastAsia"/>
                <w:sz w:val="24"/>
              </w:rPr>
              <w:t>非常</w:t>
            </w:r>
            <w:r>
              <w:rPr>
                <w:rFonts w:ascii="宋体" w:hAnsi="宋体"/>
                <w:sz w:val="24"/>
              </w:rPr>
              <w:t>广泛</w:t>
            </w:r>
            <w:r>
              <w:rPr>
                <w:rFonts w:ascii="宋体" w:hAnsi="宋体" w:hint="eastAsia"/>
                <w:sz w:val="24"/>
              </w:rPr>
              <w:t>。公司将坚持致力于成为</w:t>
            </w:r>
            <w:r w:rsidR="00614C14">
              <w:rPr>
                <w:rFonts w:ascii="宋体" w:hAnsi="宋体" w:hint="eastAsia"/>
                <w:sz w:val="24"/>
              </w:rPr>
              <w:t>精密数控磨削抛光设备和智能成套装备</w:t>
            </w:r>
            <w:r>
              <w:rPr>
                <w:rFonts w:ascii="宋体" w:hAnsi="宋体" w:hint="eastAsia"/>
                <w:sz w:val="24"/>
              </w:rPr>
              <w:t>综合解决方案的专业提供商。</w:t>
            </w:r>
          </w:p>
          <w:p w:rsidR="00FD5D29" w:rsidRDefault="00FD5D29" w:rsidP="00614C14">
            <w:pPr>
              <w:spacing w:line="360" w:lineRule="auto"/>
              <w:ind w:firstLineChars="150" w:firstLine="360"/>
              <w:rPr>
                <w:rFonts w:ascii="宋体" w:hAnsi="宋体"/>
                <w:bCs/>
                <w:iCs/>
                <w:color w:val="000000"/>
                <w:sz w:val="24"/>
              </w:rPr>
            </w:pPr>
            <w:r>
              <w:rPr>
                <w:rFonts w:ascii="宋体" w:hAnsi="宋体" w:hint="eastAsia"/>
                <w:sz w:val="24"/>
              </w:rPr>
              <w:t>公司未来将通过自身研发和投资并购不断扩大和丰富公司的产品结构和门类，公司将在数控机床高速度、高精度、智能化和柔性集中等方面持续下功夫，通过加强营销团队建设和国际市场开拓力度，努力提升公司的产品竞争力和市场占有率，扩大公司的销售规模。</w:t>
            </w:r>
          </w:p>
        </w:tc>
      </w:tr>
      <w:tr w:rsidR="00FD5D29" w:rsidTr="00FD5D2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无</w:t>
            </w:r>
          </w:p>
        </w:tc>
      </w:tr>
      <w:tr w:rsidR="00FD5D29" w:rsidTr="00FD5D2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日期</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D29" w:rsidRDefault="00FD5D29" w:rsidP="00FD5D29">
            <w:pPr>
              <w:spacing w:line="480" w:lineRule="atLeast"/>
              <w:rPr>
                <w:rFonts w:ascii="宋体" w:hAnsi="宋体"/>
                <w:bCs/>
                <w:iCs/>
                <w:color w:val="000000"/>
                <w:sz w:val="24"/>
              </w:rPr>
            </w:pPr>
            <w:r>
              <w:rPr>
                <w:rFonts w:ascii="宋体" w:hAnsi="宋体" w:hint="eastAsia"/>
                <w:bCs/>
                <w:iCs/>
                <w:color w:val="000000"/>
                <w:sz w:val="24"/>
              </w:rPr>
              <w:t>2020年8月24日</w:t>
            </w:r>
          </w:p>
        </w:tc>
      </w:tr>
    </w:tbl>
    <w:p w:rsidR="003E3039" w:rsidRDefault="003E3039">
      <w:pPr>
        <w:jc w:val="center"/>
        <w:rPr>
          <w:rFonts w:ascii="宋体" w:hAnsi="宋体"/>
          <w:sz w:val="28"/>
          <w:szCs w:val="28"/>
        </w:rPr>
      </w:pPr>
    </w:p>
    <w:p w:rsidR="003E3039" w:rsidRDefault="003E3039"/>
    <w:p w:rsidR="003E3039" w:rsidRDefault="003E3039"/>
    <w:sectPr w:rsidR="003E3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F010"/>
    <w:multiLevelType w:val="singleLevel"/>
    <w:tmpl w:val="3ADCF010"/>
    <w:lvl w:ilvl="0">
      <w:start w:val="3"/>
      <w:numFmt w:val="decimal"/>
      <w:suff w:val="nothing"/>
      <w:lvlText w:val="%1、"/>
      <w:lvlJc w:val="left"/>
    </w:lvl>
  </w:abstractNum>
  <w:abstractNum w:abstractNumId="1" w15:restartNumberingAfterBreak="0">
    <w:nsid w:val="6F94D9D2"/>
    <w:multiLevelType w:val="singleLevel"/>
    <w:tmpl w:val="6F94D9D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5DB8"/>
    <w:rsid w:val="00066D50"/>
    <w:rsid w:val="000B1170"/>
    <w:rsid w:val="002D0CCC"/>
    <w:rsid w:val="00322EBB"/>
    <w:rsid w:val="003B08D0"/>
    <w:rsid w:val="003E3039"/>
    <w:rsid w:val="004B49D9"/>
    <w:rsid w:val="004C57EA"/>
    <w:rsid w:val="004F010D"/>
    <w:rsid w:val="0056120D"/>
    <w:rsid w:val="005850A8"/>
    <w:rsid w:val="00614C14"/>
    <w:rsid w:val="006C0E59"/>
    <w:rsid w:val="0070472A"/>
    <w:rsid w:val="00756175"/>
    <w:rsid w:val="007A46A1"/>
    <w:rsid w:val="007B33CF"/>
    <w:rsid w:val="007F29C2"/>
    <w:rsid w:val="009D6760"/>
    <w:rsid w:val="00D959AF"/>
    <w:rsid w:val="00DB361F"/>
    <w:rsid w:val="00F17FE5"/>
    <w:rsid w:val="00FD5D29"/>
    <w:rsid w:val="02C46BD0"/>
    <w:rsid w:val="03165F04"/>
    <w:rsid w:val="076A7F99"/>
    <w:rsid w:val="17083019"/>
    <w:rsid w:val="244E4926"/>
    <w:rsid w:val="2D3D208E"/>
    <w:rsid w:val="3242448A"/>
    <w:rsid w:val="3B425386"/>
    <w:rsid w:val="49874903"/>
    <w:rsid w:val="4A482F83"/>
    <w:rsid w:val="4BB82BA8"/>
    <w:rsid w:val="590512A4"/>
    <w:rsid w:val="5C7B2B9B"/>
    <w:rsid w:val="71A81447"/>
    <w:rsid w:val="77C5772A"/>
    <w:rsid w:val="78D53503"/>
    <w:rsid w:val="7EB4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2518"/>
  <w15:docId w15:val="{C73D42D0-BA2E-4003-9F26-5734BD65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1607</Characters>
  <Application>Microsoft Office Word</Application>
  <DocSecurity>0</DocSecurity>
  <Lines>13</Lines>
  <Paragraphs>3</Paragraphs>
  <ScaleCrop>false</ScaleCrop>
  <Company>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孙勇</cp:lastModifiedBy>
  <cp:revision>2</cp:revision>
  <dcterms:created xsi:type="dcterms:W3CDTF">2020-08-24T00:27:00Z</dcterms:created>
  <dcterms:modified xsi:type="dcterms:W3CDTF">2020-08-24T00:27:00Z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