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61" w:rsidRDefault="00F7305E" w:rsidP="0038651D">
      <w:pPr>
        <w:spacing w:beforeLines="50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 000157/1157                           证券简称：中联重科</w:t>
      </w:r>
    </w:p>
    <w:p w:rsidR="00962061" w:rsidRDefault="00F7305E" w:rsidP="0038651D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中联重科股份有限公司投资者关系活动记录表</w:t>
      </w:r>
    </w:p>
    <w:p w:rsidR="00962061" w:rsidRDefault="00F7305E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</w:t>
      </w:r>
      <w:r w:rsidR="00106181">
        <w:rPr>
          <w:rFonts w:ascii="宋体" w:hAnsi="宋体" w:hint="eastAsia"/>
          <w:bCs/>
          <w:iCs/>
          <w:color w:val="000000"/>
          <w:sz w:val="24"/>
        </w:rPr>
        <w:t>20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D6574D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662"/>
      </w:tblGrid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962061" w:rsidRDefault="0096206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962061" w:rsidRDefault="00F7305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  <w:t xml:space="preserve">    □</w:t>
            </w:r>
            <w:r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pStyle w:val="HTML"/>
              <w:wordWrap w:val="0"/>
              <w:spacing w:line="360" w:lineRule="auto"/>
              <w:rPr>
                <w:bCs/>
                <w:iCs/>
                <w:color w:val="000000"/>
              </w:rPr>
            </w:pPr>
            <w:r>
              <w:rPr>
                <w:rFonts w:hint="eastAsia"/>
                <w:color w:val="000000"/>
              </w:rPr>
              <w:t>A+H 两地市场投资机构及分析师</w:t>
            </w: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106181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D33FCC">
              <w:rPr>
                <w:rFonts w:ascii="宋体" w:hAnsi="宋体"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D33FCC"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长沙</w:t>
            </w:r>
            <w:r w:rsidR="00F33485">
              <w:rPr>
                <w:rFonts w:ascii="宋体" w:hAnsi="宋体" w:hint="eastAsia"/>
                <w:bCs/>
                <w:iCs/>
                <w:color w:val="000000"/>
                <w:sz w:val="24"/>
              </w:rPr>
              <w:t>（电话会）</w:t>
            </w: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D33FCC" w:rsidP="00D33FC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副总裁杜毅刚女士、助理总裁王永祥先生、董事会秘书杨笃志先生</w:t>
            </w:r>
          </w:p>
        </w:tc>
      </w:tr>
      <w:tr w:rsidR="00962061" w:rsidTr="0010618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61" w:rsidRPr="00D9674C" w:rsidRDefault="00F7305E">
            <w:pPr>
              <w:spacing w:line="480" w:lineRule="atLeast"/>
              <w:rPr>
                <w:rFonts w:ascii="宋体" w:hAnsi="宋体"/>
                <w:iCs/>
                <w:color w:val="000000"/>
                <w:sz w:val="24"/>
              </w:rPr>
            </w:pPr>
            <w:r w:rsidRPr="00D9674C">
              <w:rPr>
                <w:rFonts w:ascii="宋体" w:hAnsi="宋体" w:hint="eastAsia"/>
                <w:iCs/>
                <w:color w:val="000000"/>
                <w:sz w:val="24"/>
              </w:rPr>
              <w:t>投资者关系活动主要内容介绍</w:t>
            </w:r>
          </w:p>
          <w:p w:rsidR="00962061" w:rsidRPr="00D9674C" w:rsidRDefault="00962061">
            <w:pPr>
              <w:spacing w:line="480" w:lineRule="atLeast"/>
              <w:rPr>
                <w:rFonts w:ascii="宋体" w:hAnsi="宋体"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Pr="007E2183" w:rsidRDefault="007E2183" w:rsidP="007E2183">
            <w:pPr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一、</w:t>
            </w:r>
            <w:r w:rsidR="00F7305E" w:rsidRPr="007E2183">
              <w:rPr>
                <w:rFonts w:ascii="宋体" w:hAnsi="宋体"/>
                <w:b/>
                <w:iCs/>
                <w:color w:val="000000"/>
                <w:sz w:val="24"/>
              </w:rPr>
              <w:t>公司</w:t>
            </w:r>
            <w:r w:rsidR="00F7305E" w:rsidRPr="007E2183">
              <w:rPr>
                <w:rFonts w:ascii="宋体" w:hAnsi="宋体" w:hint="eastAsia"/>
                <w:b/>
                <w:iCs/>
                <w:color w:val="000000"/>
                <w:sz w:val="24"/>
              </w:rPr>
              <w:t>经营业绩概述</w:t>
            </w:r>
            <w:r w:rsidR="00F7305E" w:rsidRPr="007E2183"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1、公司主要财务指标情况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2020年上半年，公司实现营业收入288.3亿元，同比增长29.5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%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，其中工程机械板块收入273.53亿元，同比增长30.15%；毛利额84.6亿，同比增长26.7%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；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毛利率29.36%，同比略降0.64个百分点，主要原因在于</w:t>
            </w:r>
            <w:r w:rsidR="00F2381A" w:rsidRPr="00D33FCC">
              <w:rPr>
                <w:rFonts w:ascii="宋体" w:hAnsi="宋体" w:hint="eastAsia"/>
                <w:iCs/>
                <w:color w:val="000000"/>
                <w:sz w:val="24"/>
              </w:rPr>
              <w:t>产品</w:t>
            </w:r>
            <w:r w:rsidR="00F2381A">
              <w:rPr>
                <w:rFonts w:ascii="宋体" w:hAnsi="宋体" w:hint="eastAsia"/>
                <w:iCs/>
                <w:color w:val="000000"/>
                <w:sz w:val="24"/>
              </w:rPr>
              <w:t>销售</w:t>
            </w:r>
            <w:r w:rsidR="00F2381A" w:rsidRPr="00D33FCC">
              <w:rPr>
                <w:rFonts w:ascii="宋体" w:hAnsi="宋体" w:hint="eastAsia"/>
                <w:iCs/>
                <w:color w:val="000000"/>
                <w:sz w:val="24"/>
              </w:rPr>
              <w:t>结构</w:t>
            </w:r>
            <w:r w:rsidR="00F2381A">
              <w:rPr>
                <w:rFonts w:ascii="宋体" w:hAnsi="宋体" w:hint="eastAsia"/>
                <w:iCs/>
                <w:color w:val="000000"/>
                <w:sz w:val="24"/>
              </w:rPr>
              <w:t>变化以及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“新冠”疫情的影响</w:t>
            </w:r>
            <w:r w:rsidR="00E76005"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公司在第二季度的发货，大多为疫情期间</w:t>
            </w:r>
            <w:r w:rsidR="004E736C">
              <w:rPr>
                <w:rFonts w:ascii="宋体" w:hAnsi="宋体" w:hint="eastAsia"/>
                <w:iCs/>
                <w:color w:val="000000"/>
                <w:sz w:val="24"/>
              </w:rPr>
              <w:t>签订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合同，公司的销售政策</w:t>
            </w:r>
            <w:r w:rsidR="004E736C">
              <w:rPr>
                <w:rFonts w:ascii="宋体" w:hAnsi="宋体" w:hint="eastAsia"/>
                <w:iCs/>
                <w:color w:val="000000"/>
                <w:sz w:val="24"/>
              </w:rPr>
              <w:t>适当放宽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。随着新冠疫情在国内逐步控制，6月份开始，销售价格逐渐稳定，同时，公司各项降成本效果也开始逐渐体现，6-7月毛利率已在4-5月的基础上回升，公司第二梯队产品的毛利率上半年同比均提升3%以上，随着第二梯队产品的销售逐渐上量（土方、高机等），毛利率在未来将进一步提升；</w:t>
            </w:r>
            <w:r w:rsidR="00F33485">
              <w:rPr>
                <w:rFonts w:ascii="宋体" w:hAnsi="宋体" w:hint="eastAsia"/>
                <w:iCs/>
                <w:color w:val="000000"/>
                <w:sz w:val="24"/>
              </w:rPr>
              <w:t>公司实现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归属于母公司净利润40.18亿元，同比增长56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%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2020年上半年，公司销售费用19.16亿元，同比增加0.3</w:t>
            </w:r>
            <w:r w:rsidR="00E42383">
              <w:rPr>
                <w:rFonts w:ascii="宋体" w:hAnsi="宋体" w:hint="eastAsia"/>
                <w:iCs/>
                <w:color w:val="000000"/>
                <w:sz w:val="24"/>
              </w:rPr>
              <w:t>6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 xml:space="preserve">亿，费用增加主要是与销售规模直接相关的运输费等相关费用增长。但公司销售费用率较上年同期下降1.80个百分点，主要是上半年受疫情影响，相关差旅费减少，市场推广由线下发展为线上，同时公司推动端对端的商业模式变革，代理费用降低。 </w:t>
            </w:r>
          </w:p>
          <w:p w:rsidR="00D33FCC" w:rsidRPr="00D33FCC" w:rsidRDefault="00E42383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公司管理费用7.89亿元，管理费用率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2.74%，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同比下降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0.91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个百分点。</w:t>
            </w:r>
            <w:r w:rsidR="00D33FCC" w:rsidRPr="00D33FCC">
              <w:rPr>
                <w:rFonts w:ascii="宋体" w:hAnsi="宋体" w:hint="eastAsia"/>
                <w:iCs/>
                <w:color w:val="000000"/>
                <w:sz w:val="24"/>
              </w:rPr>
              <w:t>主要是公司通过信息化系统、数字化管理严控管理机构与管理人员的增加、提升管理的精细与效率；同时，</w:t>
            </w:r>
            <w:r w:rsidR="00D33FCC" w:rsidRPr="00D33FCC"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 xml:space="preserve">国家推行疫情期间降费政策，水电、社保等略有下降。 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公司研发费用10.48亿元，同比增加5.8</w:t>
            </w:r>
            <w:r w:rsidR="00E42383">
              <w:rPr>
                <w:rFonts w:ascii="宋体" w:hAnsi="宋体" w:hint="eastAsia"/>
                <w:iCs/>
                <w:color w:val="000000"/>
                <w:sz w:val="24"/>
              </w:rPr>
              <w:t>8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亿元，研发费用率较上年同期上升1.57个百分点。主要是公司坚持“技术是根、产品是本”的理念，致力于自主创新能力提升，打造行业领先技术和高端产品，实现产品4.0全覆盖。公司加强对行业标准研发投入，国际标准化注册专家已增至16人，报告期内新增国家标准提案1项，获批立项国际标准1项，国家标准2项、行业标准1项，制定和实施4.0产品标准34项；专利申请同比增长291%，发明专利同比增长180%，总授权数近140件，其中发明专利授权72件，同比增长167%，在智能吊装、智能感知零部件领域的专利布局初步完成，授权有效发明专利</w:t>
            </w:r>
            <w:proofErr w:type="gramStart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数行业</w:t>
            </w:r>
            <w:proofErr w:type="gramEnd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第一。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2020年上半年，公司财务费用0.55亿，同比下降</w:t>
            </w:r>
            <w:r w:rsidR="00FF0F7B">
              <w:rPr>
                <w:rFonts w:ascii="宋体" w:hAnsi="宋体" w:hint="eastAsia"/>
                <w:iCs/>
                <w:color w:val="000000"/>
                <w:sz w:val="24"/>
              </w:rPr>
              <w:t>91.03%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。财务费用下降的原因主要是三方面影响。一是公司控制负债规模，带息负债较上年同期减少；二是</w:t>
            </w:r>
            <w:r w:rsidR="00FF0F7B">
              <w:rPr>
                <w:rFonts w:ascii="宋体" w:hAnsi="宋体" w:hint="eastAsia"/>
                <w:iCs/>
                <w:color w:val="000000"/>
                <w:sz w:val="24"/>
              </w:rPr>
              <w:t>公司业绩持续向好、经营质量提升、经营风险降低，融资成本持续降低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；三是公司加强集团内外部外币资产与负债的管理，降低汇率波动对于公司经营业绩的影响，上半年取得</w:t>
            </w:r>
            <w:r w:rsidR="00FF0F7B">
              <w:rPr>
                <w:rFonts w:ascii="宋体" w:hAnsi="宋体" w:hint="eastAsia"/>
                <w:iCs/>
                <w:color w:val="000000"/>
                <w:sz w:val="24"/>
              </w:rPr>
              <w:t>较好的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汇兑净收益。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上半年，公司经营活动产生的现金流量净额为14.8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亿元，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同比减少约20亿元。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受疫情影响，银行按揭、第三方租赁等业务开展受限，同时，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公司对于优质客户主动放宽回款政策，经营性回款延后；同时为应对订单增长，公司加大对原材料的采购备货及战略性的供应商付款。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始终秉承稳健发展的经营理念，保持业务规模增长和应收款敞口增长的匹配，保证风险敞口在公司可控范围内。在保证业务质量的基础上，一方面公司通过提高全款、按揭、第三方租赁的销售占比，以提升公司整体回款率；另一方面加强设备跟踪，通过“三锁六拖”政策积极催收，降低逾期风险；另外，公司也会通过适当发行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ABS、ABN等方式，盘活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应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收款资产，减少资金占用，提升经营效率。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公司债务组合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会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根据公司经营需要确定并动态调整，随着公司经营性现金流入增加，预计年末资产负债率和净负债都将有所下降。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上半年公司加强两金管控，督促应收账款及时回收，加强供应链及生产组织管理，提升营运效率。应收账款周转天数同比加快53天，存货周转天数同比加快8天。期末应收账款同比增长12%、存货同比增长13%，均远低于销售规模增幅，显示公司业务质量、资产质量、营运水平的持续优化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公司对于应收</w:t>
            </w:r>
            <w:r w:rsidR="00E76005">
              <w:rPr>
                <w:rFonts w:ascii="宋体" w:hAnsi="宋体" w:hint="eastAsia"/>
                <w:iCs/>
                <w:color w:val="000000"/>
                <w:sz w:val="24"/>
              </w:rPr>
              <w:t>账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款进行了减值测试，根据谨慎性原则计提了拔备，应收</w:t>
            </w:r>
            <w:proofErr w:type="gramStart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账款拔备覆盖率</w:t>
            </w:r>
            <w:proofErr w:type="gramEnd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远高于行业水平，也远高于公司实际的逾期率，能全面、有效地覆盖货款回收风险。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/>
                <w:iCs/>
                <w:color w:val="000000"/>
                <w:sz w:val="24"/>
              </w:rPr>
              <w:t>20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20年上半年，</w:t>
            </w:r>
            <w:r w:rsidRPr="00D33FCC">
              <w:rPr>
                <w:rFonts w:ascii="宋体" w:hAnsi="宋体"/>
                <w:iCs/>
                <w:color w:val="000000"/>
                <w:sz w:val="24"/>
              </w:rPr>
              <w:t>公司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坚持“技术是根、产品是本”的理念，以规模、利润、经营现金流及可持续增长为牵引，</w:t>
            </w:r>
            <w:proofErr w:type="gramStart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完善端</w:t>
            </w:r>
            <w:proofErr w:type="gramEnd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对端的经营与管理模式，深化数字化转型，严控业务风险，管理效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能稳步提升，市场竞争优势增强，增速显著好于行业。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下半年公司将继续保持毛利率、费用率稳定、加大研发投入，加强应收款管理、提高资产运营效率，保持公司持续健康发展。</w:t>
            </w:r>
          </w:p>
          <w:p w:rsidR="00D33FCC" w:rsidRPr="00FF0F7B" w:rsidRDefault="00D33FCC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2、上半年公司经营情况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上半年公司实现高质量可持续的业绩增长，核心产品订单和销量持续高增长。外部环境方面行业发展总体向好，工程机械行业保持高景气度，农机行业潜藏的机遇逐步显现，国家对农业的重视度持续提升；内部经营管理方面，围绕公司发展战略，针对市场需求做好充分准备，坚持“技术是根、产品是本”的理念，深化数字化转型，完善业务端对</w:t>
            </w:r>
            <w:proofErr w:type="gramStart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端管理</w:t>
            </w:r>
            <w:proofErr w:type="gramEnd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模式，严控业务风险，管理效能稳步提升，持续提升市场竞争力。</w:t>
            </w:r>
          </w:p>
          <w:p w:rsidR="00D33FCC" w:rsidRPr="00D33FCC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上半年经营情况具体如下：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①主导产品国内市场份额持续领先</w:t>
            </w:r>
            <w:r w:rsidR="00FF0F7B" w:rsidRPr="00FF0F7B">
              <w:rPr>
                <w:rFonts w:ascii="宋体" w:hAnsi="宋体" w:hint="eastAsia"/>
                <w:iCs/>
                <w:color w:val="000000"/>
                <w:sz w:val="24"/>
              </w:rPr>
              <w:t>；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混凝土机械市场份额显著提升，其中：长臂架泵车、车载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泵市场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份额仍稳居行业第一；搅拌车轻量化产品优势凸显，市场份额提升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至行业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前三。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汽车起重机市场份额2020年上半年持续稳步提升，市场地位进一步夯实；履带起重机上半年收入增长翻倍，国内市场份额位居行业第一。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建筑起重机械销售规模保持全球第一，市场份额继续提升，行业龙头优势地位稳固。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②潜力市场快速突破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土方机械在产品创新、销售模式、市场布局、服务网络等方面全方位发力，E-10 系列挖掘机的产品效率、油耗、操控性等各方面都受到广大客户青睐，6月当月销量位居国产品牌第五名。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高空作业机械交付的长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米段臂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式等新品受到客户广泛好评；产品“智租”平台已接入设备过万台，海外市场产品销售至2</w:t>
            </w:r>
            <w:r w:rsidRPr="00FF0F7B">
              <w:rPr>
                <w:rFonts w:ascii="宋体" w:hAnsi="宋体"/>
                <w:iCs/>
                <w:color w:val="000000"/>
                <w:sz w:val="24"/>
              </w:rPr>
              <w:t>0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来个国家和地区。市场份额稳居行业第一梯队。</w:t>
            </w:r>
          </w:p>
          <w:p w:rsidR="00D33FCC" w:rsidRPr="00FF0F7B" w:rsidRDefault="00FF0F7B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另外，</w:t>
            </w:r>
            <w:r w:rsidR="00D33FCC" w:rsidRPr="00FF0F7B">
              <w:rPr>
                <w:rFonts w:ascii="宋体" w:hAnsi="宋体" w:hint="eastAsia"/>
                <w:iCs/>
                <w:color w:val="000000"/>
                <w:sz w:val="24"/>
              </w:rPr>
              <w:t>公司明确农机战略发展方向，从传统农机向高科技农机公司战略转型</w:t>
            </w:r>
            <w:r w:rsidR="0041776E">
              <w:rPr>
                <w:rFonts w:ascii="宋体" w:hAnsi="宋体" w:hint="eastAsia"/>
                <w:iCs/>
                <w:color w:val="000000"/>
                <w:sz w:val="24"/>
              </w:rPr>
              <w:t>升</w:t>
            </w:r>
            <w:r w:rsidR="00D33FCC" w:rsidRPr="00FF0F7B">
              <w:rPr>
                <w:rFonts w:ascii="宋体" w:hAnsi="宋体" w:hint="eastAsia"/>
                <w:iCs/>
                <w:color w:val="000000"/>
                <w:sz w:val="24"/>
              </w:rPr>
              <w:t>级。通过加大研发投入、优化产品结构、提升产品质量，聚焦渠道、深耕市场等系列举措，市场优势地位更加巩固，小麦机、烘干机、旋耕机、打捆机产品国内市场份额保持“数一数二”，甘蔗</w:t>
            </w:r>
            <w:r w:rsidR="008B76C3">
              <w:rPr>
                <w:rFonts w:ascii="宋体" w:hAnsi="宋体" w:hint="eastAsia"/>
                <w:iCs/>
                <w:color w:val="000000"/>
                <w:sz w:val="24"/>
              </w:rPr>
              <w:t>收割</w:t>
            </w:r>
            <w:r w:rsidR="00D33FCC" w:rsidRPr="00FF0F7B">
              <w:rPr>
                <w:rFonts w:ascii="宋体" w:hAnsi="宋体" w:hint="eastAsia"/>
                <w:iCs/>
                <w:color w:val="000000"/>
                <w:sz w:val="24"/>
              </w:rPr>
              <w:t>全程机械化在海外市场取得突破。</w:t>
            </w:r>
          </w:p>
          <w:p w:rsidR="00D33FCC" w:rsidRPr="00D33FCC" w:rsidRDefault="00FF0F7B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③</w:t>
            </w:r>
            <w:r w:rsidR="00D33FCC" w:rsidRPr="00D33FCC">
              <w:rPr>
                <w:rFonts w:ascii="宋体" w:hAnsi="宋体" w:hint="eastAsia"/>
                <w:iCs/>
                <w:color w:val="000000"/>
                <w:sz w:val="24"/>
              </w:rPr>
              <w:t>研发创新持续领先</w:t>
            </w:r>
          </w:p>
          <w:p w:rsidR="00D33FCC" w:rsidRPr="00FF0F7B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产品研发成果</w:t>
            </w:r>
            <w:r w:rsidR="00FF0F7B">
              <w:rPr>
                <w:rFonts w:ascii="宋体" w:hAnsi="宋体" w:hint="eastAsia"/>
                <w:iCs/>
                <w:color w:val="000000"/>
                <w:sz w:val="24"/>
              </w:rPr>
              <w:t>：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推出“凌云”系列四桥59米泵车，采用钢镂空臂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架技术和双独立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液压系统，整机减重5%，成为行业轻量化泵车标杆产品；推出行业最轻的</w:t>
            </w:r>
            <w:r w:rsidRPr="00FF0F7B">
              <w:rPr>
                <w:rFonts w:ascii="宋体" w:hAnsi="宋体"/>
                <w:iCs/>
                <w:color w:val="000000"/>
                <w:sz w:val="24"/>
              </w:rPr>
              <w:t xml:space="preserve">4 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桥</w:t>
            </w:r>
            <w:r w:rsidRPr="00FF0F7B">
              <w:rPr>
                <w:rFonts w:ascii="宋体" w:hAnsi="宋体"/>
                <w:iCs/>
                <w:color w:val="000000"/>
                <w:sz w:val="24"/>
              </w:rPr>
              <w:t xml:space="preserve">8F 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东风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底盘国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五轻量化</w:t>
            </w:r>
            <w:r w:rsidRPr="00FF0F7B">
              <w:rPr>
                <w:rFonts w:ascii="宋体" w:hAnsi="宋体"/>
                <w:iCs/>
                <w:color w:val="000000"/>
                <w:sz w:val="24"/>
              </w:rPr>
              <w:t xml:space="preserve">L3 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搅拌车、行业首创阶梯式制砂生产线ZSM100D 等产品；</w:t>
            </w:r>
          </w:p>
          <w:p w:rsidR="00FF0F7B" w:rsidRDefault="00D33FCC" w:rsidP="003740CD">
            <w:pPr>
              <w:rPr>
                <w:rFonts w:ascii="宋体" w:hAnsi="宋体"/>
                <w:iCs/>
                <w:color w:val="000000"/>
                <w:sz w:val="24"/>
              </w:rPr>
            </w:pP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 xml:space="preserve">推出国际先进水平新4.0 产品W 系列塔式起重机，通过ETI 智控、结构、传动三大技术升级实现跨代；研制下线全球首台25 吨新能源汽车起重机、25 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米单跨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折叠式应急架桥车、环保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高效的集装箱模块化搅拌站HZS120R/180R、大吨位破碎型挖掘机ZE550EK-10 等产品。</w:t>
            </w:r>
            <w:r w:rsidR="00FF0F7B">
              <w:rPr>
                <w:rFonts w:ascii="宋体" w:hAnsi="宋体" w:hint="eastAsia"/>
                <w:iCs/>
                <w:color w:val="000000"/>
                <w:sz w:val="24"/>
              </w:rPr>
              <w:t>农业机械板块方面，</w:t>
            </w:r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水稻有序抛秧机成功上市，AI小麦机完成田间试验和技术迭代、AC90 大型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甘蔗机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 xml:space="preserve">完成厂内验证；9GZ 大圆捆、240 马力CVT拖拉机和果园作业平台、第二代有序水稻抛秧机、1288 </w:t>
            </w:r>
            <w:proofErr w:type="gramStart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大喂入</w:t>
            </w:r>
            <w:proofErr w:type="gramEnd"/>
            <w:r w:rsidRPr="00FF0F7B">
              <w:rPr>
                <w:rFonts w:ascii="宋体" w:hAnsi="宋体" w:hint="eastAsia"/>
                <w:iCs/>
                <w:color w:val="000000"/>
                <w:sz w:val="24"/>
              </w:rPr>
              <w:t>量多功能收获机等重点研发产品按计划推进。</w:t>
            </w:r>
          </w:p>
          <w:p w:rsidR="00D33FCC" w:rsidRPr="007E2183" w:rsidRDefault="00FF0F7B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另外，</w:t>
            </w:r>
            <w:r w:rsidR="00D33FCC" w:rsidRPr="007E2183">
              <w:rPr>
                <w:rFonts w:ascii="宋体" w:hAnsi="宋体" w:hint="eastAsia"/>
                <w:iCs/>
                <w:color w:val="000000"/>
                <w:sz w:val="24"/>
              </w:rPr>
              <w:t>公司持续加大关键零部件的技术研发，提升油缸、液压阀、工程桥等核心零部件自主研发与自主可控生产能力，完善产业链布局，提升核心零部件自制率，增强产品竞争力。</w:t>
            </w:r>
          </w:p>
          <w:p w:rsidR="00D33FCC" w:rsidRPr="007E2183" w:rsidRDefault="007E2183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④</w:t>
            </w:r>
            <w:r w:rsidR="00D33FCC" w:rsidRPr="007E2183">
              <w:rPr>
                <w:rFonts w:ascii="宋体" w:hAnsi="宋体" w:hint="eastAsia"/>
                <w:iCs/>
                <w:color w:val="000000"/>
                <w:sz w:val="24"/>
              </w:rPr>
              <w:t>智能制造全面发力</w:t>
            </w:r>
          </w:p>
          <w:p w:rsidR="00D33FCC" w:rsidRPr="007E2183" w:rsidRDefault="00D33FCC" w:rsidP="007E2183">
            <w:pPr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智慧产业城建</w:t>
            </w:r>
            <w:proofErr w:type="gramStart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设快速</w:t>
            </w:r>
            <w:proofErr w:type="gramEnd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推进，项目首开园区挖掘机械智能制造园区将于今年</w:t>
            </w:r>
            <w:r w:rsidR="003740CD">
              <w:rPr>
                <w:rFonts w:ascii="宋体" w:hAnsi="宋体" w:hint="eastAsia"/>
                <w:iCs/>
                <w:color w:val="000000"/>
                <w:sz w:val="24"/>
              </w:rPr>
              <w:t>年</w:t>
            </w: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底下线首台挖掘机械产品。塔机智</w:t>
            </w:r>
            <w:proofErr w:type="gramStart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能工厂</w:t>
            </w:r>
            <w:proofErr w:type="gramEnd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二期项目建设稳步推进，并新增建筑起重机械华东智能制造基地等项目。沅江搅拌车产品智能制造升级产业园已初具规模，常德关键液压元器件（液压阀）智能</w:t>
            </w:r>
            <w:proofErr w:type="gramStart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制造产线已</w:t>
            </w:r>
            <w:proofErr w:type="gramEnd"/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进场安装调试，夯实公司高质量发展基础。</w:t>
            </w:r>
          </w:p>
          <w:p w:rsidR="00D33FCC" w:rsidRPr="00D33FCC" w:rsidRDefault="007E2183" w:rsidP="007E2183">
            <w:pPr>
              <w:pStyle w:val="Default"/>
              <w:snapToGrid w:val="0"/>
              <w:ind w:firstLineChars="202" w:firstLine="485"/>
              <w:rPr>
                <w:rFonts w:ascii="宋体" w:eastAsia="宋体" w:hAnsi="宋体" w:cs="Times New Roman"/>
                <w:iCs/>
                <w:kern w:val="2"/>
              </w:rPr>
            </w:pPr>
            <w:r>
              <w:rPr>
                <w:rFonts w:ascii="宋体" w:eastAsia="宋体" w:hAnsi="宋体" w:cs="Times New Roman" w:hint="eastAsia"/>
                <w:iCs/>
                <w:kern w:val="2"/>
              </w:rPr>
              <w:t>⑤</w:t>
            </w:r>
            <w:r w:rsidR="00D33FCC" w:rsidRPr="00D33FCC">
              <w:rPr>
                <w:rFonts w:ascii="宋体" w:eastAsia="宋体" w:hAnsi="宋体" w:cs="Times New Roman" w:hint="eastAsia"/>
                <w:iCs/>
                <w:kern w:val="2"/>
              </w:rPr>
              <w:t>加速推进数字化转型，全面深化业务端对端管理，彻底打通市场链，实现业务系统信息互通共享，支撑业务高效运行；以数字化、智能化为载体，发布智慧服务组合式解决方案和服务数字化平台，打造便捷高效的智慧服务全场景应用；持续推进产品、制造、供应链及管理的数字化与智能化升级。</w:t>
            </w:r>
          </w:p>
          <w:p w:rsidR="00D33FCC" w:rsidRPr="00D33FCC" w:rsidRDefault="007E2183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⑥</w:t>
            </w:r>
            <w:r w:rsidR="00D33FCC" w:rsidRPr="00D33FCC">
              <w:rPr>
                <w:rFonts w:ascii="宋体" w:hAnsi="宋体" w:hint="eastAsia"/>
                <w:iCs/>
                <w:color w:val="000000"/>
                <w:sz w:val="24"/>
              </w:rPr>
              <w:t>推进全球“本地化”战略</w:t>
            </w:r>
          </w:p>
          <w:p w:rsidR="00D33FCC" w:rsidRPr="00D33FCC" w:rsidRDefault="00D33FCC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面对全球新冠疫情形势，公司积极应对，聚焦重点国家和地区，深入推进“本地化”战略，海外市场地位稳步提升，出口产品收入实现逆势增长。</w:t>
            </w:r>
          </w:p>
          <w:p w:rsidR="00D33FCC" w:rsidRPr="00D33FCC" w:rsidRDefault="007E2183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3</w:t>
            </w:r>
            <w:r w:rsidR="00D33FCC" w:rsidRPr="00D33FCC">
              <w:rPr>
                <w:rFonts w:ascii="宋体" w:hAnsi="宋体" w:hint="eastAsia"/>
                <w:iCs/>
                <w:color w:val="000000"/>
                <w:sz w:val="24"/>
              </w:rPr>
              <w:t>、下半年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展望</w:t>
            </w:r>
          </w:p>
          <w:p w:rsidR="00D33FCC" w:rsidRPr="00D33FCC" w:rsidRDefault="00D33FCC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受疫情影响，今年工程机械行业施工旺季延后2-3个月，预计3季度仍然维持高位增长；同时随着国内大循环为主体、国内国际双循环相互促进的新发展格局正逐步形成，下半年“两新一重”建设持续推进、及一批重特大工程相继落地实施，行业仍将持续维持高景气，我们对未来市场行情仍保持乐观态度，</w:t>
            </w:r>
            <w:r w:rsidR="00275351" w:rsidRPr="0041776E">
              <w:rPr>
                <w:rFonts w:ascii="宋体" w:hAnsi="宋体" w:hint="eastAsia"/>
                <w:iCs/>
                <w:color w:val="000000"/>
                <w:sz w:val="24"/>
              </w:rPr>
              <w:t>预计</w:t>
            </w:r>
            <w:r w:rsidR="00275351" w:rsidRPr="0041776E">
              <w:rPr>
                <w:rFonts w:ascii="宋体" w:hAnsi="宋体"/>
                <w:iCs/>
                <w:color w:val="000000"/>
                <w:sz w:val="24"/>
              </w:rPr>
              <w:t>2020年公司</w:t>
            </w:r>
            <w:r w:rsidR="00E42383" w:rsidRPr="0041776E">
              <w:rPr>
                <w:rFonts w:ascii="宋体" w:hAnsi="宋体" w:hint="eastAsia"/>
                <w:iCs/>
                <w:color w:val="000000"/>
                <w:sz w:val="24"/>
              </w:rPr>
              <w:t>增速将高于行业</w:t>
            </w:r>
            <w:r w:rsidR="0041776E" w:rsidRPr="0041776E">
              <w:rPr>
                <w:rFonts w:ascii="宋体" w:hAnsi="宋体" w:hint="eastAsia"/>
                <w:iCs/>
                <w:color w:val="000000"/>
                <w:sz w:val="24"/>
              </w:rPr>
              <w:t>增速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。</w:t>
            </w:r>
          </w:p>
          <w:p w:rsidR="00D9674C" w:rsidRPr="00D33FCC" w:rsidRDefault="00D33FCC" w:rsidP="007E2183">
            <w:pPr>
              <w:adjustRightInd w:val="0"/>
              <w:snapToGrid w:val="0"/>
              <w:ind w:firstLineChars="202" w:firstLine="485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公司将围绕“2+2+2”发展战略，用互联网思维做企业，用极致思维做产品，以规模、利润、经营现金流</w:t>
            </w:r>
            <w:r w:rsidR="008B76C3">
              <w:rPr>
                <w:rFonts w:ascii="宋体" w:hAnsi="宋体" w:hint="eastAsia"/>
                <w:iCs/>
                <w:color w:val="000000"/>
                <w:sz w:val="24"/>
              </w:rPr>
              <w:t>以</w:t>
            </w:r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及可持续增长为牵引，全面推行端对</w:t>
            </w:r>
            <w:proofErr w:type="gramStart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端业务</w:t>
            </w:r>
            <w:proofErr w:type="gramEnd"/>
            <w:r w:rsidRPr="00D33FCC">
              <w:rPr>
                <w:rFonts w:ascii="宋体" w:hAnsi="宋体" w:hint="eastAsia"/>
                <w:iCs/>
                <w:color w:val="000000"/>
                <w:sz w:val="24"/>
              </w:rPr>
              <w:t>管理，深化数字化转型，加速推进国际化，加快智慧产业建设，构建互利共赢的产业生态圈，提升公司核心竞争力，实现高质量可持续发展。</w:t>
            </w:r>
          </w:p>
          <w:p w:rsidR="00106181" w:rsidRPr="007E2183" w:rsidRDefault="007E2183" w:rsidP="007E2183">
            <w:pPr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b/>
                <w:iCs/>
                <w:color w:val="000000"/>
                <w:sz w:val="24"/>
              </w:rPr>
              <w:t>二、</w:t>
            </w:r>
            <w:r w:rsidR="00106181" w:rsidRPr="007E2183">
              <w:rPr>
                <w:rFonts w:ascii="宋体" w:hAnsi="宋体"/>
                <w:b/>
                <w:iCs/>
                <w:color w:val="000000"/>
                <w:sz w:val="24"/>
              </w:rPr>
              <w:t>投资者提问</w:t>
            </w:r>
            <w:r w:rsidR="009C27FC" w:rsidRPr="007E2183">
              <w:rPr>
                <w:rFonts w:ascii="宋体" w:hAnsi="宋体" w:hint="eastAsia"/>
                <w:b/>
                <w:iCs/>
                <w:color w:val="000000"/>
                <w:sz w:val="24"/>
              </w:rPr>
              <w:t>环节</w:t>
            </w:r>
          </w:p>
          <w:p w:rsidR="007E2183" w:rsidRPr="007E2183" w:rsidRDefault="007E2183" w:rsidP="007E2183">
            <w:pPr>
              <w:adjustRightInd w:val="0"/>
              <w:snapToGrid w:val="0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1、</w:t>
            </w:r>
            <w:proofErr w:type="gramStart"/>
            <w:r w:rsidRPr="007E2183">
              <w:rPr>
                <w:rFonts w:ascii="宋体" w:hAnsi="宋体"/>
                <w:iCs/>
                <w:color w:val="000000"/>
                <w:sz w:val="24"/>
              </w:rPr>
              <w:t>定增进展</w:t>
            </w:r>
            <w:proofErr w:type="gramEnd"/>
            <w:r w:rsidRPr="007E2183">
              <w:rPr>
                <w:rFonts w:ascii="宋体" w:hAnsi="宋体"/>
                <w:iCs/>
                <w:color w:val="000000"/>
                <w:sz w:val="24"/>
              </w:rPr>
              <w:t>？</w:t>
            </w:r>
          </w:p>
          <w:p w:rsidR="007E2183" w:rsidRPr="007E2183" w:rsidRDefault="007E2183" w:rsidP="007E2183">
            <w:pPr>
              <w:adjustRightInd w:val="0"/>
              <w:snapToGrid w:val="0"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公司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7月初公告</w:t>
            </w:r>
            <w:proofErr w:type="gramStart"/>
            <w:r w:rsidRPr="007E2183">
              <w:rPr>
                <w:rFonts w:ascii="宋体" w:hAnsi="宋体"/>
                <w:iCs/>
                <w:color w:val="000000"/>
                <w:sz w:val="24"/>
              </w:rPr>
              <w:t>了定增预案</w:t>
            </w:r>
            <w:proofErr w:type="gramEnd"/>
            <w:r w:rsidRPr="007E2183">
              <w:rPr>
                <w:rFonts w:ascii="宋体" w:hAnsi="宋体"/>
                <w:iCs/>
                <w:color w:val="000000"/>
                <w:sz w:val="24"/>
              </w:rPr>
              <w:t>，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且已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在8月12日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股东大会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审议</w:t>
            </w:r>
            <w:r w:rsidR="00660EDA" w:rsidRPr="007E2183">
              <w:rPr>
                <w:rFonts w:ascii="宋体" w:hAnsi="宋体"/>
                <w:iCs/>
                <w:color w:val="000000"/>
                <w:sz w:val="24"/>
              </w:rPr>
              <w:t>通过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，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目前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中介团队正履行尽职调查程序，准备申报材料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。我们会按照证监会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相关规定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推进</w:t>
            </w:r>
            <w:r w:rsidR="002076DB">
              <w:rPr>
                <w:rFonts w:ascii="宋体" w:hAnsi="宋体" w:hint="eastAsia"/>
                <w:iCs/>
                <w:color w:val="000000"/>
                <w:sz w:val="24"/>
              </w:rPr>
              <w:t>项目</w:t>
            </w:r>
            <w:r w:rsidR="002076DB">
              <w:rPr>
                <w:rFonts w:ascii="宋体" w:hAnsi="宋体"/>
                <w:iCs/>
                <w:color w:val="000000"/>
                <w:sz w:val="24"/>
              </w:rPr>
              <w:t>，</w:t>
            </w:r>
            <w:proofErr w:type="gramStart"/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待材料</w:t>
            </w:r>
            <w:proofErr w:type="gramEnd"/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准备完毕后向中国证监会申报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Helvetica" w:hAnsi="Helvetica" w:cs="宋体"/>
                <w:color w:val="393939"/>
                <w:kern w:val="0"/>
                <w:sz w:val="18"/>
                <w:szCs w:val="18"/>
              </w:rPr>
            </w:pP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2、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上半年起重机械毛利率同比略降原因？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 w:rsidRPr="007E2183"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主要是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总体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产品</w:t>
            </w:r>
            <w:r w:rsidR="00660EDA" w:rsidRPr="007E2183">
              <w:rPr>
                <w:rFonts w:ascii="宋体" w:hAnsi="宋体"/>
                <w:iCs/>
                <w:color w:val="000000"/>
                <w:sz w:val="24"/>
              </w:rPr>
              <w:t>结构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和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部分单品</w:t>
            </w:r>
            <w:r w:rsidR="00660EDA" w:rsidRPr="007E2183">
              <w:rPr>
                <w:rFonts w:ascii="宋体" w:hAnsi="宋体"/>
                <w:iCs/>
                <w:color w:val="000000"/>
                <w:sz w:val="24"/>
              </w:rPr>
              <w:t>价格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调整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的影响。疫情下产品订单价格有一定让利，其次经济型产品产能投放快。价格进入6-7月价格稳定，对毛利率影响消除，今年也启动了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降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本措施，预计6-7月降成本效果体现，展望三季度和四季度毛利率维持相对稳定。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Helvetica" w:hAnsi="Helvetica" w:cs="宋体"/>
                <w:color w:val="393939"/>
                <w:kern w:val="0"/>
                <w:sz w:val="18"/>
                <w:szCs w:val="18"/>
              </w:rPr>
            </w:pPr>
          </w:p>
          <w:p w:rsidR="007E2183" w:rsidRPr="007E2183" w:rsidRDefault="002076DB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3、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上半年工程起重机和建筑起重机收入构成及同比增长情况？</w:t>
            </w:r>
            <w:r w:rsidRPr="007E2183">
              <w:rPr>
                <w:rFonts w:ascii="宋体" w:hAnsi="宋体"/>
                <w:iCs/>
                <w:color w:val="000000"/>
                <w:sz w:val="24"/>
              </w:rPr>
              <w:t>毛利率大致多少？</w:t>
            </w:r>
          </w:p>
          <w:p w:rsidR="002076DB" w:rsidRDefault="002076DB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从收入结构来看，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大致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是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工起占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比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六成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，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建起占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比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约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四成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。从往年规律来看，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工起营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收占比上半年会比下半年高，建设起重机营收占比下半年比上半年高。</w:t>
            </w:r>
          </w:p>
          <w:p w:rsidR="007E2183" w:rsidRPr="007E2183" w:rsidRDefault="002076DB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 xml:space="preserve">   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汽车起重机和建筑起重机毛利率略降，主要是产品结构，大型起重机增长略低于中小起重机。目前</w:t>
            </w:r>
            <w:r>
              <w:rPr>
                <w:rFonts w:ascii="宋体" w:hAnsi="宋体"/>
                <w:iCs/>
                <w:color w:val="000000"/>
                <w:sz w:val="24"/>
              </w:rPr>
              <w:t>塔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式起重机毛利率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高于汽车起重机。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</w:p>
          <w:p w:rsidR="007E2183" w:rsidRPr="007E2183" w:rsidRDefault="00660EDA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="00785818">
              <w:rPr>
                <w:rFonts w:ascii="宋体" w:hAnsi="宋体" w:hint="eastAsia"/>
                <w:iCs/>
                <w:color w:val="000000"/>
                <w:sz w:val="24"/>
              </w:rPr>
              <w:t>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上半年泵车底盘国产化</w:t>
            </w:r>
            <w:r w:rsidR="00785818">
              <w:rPr>
                <w:rFonts w:ascii="宋体" w:hAnsi="宋体" w:hint="eastAsia"/>
                <w:iCs/>
                <w:color w:val="000000"/>
                <w:sz w:val="24"/>
              </w:rPr>
              <w:t>及毛利率的情况？</w:t>
            </w:r>
          </w:p>
          <w:p w:rsidR="007E2183" w:rsidRPr="007E2183" w:rsidRDefault="00785818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目前国产底盘占比过半，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产品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毛利率</w:t>
            </w:r>
            <w:r w:rsidR="00E42383">
              <w:rPr>
                <w:rFonts w:ascii="宋体" w:hAnsi="宋体" w:hint="eastAsia"/>
                <w:iCs/>
                <w:color w:val="000000"/>
                <w:sz w:val="24"/>
              </w:rPr>
              <w:t>与</w:t>
            </w:r>
            <w:r w:rsidR="00F33485">
              <w:rPr>
                <w:rFonts w:ascii="宋体" w:hAnsi="宋体" w:hint="eastAsia"/>
                <w:iCs/>
                <w:color w:val="000000"/>
                <w:sz w:val="24"/>
              </w:rPr>
              <w:t>进口底盘产品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差别不大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</w:p>
          <w:p w:rsidR="007E2183" w:rsidRPr="007E2183" w:rsidRDefault="00660EDA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5</w:t>
            </w:r>
            <w:r w:rsidR="00785818">
              <w:rPr>
                <w:rFonts w:ascii="宋体" w:hAnsi="宋体" w:hint="eastAsia"/>
                <w:iCs/>
                <w:color w:val="000000"/>
                <w:sz w:val="24"/>
              </w:rPr>
              <w:t>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高空作业</w:t>
            </w:r>
            <w:r w:rsidR="00785818">
              <w:rPr>
                <w:rFonts w:ascii="宋体" w:hAnsi="宋体" w:hint="eastAsia"/>
                <w:iCs/>
                <w:color w:val="000000"/>
                <w:sz w:val="24"/>
              </w:rPr>
              <w:t>平台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今年行业增长增速如何？市场竞争及价格？</w:t>
            </w:r>
          </w:p>
          <w:p w:rsidR="007E2183" w:rsidRPr="007E2183" w:rsidRDefault="00785818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行业增速相对比较高，我们预测上半年行业增速20%左右，高空作业平台下游厂家高度集中，我们目前市场份额在行业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处于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前三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水平。价格方面臂式产品技术含量更高，单价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比剪叉高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不少。现在行业处在快速发展阶段，下半年预计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维持较</w:t>
            </w:r>
            <w:r>
              <w:rPr>
                <w:rFonts w:ascii="宋体" w:hAnsi="宋体"/>
                <w:iCs/>
                <w:color w:val="000000"/>
                <w:sz w:val="24"/>
              </w:rPr>
              <w:t>高的增长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态势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</w:p>
          <w:p w:rsidR="007E2183" w:rsidRPr="007E2183" w:rsidRDefault="00660EDA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6</w:t>
            </w:r>
            <w:r w:rsidR="00785818">
              <w:rPr>
                <w:rFonts w:ascii="宋体" w:hAnsi="宋体" w:hint="eastAsia"/>
                <w:iCs/>
                <w:color w:val="000000"/>
                <w:sz w:val="24"/>
              </w:rPr>
              <w:t>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海外市场发展？</w:t>
            </w:r>
          </w:p>
          <w:p w:rsidR="007E2183" w:rsidRPr="007E2183" w:rsidRDefault="00785818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公司的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海外战略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是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通过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“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全球化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下的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本地化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”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在从事国际业务的员工和资产上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增加资源投入。现在海外市场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已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回归到各个产品事业部，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加强了</w:t>
            </w:r>
            <w:r>
              <w:rPr>
                <w:rFonts w:ascii="宋体" w:hAnsi="宋体"/>
                <w:iCs/>
                <w:color w:val="000000"/>
                <w:sz w:val="24"/>
              </w:rPr>
              <w:t>研发资源投入，开发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试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销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新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产品，一国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一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策，一区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一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策，在一路一带国家加大软硬件投入，欧美国家借助当地已有的渠道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、品牌和技术优势（CIFA、M-</w:t>
            </w:r>
            <w:proofErr w:type="spellStart"/>
            <w:r>
              <w:rPr>
                <w:rFonts w:ascii="宋体" w:hAnsi="宋体" w:hint="eastAsia"/>
                <w:iCs/>
                <w:color w:val="000000"/>
                <w:sz w:val="24"/>
              </w:rPr>
              <w:t>tec</w:t>
            </w:r>
            <w:proofErr w:type="spellEnd"/>
            <w:r>
              <w:rPr>
                <w:rFonts w:ascii="宋体" w:hAnsi="宋体" w:hint="eastAsia"/>
                <w:iCs/>
                <w:color w:val="000000"/>
                <w:sz w:val="24"/>
              </w:rPr>
              <w:t>、威尔伯特</w:t>
            </w:r>
            <w:r w:rsidR="00660EDA">
              <w:rPr>
                <w:rFonts w:ascii="宋体" w:hAnsi="宋体" w:hint="eastAsia"/>
                <w:iCs/>
                <w:color w:val="000000"/>
                <w:sz w:val="24"/>
              </w:rPr>
              <w:t>等子公司、海外基地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）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抢占市场。</w:t>
            </w:r>
          </w:p>
          <w:p w:rsidR="007E2183" w:rsidRPr="007E2183" w:rsidRDefault="00FA40FE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 xml:space="preserve">   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上半年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部分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海外市场如印尼和欧洲需求下滑，贸易受限，人员无法到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岗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。我们预计四季度到明年二季度会得到明显好转。三季度</w:t>
            </w:r>
            <w:r w:rsidR="003740CD">
              <w:rPr>
                <w:rFonts w:ascii="宋体" w:hAnsi="宋体" w:hint="eastAsia"/>
                <w:iCs/>
                <w:color w:val="000000"/>
                <w:sz w:val="24"/>
              </w:rPr>
              <w:t>，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东南亚，印尼，泰国，南亚，中东</w:t>
            </w:r>
            <w:r w:rsidR="00660EDA">
              <w:rPr>
                <w:rFonts w:ascii="宋体" w:hAnsi="宋体"/>
                <w:iCs/>
                <w:color w:val="000000"/>
                <w:sz w:val="24"/>
              </w:rPr>
              <w:t>等地</w:t>
            </w:r>
            <w:r w:rsidR="003740CD">
              <w:rPr>
                <w:rFonts w:ascii="宋体" w:hAnsi="宋体" w:hint="eastAsia"/>
                <w:iCs/>
                <w:color w:val="000000"/>
                <w:sz w:val="24"/>
              </w:rPr>
              <w:t>已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开始恢复业务</w:t>
            </w:r>
            <w:r w:rsidR="008B76C3">
              <w:rPr>
                <w:rFonts w:ascii="宋体" w:hAnsi="宋体" w:hint="eastAsia"/>
                <w:iCs/>
                <w:color w:val="000000"/>
                <w:sz w:val="24"/>
              </w:rPr>
              <w:t>,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我们认为疫情下给国内公司带来更多的是机遇，我们一直秉持国际化理念，疫情不会动摇国际化战略。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</w:p>
          <w:p w:rsidR="007E2183" w:rsidRPr="007E2183" w:rsidRDefault="000211E8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7</w:t>
            </w:r>
            <w:r w:rsidR="00FA40FE">
              <w:rPr>
                <w:rFonts w:ascii="宋体" w:hAnsi="宋体" w:hint="eastAsia"/>
                <w:iCs/>
                <w:color w:val="000000"/>
                <w:sz w:val="24"/>
              </w:rPr>
              <w:t>、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汇兑损益比去年有较好的增长，原因是什么？</w:t>
            </w:r>
          </w:p>
          <w:p w:rsidR="007E2183" w:rsidRPr="007E2183" w:rsidRDefault="00FA40FE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 w:rsidR="00E76005" w:rsidRPr="00E76005">
              <w:rPr>
                <w:rFonts w:ascii="宋体" w:hAnsi="宋体" w:hint="eastAsia"/>
                <w:iCs/>
                <w:color w:val="000000"/>
                <w:sz w:val="24"/>
              </w:rPr>
              <w:t>公司对往来资金进行了全面梳理，理清了公司主要外汇业务类型和风险敞口，通过制度进一步规范外汇业务，并动态出具外汇风险管理方案，通过匹配负债自然对冲、往来理清等手</w:t>
            </w:r>
            <w:r w:rsidR="00E76005" w:rsidRPr="00E76005"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段，有效降低了外汇风险。公司从2005年开始，财务费用一直降低，自有资金占比提升。</w:t>
            </w:r>
          </w:p>
          <w:p w:rsidR="007E2183" w:rsidRPr="007E2183" w:rsidRDefault="007E2183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</w:p>
          <w:p w:rsidR="007E2183" w:rsidRPr="007E2183" w:rsidRDefault="000211E8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8</w:t>
            </w:r>
            <w:r w:rsidR="00FA40FE">
              <w:rPr>
                <w:rFonts w:ascii="宋体" w:hAnsi="宋体" w:hint="eastAsia"/>
                <w:iCs/>
                <w:color w:val="000000"/>
                <w:sz w:val="24"/>
              </w:rPr>
              <w:t>、公司首付比例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？</w:t>
            </w:r>
          </w:p>
          <w:p w:rsidR="007E2183" w:rsidRPr="007E2183" w:rsidRDefault="00FA40FE" w:rsidP="007E2183">
            <w:pPr>
              <w:widowControl/>
              <w:jc w:val="left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答：公司平均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首付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比例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在</w:t>
            </w:r>
            <w:r>
              <w:rPr>
                <w:rFonts w:ascii="宋体" w:hAnsi="宋体"/>
                <w:iCs/>
                <w:color w:val="000000"/>
                <w:sz w:val="24"/>
              </w:rPr>
              <w:t>35%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左右</w:t>
            </w:r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，</w:t>
            </w:r>
            <w:proofErr w:type="gramStart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各个产线有</w:t>
            </w:r>
            <w:proofErr w:type="gramEnd"/>
            <w:r w:rsidR="007E2183" w:rsidRPr="007E2183">
              <w:rPr>
                <w:rFonts w:ascii="宋体" w:hAnsi="宋体"/>
                <w:iCs/>
                <w:color w:val="000000"/>
                <w:sz w:val="24"/>
              </w:rPr>
              <w:t>区别。</w:t>
            </w:r>
          </w:p>
          <w:p w:rsidR="00962061" w:rsidRPr="00D9674C" w:rsidRDefault="00962061" w:rsidP="007E2183">
            <w:pPr>
              <w:widowControl/>
              <w:ind w:firstLineChars="202" w:firstLine="485"/>
              <w:rPr>
                <w:rFonts w:ascii="宋体" w:hAnsi="宋体"/>
                <w:iCs/>
                <w:color w:val="000000"/>
                <w:sz w:val="24"/>
              </w:rPr>
            </w:pP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6206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61" w:rsidRDefault="00F7305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9A7933"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7E2183">
              <w:rPr>
                <w:rFonts w:ascii="宋体" w:hAnsi="宋体"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7E2183"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962061" w:rsidRDefault="00962061"/>
    <w:sectPr w:rsidR="00962061" w:rsidSect="0096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04" w:rsidRDefault="00A50204" w:rsidP="00583A7D">
      <w:r>
        <w:separator/>
      </w:r>
    </w:p>
  </w:endnote>
  <w:endnote w:type="continuationSeparator" w:id="0">
    <w:p w:rsidR="00A50204" w:rsidRDefault="00A50204" w:rsidP="0058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 STKaiti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04" w:rsidRDefault="00A50204" w:rsidP="00583A7D">
      <w:r>
        <w:separator/>
      </w:r>
    </w:p>
  </w:footnote>
  <w:footnote w:type="continuationSeparator" w:id="0">
    <w:p w:rsidR="00A50204" w:rsidRDefault="00A50204" w:rsidP="00583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DBEC54"/>
    <w:multiLevelType w:val="singleLevel"/>
    <w:tmpl w:val="9DDBEC54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BCBD90D0"/>
    <w:multiLevelType w:val="singleLevel"/>
    <w:tmpl w:val="BCBD90D0"/>
    <w:lvl w:ilvl="0">
      <w:start w:val="1"/>
      <w:numFmt w:val="decimal"/>
      <w:suff w:val="nothing"/>
      <w:lvlText w:val="%1）"/>
      <w:lvlJc w:val="left"/>
    </w:lvl>
  </w:abstractNum>
  <w:abstractNum w:abstractNumId="2">
    <w:nsid w:val="DA135DE1"/>
    <w:multiLevelType w:val="singleLevel"/>
    <w:tmpl w:val="DA135DE1"/>
    <w:lvl w:ilvl="0">
      <w:start w:val="1"/>
      <w:numFmt w:val="decimal"/>
      <w:suff w:val="nothing"/>
      <w:lvlText w:val="%1）"/>
      <w:lvlJc w:val="left"/>
    </w:lvl>
  </w:abstractNum>
  <w:abstractNum w:abstractNumId="3">
    <w:nsid w:val="10212D97"/>
    <w:multiLevelType w:val="singleLevel"/>
    <w:tmpl w:val="10212D97"/>
    <w:lvl w:ilvl="0">
      <w:start w:val="1"/>
      <w:numFmt w:val="decimal"/>
      <w:suff w:val="nothing"/>
      <w:lvlText w:val="%1）"/>
      <w:lvlJc w:val="left"/>
    </w:lvl>
  </w:abstractNum>
  <w:abstractNum w:abstractNumId="4">
    <w:nsid w:val="1590671E"/>
    <w:multiLevelType w:val="multilevel"/>
    <w:tmpl w:val="63C2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85F17"/>
    <w:multiLevelType w:val="singleLevel"/>
    <w:tmpl w:val="17A85F17"/>
    <w:lvl w:ilvl="0">
      <w:start w:val="1"/>
      <w:numFmt w:val="decimal"/>
      <w:suff w:val="nothing"/>
      <w:lvlText w:val="%1）"/>
      <w:lvlJc w:val="left"/>
    </w:lvl>
  </w:abstractNum>
  <w:abstractNum w:abstractNumId="6">
    <w:nsid w:val="2F9D4721"/>
    <w:multiLevelType w:val="multilevel"/>
    <w:tmpl w:val="2F9D4721"/>
    <w:lvl w:ilvl="0">
      <w:start w:val="1"/>
      <w:numFmt w:val="koreanDigital2"/>
      <w:pStyle w:val="1"/>
      <w:lvlText w:val="第%1章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1">
      <w:start w:val="1"/>
      <w:numFmt w:val="bullet"/>
      <w:lvlRestart w:val="0"/>
      <w:lvlText w:val="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00"/>
        <w:u w:val="none"/>
      </w:rPr>
    </w:lvl>
    <w:lvl w:ilvl="2">
      <w:start w:val="1"/>
      <w:numFmt w:val="bullet"/>
      <w:lvlRestart w:val="0"/>
      <w:lvlText w:val="—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43B0066A"/>
    <w:multiLevelType w:val="multilevel"/>
    <w:tmpl w:val="88C67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D40AF"/>
    <w:multiLevelType w:val="singleLevel"/>
    <w:tmpl w:val="46CD40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411395E"/>
    <w:multiLevelType w:val="singleLevel"/>
    <w:tmpl w:val="641139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0A538F7"/>
    <w:multiLevelType w:val="multilevel"/>
    <w:tmpl w:val="563A7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910B6"/>
    <w:multiLevelType w:val="multilevel"/>
    <w:tmpl w:val="B40A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9A3"/>
    <w:rsid w:val="00001543"/>
    <w:rsid w:val="000048AB"/>
    <w:rsid w:val="000122C3"/>
    <w:rsid w:val="00013632"/>
    <w:rsid w:val="00013B72"/>
    <w:rsid w:val="00013E5B"/>
    <w:rsid w:val="0001767A"/>
    <w:rsid w:val="00021083"/>
    <w:rsid w:val="000211E8"/>
    <w:rsid w:val="000217D7"/>
    <w:rsid w:val="0002318C"/>
    <w:rsid w:val="00025533"/>
    <w:rsid w:val="00030BEF"/>
    <w:rsid w:val="00030FBC"/>
    <w:rsid w:val="0003350B"/>
    <w:rsid w:val="0003550F"/>
    <w:rsid w:val="00037BCD"/>
    <w:rsid w:val="00040BDD"/>
    <w:rsid w:val="0004712F"/>
    <w:rsid w:val="00047AEE"/>
    <w:rsid w:val="00053BFC"/>
    <w:rsid w:val="000556F2"/>
    <w:rsid w:val="00056722"/>
    <w:rsid w:val="000576CE"/>
    <w:rsid w:val="000577E2"/>
    <w:rsid w:val="00060127"/>
    <w:rsid w:val="0006270D"/>
    <w:rsid w:val="00073293"/>
    <w:rsid w:val="000735FB"/>
    <w:rsid w:val="000761D6"/>
    <w:rsid w:val="0007730A"/>
    <w:rsid w:val="00081BA9"/>
    <w:rsid w:val="00081EE0"/>
    <w:rsid w:val="00083574"/>
    <w:rsid w:val="0008464C"/>
    <w:rsid w:val="00085A36"/>
    <w:rsid w:val="0008679A"/>
    <w:rsid w:val="00091CC5"/>
    <w:rsid w:val="00093ECD"/>
    <w:rsid w:val="000964F5"/>
    <w:rsid w:val="000A798F"/>
    <w:rsid w:val="000B190E"/>
    <w:rsid w:val="000C0326"/>
    <w:rsid w:val="000C052F"/>
    <w:rsid w:val="000D21D4"/>
    <w:rsid w:val="000D28D0"/>
    <w:rsid w:val="000D4C1A"/>
    <w:rsid w:val="000D55E7"/>
    <w:rsid w:val="000D5B0A"/>
    <w:rsid w:val="000D69A5"/>
    <w:rsid w:val="000E0EEF"/>
    <w:rsid w:val="000E2938"/>
    <w:rsid w:val="000E29A3"/>
    <w:rsid w:val="000E3484"/>
    <w:rsid w:val="000E718D"/>
    <w:rsid w:val="000F2EAD"/>
    <w:rsid w:val="000F3B00"/>
    <w:rsid w:val="000F567D"/>
    <w:rsid w:val="000F6C50"/>
    <w:rsid w:val="00100663"/>
    <w:rsid w:val="0010167D"/>
    <w:rsid w:val="001039D1"/>
    <w:rsid w:val="00104FEC"/>
    <w:rsid w:val="00106181"/>
    <w:rsid w:val="00107278"/>
    <w:rsid w:val="00112A2A"/>
    <w:rsid w:val="00112AE2"/>
    <w:rsid w:val="00113115"/>
    <w:rsid w:val="00113478"/>
    <w:rsid w:val="00121DA9"/>
    <w:rsid w:val="00124F89"/>
    <w:rsid w:val="00125762"/>
    <w:rsid w:val="00127D8C"/>
    <w:rsid w:val="0013100A"/>
    <w:rsid w:val="00131B95"/>
    <w:rsid w:val="00131BF4"/>
    <w:rsid w:val="001358EC"/>
    <w:rsid w:val="00135AFD"/>
    <w:rsid w:val="0013637F"/>
    <w:rsid w:val="001405DD"/>
    <w:rsid w:val="00141816"/>
    <w:rsid w:val="00143C7F"/>
    <w:rsid w:val="00143ECC"/>
    <w:rsid w:val="0014591B"/>
    <w:rsid w:val="00145D4A"/>
    <w:rsid w:val="00146C52"/>
    <w:rsid w:val="00147953"/>
    <w:rsid w:val="00147DDF"/>
    <w:rsid w:val="00153BC2"/>
    <w:rsid w:val="00154B71"/>
    <w:rsid w:val="001562B6"/>
    <w:rsid w:val="0016027D"/>
    <w:rsid w:val="00161343"/>
    <w:rsid w:val="00162BAE"/>
    <w:rsid w:val="00162D5D"/>
    <w:rsid w:val="001637B3"/>
    <w:rsid w:val="00172A07"/>
    <w:rsid w:val="00174114"/>
    <w:rsid w:val="00177959"/>
    <w:rsid w:val="001779B2"/>
    <w:rsid w:val="001828D9"/>
    <w:rsid w:val="00183798"/>
    <w:rsid w:val="00184FFE"/>
    <w:rsid w:val="00186C7F"/>
    <w:rsid w:val="001A01F8"/>
    <w:rsid w:val="001A208D"/>
    <w:rsid w:val="001A2CCB"/>
    <w:rsid w:val="001A541E"/>
    <w:rsid w:val="001A5A90"/>
    <w:rsid w:val="001A7E66"/>
    <w:rsid w:val="001A7F54"/>
    <w:rsid w:val="001B1E7F"/>
    <w:rsid w:val="001B4129"/>
    <w:rsid w:val="001B4734"/>
    <w:rsid w:val="001C0A1B"/>
    <w:rsid w:val="001C2116"/>
    <w:rsid w:val="001C2CE0"/>
    <w:rsid w:val="001C3912"/>
    <w:rsid w:val="001C3F85"/>
    <w:rsid w:val="001C638C"/>
    <w:rsid w:val="001C6497"/>
    <w:rsid w:val="001D3ADE"/>
    <w:rsid w:val="001D4A28"/>
    <w:rsid w:val="001E2217"/>
    <w:rsid w:val="001E3285"/>
    <w:rsid w:val="001E46FF"/>
    <w:rsid w:val="001F21E6"/>
    <w:rsid w:val="001F4468"/>
    <w:rsid w:val="001F4FF4"/>
    <w:rsid w:val="001F5924"/>
    <w:rsid w:val="002001AA"/>
    <w:rsid w:val="00200BE9"/>
    <w:rsid w:val="00202F35"/>
    <w:rsid w:val="00204C48"/>
    <w:rsid w:val="00205348"/>
    <w:rsid w:val="00205568"/>
    <w:rsid w:val="00206884"/>
    <w:rsid w:val="002076DB"/>
    <w:rsid w:val="00212B4E"/>
    <w:rsid w:val="002137A2"/>
    <w:rsid w:val="0021406A"/>
    <w:rsid w:val="00216F31"/>
    <w:rsid w:val="0021752E"/>
    <w:rsid w:val="002176F6"/>
    <w:rsid w:val="00222ECC"/>
    <w:rsid w:val="00222F38"/>
    <w:rsid w:val="0022417A"/>
    <w:rsid w:val="0022525C"/>
    <w:rsid w:val="0022580C"/>
    <w:rsid w:val="0022692F"/>
    <w:rsid w:val="00226CF3"/>
    <w:rsid w:val="002309F8"/>
    <w:rsid w:val="00230AD2"/>
    <w:rsid w:val="00245462"/>
    <w:rsid w:val="00247044"/>
    <w:rsid w:val="00250228"/>
    <w:rsid w:val="002518F9"/>
    <w:rsid w:val="00253F5D"/>
    <w:rsid w:val="00253F7E"/>
    <w:rsid w:val="002543EC"/>
    <w:rsid w:val="0025640D"/>
    <w:rsid w:val="002615E5"/>
    <w:rsid w:val="00263D5D"/>
    <w:rsid w:val="002650D2"/>
    <w:rsid w:val="002652CB"/>
    <w:rsid w:val="00265779"/>
    <w:rsid w:val="00270494"/>
    <w:rsid w:val="00272E75"/>
    <w:rsid w:val="00275351"/>
    <w:rsid w:val="0027541C"/>
    <w:rsid w:val="00275F9E"/>
    <w:rsid w:val="00280105"/>
    <w:rsid w:val="002803A8"/>
    <w:rsid w:val="00281E71"/>
    <w:rsid w:val="00285225"/>
    <w:rsid w:val="00285443"/>
    <w:rsid w:val="002933B2"/>
    <w:rsid w:val="00293C1F"/>
    <w:rsid w:val="00293E99"/>
    <w:rsid w:val="0029434D"/>
    <w:rsid w:val="00296512"/>
    <w:rsid w:val="00296BFB"/>
    <w:rsid w:val="00297294"/>
    <w:rsid w:val="002A00E3"/>
    <w:rsid w:val="002A21BD"/>
    <w:rsid w:val="002B1FBD"/>
    <w:rsid w:val="002B2C01"/>
    <w:rsid w:val="002B3E1F"/>
    <w:rsid w:val="002B500D"/>
    <w:rsid w:val="002B6287"/>
    <w:rsid w:val="002B63FD"/>
    <w:rsid w:val="002C0726"/>
    <w:rsid w:val="002C1149"/>
    <w:rsid w:val="002C1DCE"/>
    <w:rsid w:val="002D01CF"/>
    <w:rsid w:val="002D078D"/>
    <w:rsid w:val="002D48DD"/>
    <w:rsid w:val="002D6E40"/>
    <w:rsid w:val="002E1C64"/>
    <w:rsid w:val="002E2B4A"/>
    <w:rsid w:val="002E468C"/>
    <w:rsid w:val="002E6595"/>
    <w:rsid w:val="002F333C"/>
    <w:rsid w:val="002F482E"/>
    <w:rsid w:val="002F5D6D"/>
    <w:rsid w:val="002F6F38"/>
    <w:rsid w:val="002F78FF"/>
    <w:rsid w:val="003001DD"/>
    <w:rsid w:val="003077BB"/>
    <w:rsid w:val="0031179F"/>
    <w:rsid w:val="00312BF4"/>
    <w:rsid w:val="0031425B"/>
    <w:rsid w:val="00315A4C"/>
    <w:rsid w:val="0032156E"/>
    <w:rsid w:val="00323859"/>
    <w:rsid w:val="003321D4"/>
    <w:rsid w:val="00334ADF"/>
    <w:rsid w:val="00334D2E"/>
    <w:rsid w:val="00336766"/>
    <w:rsid w:val="003374C3"/>
    <w:rsid w:val="003422A2"/>
    <w:rsid w:val="0034312A"/>
    <w:rsid w:val="003458DB"/>
    <w:rsid w:val="00346BDD"/>
    <w:rsid w:val="00346BE8"/>
    <w:rsid w:val="00353546"/>
    <w:rsid w:val="00365067"/>
    <w:rsid w:val="00365D13"/>
    <w:rsid w:val="003670F2"/>
    <w:rsid w:val="003707E5"/>
    <w:rsid w:val="003740CD"/>
    <w:rsid w:val="00374661"/>
    <w:rsid w:val="003749FC"/>
    <w:rsid w:val="00374E0B"/>
    <w:rsid w:val="00382135"/>
    <w:rsid w:val="003827D0"/>
    <w:rsid w:val="0038339F"/>
    <w:rsid w:val="00383BDA"/>
    <w:rsid w:val="00386102"/>
    <w:rsid w:val="0038651D"/>
    <w:rsid w:val="00387B55"/>
    <w:rsid w:val="00390362"/>
    <w:rsid w:val="0039739F"/>
    <w:rsid w:val="003A06A7"/>
    <w:rsid w:val="003A1313"/>
    <w:rsid w:val="003A2B75"/>
    <w:rsid w:val="003A5A87"/>
    <w:rsid w:val="003B5441"/>
    <w:rsid w:val="003C0454"/>
    <w:rsid w:val="003D12D5"/>
    <w:rsid w:val="003D2192"/>
    <w:rsid w:val="003E0F84"/>
    <w:rsid w:val="003E11A7"/>
    <w:rsid w:val="003E2102"/>
    <w:rsid w:val="003E6E73"/>
    <w:rsid w:val="003E7601"/>
    <w:rsid w:val="003E79D5"/>
    <w:rsid w:val="003F0D66"/>
    <w:rsid w:val="003F3ED0"/>
    <w:rsid w:val="003F3EEC"/>
    <w:rsid w:val="003F6799"/>
    <w:rsid w:val="003F73D0"/>
    <w:rsid w:val="00403B3F"/>
    <w:rsid w:val="00404DDD"/>
    <w:rsid w:val="00406351"/>
    <w:rsid w:val="00410AD0"/>
    <w:rsid w:val="00417031"/>
    <w:rsid w:val="00417390"/>
    <w:rsid w:val="0041776E"/>
    <w:rsid w:val="00417EF6"/>
    <w:rsid w:val="00422D01"/>
    <w:rsid w:val="0042449C"/>
    <w:rsid w:val="00424F0F"/>
    <w:rsid w:val="004256B1"/>
    <w:rsid w:val="00426F09"/>
    <w:rsid w:val="004277F1"/>
    <w:rsid w:val="00431D60"/>
    <w:rsid w:val="0043289C"/>
    <w:rsid w:val="004403DF"/>
    <w:rsid w:val="00441FF4"/>
    <w:rsid w:val="00442292"/>
    <w:rsid w:val="00444D44"/>
    <w:rsid w:val="00451D38"/>
    <w:rsid w:val="00454B53"/>
    <w:rsid w:val="00457E27"/>
    <w:rsid w:val="004612F8"/>
    <w:rsid w:val="004616E8"/>
    <w:rsid w:val="004677F8"/>
    <w:rsid w:val="00470CA4"/>
    <w:rsid w:val="00471FD9"/>
    <w:rsid w:val="00473DB8"/>
    <w:rsid w:val="0047752F"/>
    <w:rsid w:val="00480A89"/>
    <w:rsid w:val="004812E2"/>
    <w:rsid w:val="00483B52"/>
    <w:rsid w:val="004906E9"/>
    <w:rsid w:val="00491920"/>
    <w:rsid w:val="0049333B"/>
    <w:rsid w:val="004963E7"/>
    <w:rsid w:val="00497DD3"/>
    <w:rsid w:val="004A025F"/>
    <w:rsid w:val="004A1883"/>
    <w:rsid w:val="004A2F88"/>
    <w:rsid w:val="004B12B6"/>
    <w:rsid w:val="004B374E"/>
    <w:rsid w:val="004B3F02"/>
    <w:rsid w:val="004B3F14"/>
    <w:rsid w:val="004B7A52"/>
    <w:rsid w:val="004C4FF4"/>
    <w:rsid w:val="004C6A3C"/>
    <w:rsid w:val="004D6CB3"/>
    <w:rsid w:val="004E1760"/>
    <w:rsid w:val="004E564E"/>
    <w:rsid w:val="004E6FB0"/>
    <w:rsid w:val="004E736C"/>
    <w:rsid w:val="004E7573"/>
    <w:rsid w:val="004F10DB"/>
    <w:rsid w:val="004F2B77"/>
    <w:rsid w:val="004F3A8E"/>
    <w:rsid w:val="004F4A10"/>
    <w:rsid w:val="004F4E77"/>
    <w:rsid w:val="004F5E88"/>
    <w:rsid w:val="004F6CB6"/>
    <w:rsid w:val="004F78EE"/>
    <w:rsid w:val="004F79DF"/>
    <w:rsid w:val="005029EC"/>
    <w:rsid w:val="005038B3"/>
    <w:rsid w:val="005059A5"/>
    <w:rsid w:val="00506C71"/>
    <w:rsid w:val="0050784C"/>
    <w:rsid w:val="00507C7A"/>
    <w:rsid w:val="00510C1F"/>
    <w:rsid w:val="00511204"/>
    <w:rsid w:val="00514107"/>
    <w:rsid w:val="005154CB"/>
    <w:rsid w:val="00526128"/>
    <w:rsid w:val="00530A3C"/>
    <w:rsid w:val="00530A78"/>
    <w:rsid w:val="00535540"/>
    <w:rsid w:val="005372AB"/>
    <w:rsid w:val="00540232"/>
    <w:rsid w:val="00543463"/>
    <w:rsid w:val="00543D6D"/>
    <w:rsid w:val="00545B61"/>
    <w:rsid w:val="00546B34"/>
    <w:rsid w:val="00550755"/>
    <w:rsid w:val="00551EB4"/>
    <w:rsid w:val="00554CEB"/>
    <w:rsid w:val="00562B52"/>
    <w:rsid w:val="00563CB2"/>
    <w:rsid w:val="0056681F"/>
    <w:rsid w:val="0056788D"/>
    <w:rsid w:val="00567EC8"/>
    <w:rsid w:val="0057194A"/>
    <w:rsid w:val="00576447"/>
    <w:rsid w:val="00577002"/>
    <w:rsid w:val="00580C02"/>
    <w:rsid w:val="00581B11"/>
    <w:rsid w:val="00581E67"/>
    <w:rsid w:val="0058339C"/>
    <w:rsid w:val="00583A7D"/>
    <w:rsid w:val="005846AF"/>
    <w:rsid w:val="005857FF"/>
    <w:rsid w:val="00593658"/>
    <w:rsid w:val="00594618"/>
    <w:rsid w:val="00595AE2"/>
    <w:rsid w:val="0059728F"/>
    <w:rsid w:val="00597B55"/>
    <w:rsid w:val="005A1892"/>
    <w:rsid w:val="005A20C9"/>
    <w:rsid w:val="005A385E"/>
    <w:rsid w:val="005B475F"/>
    <w:rsid w:val="005B5E2F"/>
    <w:rsid w:val="005B6E70"/>
    <w:rsid w:val="005C0E3A"/>
    <w:rsid w:val="005C3FB2"/>
    <w:rsid w:val="005C77BC"/>
    <w:rsid w:val="005C7BA2"/>
    <w:rsid w:val="005C7F50"/>
    <w:rsid w:val="005D1209"/>
    <w:rsid w:val="005D4285"/>
    <w:rsid w:val="005D666B"/>
    <w:rsid w:val="005D6790"/>
    <w:rsid w:val="005E1A1D"/>
    <w:rsid w:val="005E7B48"/>
    <w:rsid w:val="005F68FA"/>
    <w:rsid w:val="005F7BB4"/>
    <w:rsid w:val="00601D87"/>
    <w:rsid w:val="00605577"/>
    <w:rsid w:val="00613DBC"/>
    <w:rsid w:val="00614ADA"/>
    <w:rsid w:val="00614BA3"/>
    <w:rsid w:val="006158C2"/>
    <w:rsid w:val="00620CC0"/>
    <w:rsid w:val="006213A1"/>
    <w:rsid w:val="0062495B"/>
    <w:rsid w:val="006306DF"/>
    <w:rsid w:val="00634018"/>
    <w:rsid w:val="00636C98"/>
    <w:rsid w:val="00642EEB"/>
    <w:rsid w:val="0065274A"/>
    <w:rsid w:val="006533E6"/>
    <w:rsid w:val="006551F0"/>
    <w:rsid w:val="006605C5"/>
    <w:rsid w:val="00660EDA"/>
    <w:rsid w:val="00663876"/>
    <w:rsid w:val="00664EB7"/>
    <w:rsid w:val="00665221"/>
    <w:rsid w:val="00675B5A"/>
    <w:rsid w:val="006775F5"/>
    <w:rsid w:val="0068119E"/>
    <w:rsid w:val="00684D5A"/>
    <w:rsid w:val="00685CF4"/>
    <w:rsid w:val="00687A7C"/>
    <w:rsid w:val="00687FB7"/>
    <w:rsid w:val="00687FED"/>
    <w:rsid w:val="00690FFD"/>
    <w:rsid w:val="006926C7"/>
    <w:rsid w:val="006A04E1"/>
    <w:rsid w:val="006A052A"/>
    <w:rsid w:val="006B0A49"/>
    <w:rsid w:val="006B2288"/>
    <w:rsid w:val="006B2E95"/>
    <w:rsid w:val="006B3696"/>
    <w:rsid w:val="006B58B8"/>
    <w:rsid w:val="006B7962"/>
    <w:rsid w:val="006C2FE3"/>
    <w:rsid w:val="006C3725"/>
    <w:rsid w:val="006D01E5"/>
    <w:rsid w:val="006D5B7E"/>
    <w:rsid w:val="006D5F56"/>
    <w:rsid w:val="006D6024"/>
    <w:rsid w:val="006E04AE"/>
    <w:rsid w:val="006E25F6"/>
    <w:rsid w:val="006E2C39"/>
    <w:rsid w:val="006E4A92"/>
    <w:rsid w:val="006E74BC"/>
    <w:rsid w:val="006F3F17"/>
    <w:rsid w:val="006F67E8"/>
    <w:rsid w:val="00700AD1"/>
    <w:rsid w:val="00701834"/>
    <w:rsid w:val="00701DF8"/>
    <w:rsid w:val="00703910"/>
    <w:rsid w:val="00703CE5"/>
    <w:rsid w:val="00704D07"/>
    <w:rsid w:val="00710723"/>
    <w:rsid w:val="0071118F"/>
    <w:rsid w:val="00713DA1"/>
    <w:rsid w:val="00715A07"/>
    <w:rsid w:val="00715F1B"/>
    <w:rsid w:val="007167B7"/>
    <w:rsid w:val="00716D0A"/>
    <w:rsid w:val="0071782C"/>
    <w:rsid w:val="00720C0E"/>
    <w:rsid w:val="0072290C"/>
    <w:rsid w:val="007235A3"/>
    <w:rsid w:val="007355E4"/>
    <w:rsid w:val="007366CC"/>
    <w:rsid w:val="00737753"/>
    <w:rsid w:val="00742F42"/>
    <w:rsid w:val="00743E54"/>
    <w:rsid w:val="00750137"/>
    <w:rsid w:val="00751090"/>
    <w:rsid w:val="007521A4"/>
    <w:rsid w:val="00754706"/>
    <w:rsid w:val="0075630A"/>
    <w:rsid w:val="00760062"/>
    <w:rsid w:val="00760EB4"/>
    <w:rsid w:val="007614EC"/>
    <w:rsid w:val="00762A39"/>
    <w:rsid w:val="00762ED4"/>
    <w:rsid w:val="007653E6"/>
    <w:rsid w:val="00767149"/>
    <w:rsid w:val="007708C3"/>
    <w:rsid w:val="0077498C"/>
    <w:rsid w:val="00775404"/>
    <w:rsid w:val="00775BE8"/>
    <w:rsid w:val="007775D0"/>
    <w:rsid w:val="007777F6"/>
    <w:rsid w:val="007808A8"/>
    <w:rsid w:val="00783064"/>
    <w:rsid w:val="007832A0"/>
    <w:rsid w:val="00785818"/>
    <w:rsid w:val="00791114"/>
    <w:rsid w:val="00796E61"/>
    <w:rsid w:val="007A2822"/>
    <w:rsid w:val="007A44C0"/>
    <w:rsid w:val="007A4AB3"/>
    <w:rsid w:val="007A51BC"/>
    <w:rsid w:val="007A7411"/>
    <w:rsid w:val="007B6947"/>
    <w:rsid w:val="007C67F6"/>
    <w:rsid w:val="007D20B4"/>
    <w:rsid w:val="007D2250"/>
    <w:rsid w:val="007D455C"/>
    <w:rsid w:val="007D608B"/>
    <w:rsid w:val="007D60E4"/>
    <w:rsid w:val="007D69F8"/>
    <w:rsid w:val="007E10D8"/>
    <w:rsid w:val="007E2183"/>
    <w:rsid w:val="007E34B1"/>
    <w:rsid w:val="007E3A35"/>
    <w:rsid w:val="007E7322"/>
    <w:rsid w:val="007E7599"/>
    <w:rsid w:val="007F0C81"/>
    <w:rsid w:val="007F24FC"/>
    <w:rsid w:val="007F4371"/>
    <w:rsid w:val="008073BD"/>
    <w:rsid w:val="008100D4"/>
    <w:rsid w:val="00811C92"/>
    <w:rsid w:val="0081330E"/>
    <w:rsid w:val="00813815"/>
    <w:rsid w:val="0081526A"/>
    <w:rsid w:val="00815B99"/>
    <w:rsid w:val="00815D42"/>
    <w:rsid w:val="0082114D"/>
    <w:rsid w:val="00823F70"/>
    <w:rsid w:val="00824FEE"/>
    <w:rsid w:val="008314AD"/>
    <w:rsid w:val="00831767"/>
    <w:rsid w:val="0083424C"/>
    <w:rsid w:val="00837F2F"/>
    <w:rsid w:val="00843667"/>
    <w:rsid w:val="00844235"/>
    <w:rsid w:val="008445EA"/>
    <w:rsid w:val="00846BD9"/>
    <w:rsid w:val="00847672"/>
    <w:rsid w:val="00855EBE"/>
    <w:rsid w:val="00856AD2"/>
    <w:rsid w:val="00862100"/>
    <w:rsid w:val="00862F69"/>
    <w:rsid w:val="00864A72"/>
    <w:rsid w:val="00866F15"/>
    <w:rsid w:val="00871066"/>
    <w:rsid w:val="00872321"/>
    <w:rsid w:val="00873039"/>
    <w:rsid w:val="00874538"/>
    <w:rsid w:val="008749B9"/>
    <w:rsid w:val="00883E05"/>
    <w:rsid w:val="0088445E"/>
    <w:rsid w:val="008845A3"/>
    <w:rsid w:val="0088463B"/>
    <w:rsid w:val="008864BC"/>
    <w:rsid w:val="0088734C"/>
    <w:rsid w:val="00890565"/>
    <w:rsid w:val="00890BE5"/>
    <w:rsid w:val="00891F7E"/>
    <w:rsid w:val="00893939"/>
    <w:rsid w:val="00894373"/>
    <w:rsid w:val="00896AF9"/>
    <w:rsid w:val="008A1241"/>
    <w:rsid w:val="008A3F6B"/>
    <w:rsid w:val="008A51DA"/>
    <w:rsid w:val="008B0117"/>
    <w:rsid w:val="008B064E"/>
    <w:rsid w:val="008B2CE4"/>
    <w:rsid w:val="008B3489"/>
    <w:rsid w:val="008B4A75"/>
    <w:rsid w:val="008B52D9"/>
    <w:rsid w:val="008B6E74"/>
    <w:rsid w:val="008B712E"/>
    <w:rsid w:val="008B7275"/>
    <w:rsid w:val="008B7332"/>
    <w:rsid w:val="008B76C3"/>
    <w:rsid w:val="008C0EFA"/>
    <w:rsid w:val="008C1104"/>
    <w:rsid w:val="008C267E"/>
    <w:rsid w:val="008C6244"/>
    <w:rsid w:val="008D1BEE"/>
    <w:rsid w:val="008D56FE"/>
    <w:rsid w:val="008D60FD"/>
    <w:rsid w:val="008D6F78"/>
    <w:rsid w:val="008D78A3"/>
    <w:rsid w:val="008E217E"/>
    <w:rsid w:val="008E3D5F"/>
    <w:rsid w:val="008E45D0"/>
    <w:rsid w:val="008E5B3C"/>
    <w:rsid w:val="008F06A6"/>
    <w:rsid w:val="008F2799"/>
    <w:rsid w:val="008F579F"/>
    <w:rsid w:val="008F5F95"/>
    <w:rsid w:val="008F7507"/>
    <w:rsid w:val="00903F18"/>
    <w:rsid w:val="00907718"/>
    <w:rsid w:val="009159F8"/>
    <w:rsid w:val="00917519"/>
    <w:rsid w:val="009179EB"/>
    <w:rsid w:val="00921810"/>
    <w:rsid w:val="00921AAF"/>
    <w:rsid w:val="00921BD3"/>
    <w:rsid w:val="0092632F"/>
    <w:rsid w:val="00926695"/>
    <w:rsid w:val="009273DA"/>
    <w:rsid w:val="00927F7A"/>
    <w:rsid w:val="00931925"/>
    <w:rsid w:val="00934B7B"/>
    <w:rsid w:val="009378D6"/>
    <w:rsid w:val="009424C6"/>
    <w:rsid w:val="00943C69"/>
    <w:rsid w:val="00944372"/>
    <w:rsid w:val="009462D8"/>
    <w:rsid w:val="00946E4C"/>
    <w:rsid w:val="00947121"/>
    <w:rsid w:val="00947265"/>
    <w:rsid w:val="00953500"/>
    <w:rsid w:val="00953F52"/>
    <w:rsid w:val="00954FB7"/>
    <w:rsid w:val="00955675"/>
    <w:rsid w:val="009562D7"/>
    <w:rsid w:val="00956E9C"/>
    <w:rsid w:val="00957F60"/>
    <w:rsid w:val="00962061"/>
    <w:rsid w:val="009620FF"/>
    <w:rsid w:val="00965F00"/>
    <w:rsid w:val="0096779A"/>
    <w:rsid w:val="00967A6A"/>
    <w:rsid w:val="00970192"/>
    <w:rsid w:val="00972D23"/>
    <w:rsid w:val="009740EC"/>
    <w:rsid w:val="00980BE2"/>
    <w:rsid w:val="009813FB"/>
    <w:rsid w:val="00981B52"/>
    <w:rsid w:val="00982B7B"/>
    <w:rsid w:val="0098337F"/>
    <w:rsid w:val="009836FC"/>
    <w:rsid w:val="00984A73"/>
    <w:rsid w:val="00990A2B"/>
    <w:rsid w:val="009913D3"/>
    <w:rsid w:val="009922DF"/>
    <w:rsid w:val="00996395"/>
    <w:rsid w:val="009A1444"/>
    <w:rsid w:val="009A2D1D"/>
    <w:rsid w:val="009A3ECA"/>
    <w:rsid w:val="009A51F4"/>
    <w:rsid w:val="009A5E4E"/>
    <w:rsid w:val="009A7933"/>
    <w:rsid w:val="009B2662"/>
    <w:rsid w:val="009B615A"/>
    <w:rsid w:val="009B686D"/>
    <w:rsid w:val="009C036C"/>
    <w:rsid w:val="009C15B6"/>
    <w:rsid w:val="009C27FC"/>
    <w:rsid w:val="009C2BDC"/>
    <w:rsid w:val="009C3F25"/>
    <w:rsid w:val="009D051B"/>
    <w:rsid w:val="009D16C9"/>
    <w:rsid w:val="009D6503"/>
    <w:rsid w:val="009E1B98"/>
    <w:rsid w:val="009E2818"/>
    <w:rsid w:val="009F05E4"/>
    <w:rsid w:val="009F0B68"/>
    <w:rsid w:val="009F117B"/>
    <w:rsid w:val="009F1604"/>
    <w:rsid w:val="009F2B2B"/>
    <w:rsid w:val="009F3DF2"/>
    <w:rsid w:val="009F4FCA"/>
    <w:rsid w:val="00A001D7"/>
    <w:rsid w:val="00A03C09"/>
    <w:rsid w:val="00A04CC1"/>
    <w:rsid w:val="00A04E82"/>
    <w:rsid w:val="00A05630"/>
    <w:rsid w:val="00A069C7"/>
    <w:rsid w:val="00A10304"/>
    <w:rsid w:val="00A13F7F"/>
    <w:rsid w:val="00A1734D"/>
    <w:rsid w:val="00A2234F"/>
    <w:rsid w:val="00A22D21"/>
    <w:rsid w:val="00A31FB1"/>
    <w:rsid w:val="00A410A7"/>
    <w:rsid w:val="00A412D0"/>
    <w:rsid w:val="00A446A3"/>
    <w:rsid w:val="00A50204"/>
    <w:rsid w:val="00A50A1D"/>
    <w:rsid w:val="00A520E9"/>
    <w:rsid w:val="00A52B68"/>
    <w:rsid w:val="00A626A1"/>
    <w:rsid w:val="00A62B25"/>
    <w:rsid w:val="00A63668"/>
    <w:rsid w:val="00A636CC"/>
    <w:rsid w:val="00A6398D"/>
    <w:rsid w:val="00A6543F"/>
    <w:rsid w:val="00A65945"/>
    <w:rsid w:val="00A706AC"/>
    <w:rsid w:val="00A72BB5"/>
    <w:rsid w:val="00A75697"/>
    <w:rsid w:val="00A772E5"/>
    <w:rsid w:val="00A8111E"/>
    <w:rsid w:val="00A85C9F"/>
    <w:rsid w:val="00A86129"/>
    <w:rsid w:val="00A8662F"/>
    <w:rsid w:val="00A92DC8"/>
    <w:rsid w:val="00A93BE6"/>
    <w:rsid w:val="00A967E9"/>
    <w:rsid w:val="00AA1C78"/>
    <w:rsid w:val="00AA490C"/>
    <w:rsid w:val="00AA5F97"/>
    <w:rsid w:val="00AA6000"/>
    <w:rsid w:val="00AA62D9"/>
    <w:rsid w:val="00AA6A68"/>
    <w:rsid w:val="00AB0C7D"/>
    <w:rsid w:val="00AB38BE"/>
    <w:rsid w:val="00AB44E0"/>
    <w:rsid w:val="00AB4BAE"/>
    <w:rsid w:val="00AC2132"/>
    <w:rsid w:val="00AC78C5"/>
    <w:rsid w:val="00AC7AFC"/>
    <w:rsid w:val="00AD054C"/>
    <w:rsid w:val="00AD137A"/>
    <w:rsid w:val="00AD328E"/>
    <w:rsid w:val="00AD531D"/>
    <w:rsid w:val="00AD5BDF"/>
    <w:rsid w:val="00AE6003"/>
    <w:rsid w:val="00AE7F6A"/>
    <w:rsid w:val="00AF215A"/>
    <w:rsid w:val="00AF22AE"/>
    <w:rsid w:val="00AF556C"/>
    <w:rsid w:val="00AF5D15"/>
    <w:rsid w:val="00AF6F1F"/>
    <w:rsid w:val="00B00F3B"/>
    <w:rsid w:val="00B044E3"/>
    <w:rsid w:val="00B05BE1"/>
    <w:rsid w:val="00B12EE9"/>
    <w:rsid w:val="00B137E1"/>
    <w:rsid w:val="00B139CD"/>
    <w:rsid w:val="00B14E66"/>
    <w:rsid w:val="00B14FD8"/>
    <w:rsid w:val="00B16052"/>
    <w:rsid w:val="00B17C65"/>
    <w:rsid w:val="00B17F08"/>
    <w:rsid w:val="00B2133A"/>
    <w:rsid w:val="00B21C4C"/>
    <w:rsid w:val="00B253EF"/>
    <w:rsid w:val="00B25B0E"/>
    <w:rsid w:val="00B25E96"/>
    <w:rsid w:val="00B26016"/>
    <w:rsid w:val="00B30D2A"/>
    <w:rsid w:val="00B33B67"/>
    <w:rsid w:val="00B37B08"/>
    <w:rsid w:val="00B4030D"/>
    <w:rsid w:val="00B43591"/>
    <w:rsid w:val="00B53110"/>
    <w:rsid w:val="00B5542B"/>
    <w:rsid w:val="00B60624"/>
    <w:rsid w:val="00B610B5"/>
    <w:rsid w:val="00B61C62"/>
    <w:rsid w:val="00B637F8"/>
    <w:rsid w:val="00B65CC0"/>
    <w:rsid w:val="00B65CD5"/>
    <w:rsid w:val="00B664B7"/>
    <w:rsid w:val="00B70948"/>
    <w:rsid w:val="00B71985"/>
    <w:rsid w:val="00B72C75"/>
    <w:rsid w:val="00B75CB9"/>
    <w:rsid w:val="00B8248D"/>
    <w:rsid w:val="00B83D69"/>
    <w:rsid w:val="00B92B8A"/>
    <w:rsid w:val="00B95041"/>
    <w:rsid w:val="00B96431"/>
    <w:rsid w:val="00BA3FEF"/>
    <w:rsid w:val="00BA4440"/>
    <w:rsid w:val="00BA47BA"/>
    <w:rsid w:val="00BA6446"/>
    <w:rsid w:val="00BB0DCE"/>
    <w:rsid w:val="00BB189D"/>
    <w:rsid w:val="00BB4210"/>
    <w:rsid w:val="00BB525C"/>
    <w:rsid w:val="00BB5A66"/>
    <w:rsid w:val="00BB6E75"/>
    <w:rsid w:val="00BC7EC9"/>
    <w:rsid w:val="00BD4FC2"/>
    <w:rsid w:val="00BD6163"/>
    <w:rsid w:val="00BD72FC"/>
    <w:rsid w:val="00BE17DD"/>
    <w:rsid w:val="00BE1F5B"/>
    <w:rsid w:val="00BE3CD4"/>
    <w:rsid w:val="00BE4546"/>
    <w:rsid w:val="00BE46EB"/>
    <w:rsid w:val="00BE5C6C"/>
    <w:rsid w:val="00BE63B7"/>
    <w:rsid w:val="00C045E9"/>
    <w:rsid w:val="00C0476D"/>
    <w:rsid w:val="00C0657B"/>
    <w:rsid w:val="00C066FF"/>
    <w:rsid w:val="00C13B98"/>
    <w:rsid w:val="00C1448A"/>
    <w:rsid w:val="00C14576"/>
    <w:rsid w:val="00C16BB8"/>
    <w:rsid w:val="00C2101B"/>
    <w:rsid w:val="00C21EAC"/>
    <w:rsid w:val="00C22265"/>
    <w:rsid w:val="00C22DC6"/>
    <w:rsid w:val="00C2569F"/>
    <w:rsid w:val="00C26121"/>
    <w:rsid w:val="00C27574"/>
    <w:rsid w:val="00C3266E"/>
    <w:rsid w:val="00C32B27"/>
    <w:rsid w:val="00C35051"/>
    <w:rsid w:val="00C35F32"/>
    <w:rsid w:val="00C36D88"/>
    <w:rsid w:val="00C37656"/>
    <w:rsid w:val="00C377DE"/>
    <w:rsid w:val="00C37D9A"/>
    <w:rsid w:val="00C4009F"/>
    <w:rsid w:val="00C435FD"/>
    <w:rsid w:val="00C44272"/>
    <w:rsid w:val="00C453A0"/>
    <w:rsid w:val="00C46E3F"/>
    <w:rsid w:val="00C46EC9"/>
    <w:rsid w:val="00C5009C"/>
    <w:rsid w:val="00C515E5"/>
    <w:rsid w:val="00C51DE3"/>
    <w:rsid w:val="00C5208D"/>
    <w:rsid w:val="00C532DE"/>
    <w:rsid w:val="00C54479"/>
    <w:rsid w:val="00C547F3"/>
    <w:rsid w:val="00C572BD"/>
    <w:rsid w:val="00C6152A"/>
    <w:rsid w:val="00C619C9"/>
    <w:rsid w:val="00C661A9"/>
    <w:rsid w:val="00C704E0"/>
    <w:rsid w:val="00C71888"/>
    <w:rsid w:val="00C75750"/>
    <w:rsid w:val="00C81478"/>
    <w:rsid w:val="00C826DE"/>
    <w:rsid w:val="00C84EE9"/>
    <w:rsid w:val="00C871E5"/>
    <w:rsid w:val="00C874E8"/>
    <w:rsid w:val="00C96293"/>
    <w:rsid w:val="00CA216D"/>
    <w:rsid w:val="00CA5A45"/>
    <w:rsid w:val="00CA6E7B"/>
    <w:rsid w:val="00CB0B40"/>
    <w:rsid w:val="00CB351E"/>
    <w:rsid w:val="00CB355E"/>
    <w:rsid w:val="00CB4712"/>
    <w:rsid w:val="00CC3D4B"/>
    <w:rsid w:val="00CC4CD1"/>
    <w:rsid w:val="00CC5AC0"/>
    <w:rsid w:val="00CD0968"/>
    <w:rsid w:val="00CD4AB6"/>
    <w:rsid w:val="00CD648E"/>
    <w:rsid w:val="00CE156E"/>
    <w:rsid w:val="00CE3CF1"/>
    <w:rsid w:val="00CF1EA8"/>
    <w:rsid w:val="00CF3F87"/>
    <w:rsid w:val="00D00B29"/>
    <w:rsid w:val="00D01ADA"/>
    <w:rsid w:val="00D02187"/>
    <w:rsid w:val="00D023A6"/>
    <w:rsid w:val="00D04DAC"/>
    <w:rsid w:val="00D051B0"/>
    <w:rsid w:val="00D055D7"/>
    <w:rsid w:val="00D0663B"/>
    <w:rsid w:val="00D10D55"/>
    <w:rsid w:val="00D11B4D"/>
    <w:rsid w:val="00D1377A"/>
    <w:rsid w:val="00D15751"/>
    <w:rsid w:val="00D15F9E"/>
    <w:rsid w:val="00D17B5B"/>
    <w:rsid w:val="00D201D8"/>
    <w:rsid w:val="00D21EB9"/>
    <w:rsid w:val="00D240CE"/>
    <w:rsid w:val="00D3261E"/>
    <w:rsid w:val="00D333A2"/>
    <w:rsid w:val="00D33FCC"/>
    <w:rsid w:val="00D34479"/>
    <w:rsid w:val="00D42625"/>
    <w:rsid w:val="00D515BC"/>
    <w:rsid w:val="00D5211B"/>
    <w:rsid w:val="00D53D87"/>
    <w:rsid w:val="00D53FCF"/>
    <w:rsid w:val="00D55B46"/>
    <w:rsid w:val="00D60421"/>
    <w:rsid w:val="00D62F47"/>
    <w:rsid w:val="00D6574D"/>
    <w:rsid w:val="00D66554"/>
    <w:rsid w:val="00D66CF5"/>
    <w:rsid w:val="00D67F47"/>
    <w:rsid w:val="00D71329"/>
    <w:rsid w:val="00D71694"/>
    <w:rsid w:val="00D7183F"/>
    <w:rsid w:val="00D72BA1"/>
    <w:rsid w:val="00D80485"/>
    <w:rsid w:val="00D81105"/>
    <w:rsid w:val="00D85002"/>
    <w:rsid w:val="00D867B8"/>
    <w:rsid w:val="00D86E84"/>
    <w:rsid w:val="00D91C49"/>
    <w:rsid w:val="00D92028"/>
    <w:rsid w:val="00D95132"/>
    <w:rsid w:val="00D9674C"/>
    <w:rsid w:val="00DA19CA"/>
    <w:rsid w:val="00DA1B55"/>
    <w:rsid w:val="00DA1E4B"/>
    <w:rsid w:val="00DA42EA"/>
    <w:rsid w:val="00DB2ADD"/>
    <w:rsid w:val="00DB3AA8"/>
    <w:rsid w:val="00DB5F8C"/>
    <w:rsid w:val="00DC03AF"/>
    <w:rsid w:val="00DC0877"/>
    <w:rsid w:val="00DC153E"/>
    <w:rsid w:val="00DC1C0A"/>
    <w:rsid w:val="00DC4062"/>
    <w:rsid w:val="00DC4922"/>
    <w:rsid w:val="00DC4BCA"/>
    <w:rsid w:val="00DC54B5"/>
    <w:rsid w:val="00DC578C"/>
    <w:rsid w:val="00DC721E"/>
    <w:rsid w:val="00DD09CC"/>
    <w:rsid w:val="00DD1347"/>
    <w:rsid w:val="00DE02D6"/>
    <w:rsid w:val="00DE1138"/>
    <w:rsid w:val="00DE4403"/>
    <w:rsid w:val="00DE744B"/>
    <w:rsid w:val="00DF2C37"/>
    <w:rsid w:val="00DF5916"/>
    <w:rsid w:val="00DF5C58"/>
    <w:rsid w:val="00DF7DB2"/>
    <w:rsid w:val="00E01D6A"/>
    <w:rsid w:val="00E01DAD"/>
    <w:rsid w:val="00E045F4"/>
    <w:rsid w:val="00E046AB"/>
    <w:rsid w:val="00E06AFC"/>
    <w:rsid w:val="00E07C28"/>
    <w:rsid w:val="00E1567E"/>
    <w:rsid w:val="00E1674F"/>
    <w:rsid w:val="00E17289"/>
    <w:rsid w:val="00E3181C"/>
    <w:rsid w:val="00E33378"/>
    <w:rsid w:val="00E36CDD"/>
    <w:rsid w:val="00E36E7C"/>
    <w:rsid w:val="00E42383"/>
    <w:rsid w:val="00E43F6A"/>
    <w:rsid w:val="00E4543B"/>
    <w:rsid w:val="00E47B5F"/>
    <w:rsid w:val="00E50D1B"/>
    <w:rsid w:val="00E51987"/>
    <w:rsid w:val="00E523DB"/>
    <w:rsid w:val="00E547A8"/>
    <w:rsid w:val="00E56268"/>
    <w:rsid w:val="00E60D0A"/>
    <w:rsid w:val="00E62E0B"/>
    <w:rsid w:val="00E64EE9"/>
    <w:rsid w:val="00E67089"/>
    <w:rsid w:val="00E70023"/>
    <w:rsid w:val="00E701E3"/>
    <w:rsid w:val="00E712EE"/>
    <w:rsid w:val="00E75298"/>
    <w:rsid w:val="00E76005"/>
    <w:rsid w:val="00E76438"/>
    <w:rsid w:val="00E76830"/>
    <w:rsid w:val="00E77060"/>
    <w:rsid w:val="00E7774B"/>
    <w:rsid w:val="00E77E46"/>
    <w:rsid w:val="00E8343B"/>
    <w:rsid w:val="00E872C6"/>
    <w:rsid w:val="00E900A9"/>
    <w:rsid w:val="00E9147E"/>
    <w:rsid w:val="00E93A97"/>
    <w:rsid w:val="00E940D5"/>
    <w:rsid w:val="00E94367"/>
    <w:rsid w:val="00E96DF5"/>
    <w:rsid w:val="00E96F15"/>
    <w:rsid w:val="00EA10A2"/>
    <w:rsid w:val="00EA13BA"/>
    <w:rsid w:val="00EA28F6"/>
    <w:rsid w:val="00EA602B"/>
    <w:rsid w:val="00EA6BCE"/>
    <w:rsid w:val="00EA763F"/>
    <w:rsid w:val="00EB130E"/>
    <w:rsid w:val="00EB2704"/>
    <w:rsid w:val="00EB4880"/>
    <w:rsid w:val="00EB5A43"/>
    <w:rsid w:val="00EC2C84"/>
    <w:rsid w:val="00EC38C9"/>
    <w:rsid w:val="00EC60BC"/>
    <w:rsid w:val="00EC75CD"/>
    <w:rsid w:val="00EC7603"/>
    <w:rsid w:val="00EC7B48"/>
    <w:rsid w:val="00ED3465"/>
    <w:rsid w:val="00ED37B9"/>
    <w:rsid w:val="00ED4A58"/>
    <w:rsid w:val="00EE6F17"/>
    <w:rsid w:val="00EF03E9"/>
    <w:rsid w:val="00EF2794"/>
    <w:rsid w:val="00EF2975"/>
    <w:rsid w:val="00EF3243"/>
    <w:rsid w:val="00EF6918"/>
    <w:rsid w:val="00F04982"/>
    <w:rsid w:val="00F05A48"/>
    <w:rsid w:val="00F05AC0"/>
    <w:rsid w:val="00F0647D"/>
    <w:rsid w:val="00F074BC"/>
    <w:rsid w:val="00F116F6"/>
    <w:rsid w:val="00F155FF"/>
    <w:rsid w:val="00F15B4E"/>
    <w:rsid w:val="00F15CB4"/>
    <w:rsid w:val="00F223DB"/>
    <w:rsid w:val="00F2381A"/>
    <w:rsid w:val="00F24D16"/>
    <w:rsid w:val="00F26332"/>
    <w:rsid w:val="00F31BDA"/>
    <w:rsid w:val="00F32A2C"/>
    <w:rsid w:val="00F33485"/>
    <w:rsid w:val="00F3508B"/>
    <w:rsid w:val="00F354E0"/>
    <w:rsid w:val="00F3597B"/>
    <w:rsid w:val="00F360DE"/>
    <w:rsid w:val="00F36C30"/>
    <w:rsid w:val="00F37A22"/>
    <w:rsid w:val="00F41B3E"/>
    <w:rsid w:val="00F41D63"/>
    <w:rsid w:val="00F4404F"/>
    <w:rsid w:val="00F46AFC"/>
    <w:rsid w:val="00F51112"/>
    <w:rsid w:val="00F52B57"/>
    <w:rsid w:val="00F57ED8"/>
    <w:rsid w:val="00F60EAF"/>
    <w:rsid w:val="00F64D83"/>
    <w:rsid w:val="00F7305E"/>
    <w:rsid w:val="00F730EA"/>
    <w:rsid w:val="00F73428"/>
    <w:rsid w:val="00F743B8"/>
    <w:rsid w:val="00F75501"/>
    <w:rsid w:val="00F77EDF"/>
    <w:rsid w:val="00F82AD6"/>
    <w:rsid w:val="00F83A77"/>
    <w:rsid w:val="00F841B0"/>
    <w:rsid w:val="00F84F39"/>
    <w:rsid w:val="00F87531"/>
    <w:rsid w:val="00F906B2"/>
    <w:rsid w:val="00F91968"/>
    <w:rsid w:val="00F922A1"/>
    <w:rsid w:val="00FA029E"/>
    <w:rsid w:val="00FA3D10"/>
    <w:rsid w:val="00FA40FE"/>
    <w:rsid w:val="00FA4534"/>
    <w:rsid w:val="00FA7567"/>
    <w:rsid w:val="00FB0E8A"/>
    <w:rsid w:val="00FB1B7D"/>
    <w:rsid w:val="00FB4BC1"/>
    <w:rsid w:val="00FB4E34"/>
    <w:rsid w:val="00FB52C9"/>
    <w:rsid w:val="00FB75D4"/>
    <w:rsid w:val="00FB7B53"/>
    <w:rsid w:val="00FC0FE5"/>
    <w:rsid w:val="00FC10C3"/>
    <w:rsid w:val="00FD0F1C"/>
    <w:rsid w:val="00FD1B11"/>
    <w:rsid w:val="00FD27FB"/>
    <w:rsid w:val="00FD2A85"/>
    <w:rsid w:val="00FD378C"/>
    <w:rsid w:val="00FD391A"/>
    <w:rsid w:val="00FD3C6F"/>
    <w:rsid w:val="00FD7137"/>
    <w:rsid w:val="00FE17D2"/>
    <w:rsid w:val="00FE208B"/>
    <w:rsid w:val="00FE3DF3"/>
    <w:rsid w:val="00FE5310"/>
    <w:rsid w:val="00FE63D4"/>
    <w:rsid w:val="00FF011A"/>
    <w:rsid w:val="00FF03D0"/>
    <w:rsid w:val="00FF0990"/>
    <w:rsid w:val="00FF0F7B"/>
    <w:rsid w:val="00FF200B"/>
    <w:rsid w:val="00FF2640"/>
    <w:rsid w:val="00FF2852"/>
    <w:rsid w:val="00FF3469"/>
    <w:rsid w:val="00FF3C87"/>
    <w:rsid w:val="00FF78F5"/>
    <w:rsid w:val="00FF797E"/>
    <w:rsid w:val="04362F09"/>
    <w:rsid w:val="04DC3515"/>
    <w:rsid w:val="058F56DD"/>
    <w:rsid w:val="09F748DD"/>
    <w:rsid w:val="0AB70070"/>
    <w:rsid w:val="0AC922B4"/>
    <w:rsid w:val="0DBF5E95"/>
    <w:rsid w:val="0E1C7929"/>
    <w:rsid w:val="107C4D95"/>
    <w:rsid w:val="189F2AAE"/>
    <w:rsid w:val="1D651DFB"/>
    <w:rsid w:val="1D8636F3"/>
    <w:rsid w:val="1F654203"/>
    <w:rsid w:val="242654EF"/>
    <w:rsid w:val="2B37170B"/>
    <w:rsid w:val="2E944D36"/>
    <w:rsid w:val="32EA6326"/>
    <w:rsid w:val="374C2416"/>
    <w:rsid w:val="37EE7C62"/>
    <w:rsid w:val="398E5E74"/>
    <w:rsid w:val="49A27C72"/>
    <w:rsid w:val="4B745C51"/>
    <w:rsid w:val="4BDA0933"/>
    <w:rsid w:val="4CEA1034"/>
    <w:rsid w:val="552D203D"/>
    <w:rsid w:val="5FEC793A"/>
    <w:rsid w:val="60CD0B4B"/>
    <w:rsid w:val="63617259"/>
    <w:rsid w:val="65260321"/>
    <w:rsid w:val="67CC7867"/>
    <w:rsid w:val="68291535"/>
    <w:rsid w:val="6EDB5E70"/>
    <w:rsid w:val="6F721210"/>
    <w:rsid w:val="70933570"/>
    <w:rsid w:val="70CF4B99"/>
    <w:rsid w:val="71ED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0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62061"/>
    <w:pPr>
      <w:keepNext/>
      <w:widowControl/>
      <w:numPr>
        <w:numId w:val="1"/>
      </w:numPr>
      <w:spacing w:after="240" w:line="360" w:lineRule="auto"/>
      <w:jc w:val="center"/>
      <w:outlineLvl w:val="0"/>
    </w:pPr>
    <w:rPr>
      <w:rFonts w:ascii="Arial" w:eastAsia="SC STKaiti" w:hAnsi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6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6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9620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qFormat/>
    <w:rsid w:val="009620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6206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6206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620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962061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962061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962061"/>
    <w:rPr>
      <w:rFonts w:ascii="Arial" w:eastAsia="SC STKaiti" w:hAnsi="Arial"/>
      <w:b/>
      <w:bCs/>
      <w:kern w:val="32"/>
      <w:sz w:val="28"/>
      <w:szCs w:val="32"/>
    </w:rPr>
  </w:style>
  <w:style w:type="paragraph" w:styleId="a7">
    <w:name w:val="Balloon Text"/>
    <w:basedOn w:val="a"/>
    <w:link w:val="Char1"/>
    <w:rsid w:val="000556F2"/>
    <w:rPr>
      <w:sz w:val="18"/>
      <w:szCs w:val="18"/>
    </w:rPr>
  </w:style>
  <w:style w:type="character" w:customStyle="1" w:styleId="Char1">
    <w:name w:val="批注框文本 Char"/>
    <w:basedOn w:val="a0"/>
    <w:link w:val="a7"/>
    <w:rsid w:val="000556F2"/>
    <w:rPr>
      <w:kern w:val="2"/>
      <w:sz w:val="18"/>
      <w:szCs w:val="18"/>
    </w:rPr>
  </w:style>
  <w:style w:type="character" w:styleId="a8">
    <w:name w:val="annotation reference"/>
    <w:basedOn w:val="a0"/>
    <w:rsid w:val="00660EDA"/>
    <w:rPr>
      <w:sz w:val="21"/>
      <w:szCs w:val="21"/>
    </w:rPr>
  </w:style>
  <w:style w:type="paragraph" w:styleId="a9">
    <w:name w:val="annotation text"/>
    <w:basedOn w:val="a"/>
    <w:link w:val="Char2"/>
    <w:rsid w:val="00660EDA"/>
    <w:pPr>
      <w:jc w:val="left"/>
    </w:pPr>
  </w:style>
  <w:style w:type="character" w:customStyle="1" w:styleId="Char2">
    <w:name w:val="批注文字 Char"/>
    <w:basedOn w:val="a0"/>
    <w:link w:val="a9"/>
    <w:rsid w:val="00660EDA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660EDA"/>
    <w:rPr>
      <w:b/>
      <w:bCs/>
    </w:rPr>
  </w:style>
  <w:style w:type="character" w:customStyle="1" w:styleId="Char3">
    <w:name w:val="批注主题 Char"/>
    <w:basedOn w:val="Char2"/>
    <w:link w:val="aa"/>
    <w:rsid w:val="00660EDA"/>
    <w:rPr>
      <w:b/>
      <w:bCs/>
    </w:rPr>
  </w:style>
  <w:style w:type="paragraph" w:styleId="ab">
    <w:name w:val="Revision"/>
    <w:hidden/>
    <w:uiPriority w:val="99"/>
    <w:unhideWhenUsed/>
    <w:rsid w:val="00660E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6729C-9586-4C54-B76E-ACAFD880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763</Words>
  <Characters>4352</Characters>
  <Application>Microsoft Office Word</Application>
  <DocSecurity>0</DocSecurity>
  <Lines>36</Lines>
  <Paragraphs>10</Paragraphs>
  <ScaleCrop>false</ScaleCrop>
  <Company>WwW.YlmF.CoM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000157/1157                           证券简称：中联重科</dc:title>
  <dc:creator>范炜</dc:creator>
  <cp:lastModifiedBy>zoomlion</cp:lastModifiedBy>
  <cp:revision>7</cp:revision>
  <cp:lastPrinted>2018-09-04T02:33:00Z</cp:lastPrinted>
  <dcterms:created xsi:type="dcterms:W3CDTF">2020-08-24T08:34:00Z</dcterms:created>
  <dcterms:modified xsi:type="dcterms:W3CDTF">2020-08-24T09:09:00Z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