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10" w:rsidRPr="000E05E7" w:rsidRDefault="00EE1C10" w:rsidP="00E055AC">
      <w:pPr>
        <w:spacing w:beforeLines="50" w:before="156" w:afterLines="50" w:after="156" w:line="400" w:lineRule="exact"/>
        <w:rPr>
          <w:rFonts w:ascii="楷体_GB2312" w:eastAsia="楷体_GB2312" w:hAnsi="Arial"/>
          <w:bCs/>
          <w:iCs/>
          <w:color w:val="000000"/>
          <w:szCs w:val="21"/>
        </w:rPr>
      </w:pPr>
      <w:r w:rsidRPr="000E05E7">
        <w:rPr>
          <w:rFonts w:ascii="楷体_GB2312" w:eastAsia="楷体_GB2312" w:hAnsi="Arial" w:hint="eastAsia"/>
          <w:bCs/>
          <w:iCs/>
          <w:color w:val="000000"/>
          <w:szCs w:val="21"/>
        </w:rPr>
        <w:t>证券代码：000001                                  证券简称：</w:t>
      </w:r>
      <w:r w:rsidR="00D96584" w:rsidRPr="000E05E7">
        <w:rPr>
          <w:rFonts w:ascii="楷体_GB2312" w:eastAsia="楷体_GB2312" w:hAnsi="Arial" w:hint="eastAsia"/>
          <w:bCs/>
          <w:iCs/>
          <w:color w:val="000000"/>
          <w:szCs w:val="21"/>
        </w:rPr>
        <w:t>平安银行</w:t>
      </w:r>
    </w:p>
    <w:p w:rsidR="00EE1C10" w:rsidRPr="000E05E7" w:rsidRDefault="003317E5" w:rsidP="00E055AC">
      <w:pPr>
        <w:spacing w:beforeLines="50" w:before="156" w:afterLines="50" w:after="156" w:line="400" w:lineRule="exact"/>
        <w:jc w:val="center"/>
        <w:rPr>
          <w:rFonts w:ascii="楷体_GB2312" w:eastAsia="楷体_GB2312" w:hAnsi="Arial"/>
          <w:b/>
          <w:bCs/>
          <w:iCs/>
          <w:color w:val="000000"/>
          <w:szCs w:val="21"/>
        </w:rPr>
      </w:pPr>
      <w:r w:rsidRPr="000E05E7">
        <w:rPr>
          <w:rFonts w:ascii="楷体_GB2312" w:eastAsia="楷体_GB2312" w:hAnsi="Arial" w:hint="eastAsia"/>
          <w:b/>
          <w:bCs/>
          <w:iCs/>
          <w:color w:val="000000"/>
          <w:sz w:val="24"/>
          <w:szCs w:val="21"/>
        </w:rPr>
        <w:t>平安</w:t>
      </w:r>
      <w:r w:rsidR="00EE1C10" w:rsidRPr="000E05E7">
        <w:rPr>
          <w:rFonts w:ascii="楷体_GB2312" w:eastAsia="楷体_GB2312" w:hAnsi="Arial" w:hint="eastAsia"/>
          <w:b/>
          <w:bCs/>
          <w:iCs/>
          <w:color w:val="000000"/>
          <w:sz w:val="24"/>
          <w:szCs w:val="21"/>
        </w:rPr>
        <w:t>银行股份有限公司投资者关系活动记录表</w:t>
      </w:r>
    </w:p>
    <w:p w:rsidR="00EE1C10" w:rsidRPr="000E05E7" w:rsidRDefault="00EE1C10" w:rsidP="00EE1C10">
      <w:pPr>
        <w:spacing w:line="400" w:lineRule="exact"/>
        <w:rPr>
          <w:rFonts w:ascii="楷体_GB2312" w:eastAsia="楷体_GB2312" w:hAnsi="Arial"/>
          <w:bCs/>
          <w:iCs/>
          <w:color w:val="000000"/>
          <w:szCs w:val="21"/>
        </w:rPr>
      </w:pPr>
      <w:r w:rsidRPr="000E05E7">
        <w:rPr>
          <w:rFonts w:ascii="楷体_GB2312" w:eastAsia="楷体_GB2312" w:hAnsi="Arial" w:hint="eastAsia"/>
          <w:bCs/>
          <w:iCs/>
          <w:color w:val="000000"/>
          <w:szCs w:val="21"/>
        </w:rPr>
        <w:t xml:space="preserve">                                                         编号：</w:t>
      </w:r>
    </w:p>
    <w:tbl>
      <w:tblPr>
        <w:tblStyle w:val="a3"/>
        <w:tblW w:w="8931" w:type="dxa"/>
        <w:tblInd w:w="-176" w:type="dxa"/>
        <w:tblLook w:val="01E0" w:firstRow="1" w:lastRow="1" w:firstColumn="1" w:lastColumn="1" w:noHBand="0" w:noVBand="0"/>
      </w:tblPr>
      <w:tblGrid>
        <w:gridCol w:w="2552"/>
        <w:gridCol w:w="6379"/>
      </w:tblGrid>
      <w:tr w:rsidR="00EE1C10" w:rsidRPr="000E05E7" w:rsidTr="005B3BAE">
        <w:tc>
          <w:tcPr>
            <w:tcW w:w="2552" w:type="dxa"/>
            <w:tcBorders>
              <w:top w:val="single" w:sz="4" w:space="0" w:color="auto"/>
              <w:left w:val="single" w:sz="4" w:space="0" w:color="auto"/>
              <w:bottom w:val="single" w:sz="4" w:space="0" w:color="auto"/>
              <w:right w:val="single" w:sz="4" w:space="0" w:color="auto"/>
            </w:tcBorders>
            <w:vAlign w:val="center"/>
          </w:tcPr>
          <w:p w:rsidR="00EE1C10" w:rsidRPr="000E05E7" w:rsidRDefault="00EE1C10" w:rsidP="005B3BAE">
            <w:pPr>
              <w:spacing w:line="480" w:lineRule="atLeast"/>
              <w:jc w:val="center"/>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t>投资者关系活动类别</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0E05E7" w:rsidRDefault="0006657F" w:rsidP="005B3BAE">
            <w:pPr>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t>□</w:t>
            </w:r>
            <w:r w:rsidR="00EE1C10" w:rsidRPr="000E05E7">
              <w:rPr>
                <w:rFonts w:ascii="楷体_GB2312" w:eastAsia="楷体_GB2312" w:hAnsi="Arial" w:hint="eastAsia"/>
                <w:sz w:val="21"/>
                <w:szCs w:val="21"/>
              </w:rPr>
              <w:t xml:space="preserve">特定对象调研        </w:t>
            </w:r>
            <w:r w:rsidR="00EE1C10" w:rsidRPr="000E05E7">
              <w:rPr>
                <w:rFonts w:ascii="楷体_GB2312" w:eastAsia="楷体_GB2312" w:hAnsi="Arial" w:hint="eastAsia"/>
                <w:bCs/>
                <w:iCs/>
                <w:color w:val="000000"/>
                <w:sz w:val="21"/>
                <w:szCs w:val="21"/>
              </w:rPr>
              <w:t>□</w:t>
            </w:r>
            <w:r w:rsidR="00EE1C10" w:rsidRPr="000E05E7">
              <w:rPr>
                <w:rFonts w:ascii="楷体_GB2312" w:eastAsia="楷体_GB2312" w:hAnsi="Arial" w:hint="eastAsia"/>
                <w:sz w:val="21"/>
                <w:szCs w:val="21"/>
              </w:rPr>
              <w:t>分析师会议</w:t>
            </w:r>
          </w:p>
          <w:p w:rsidR="00EE1C10" w:rsidRPr="000E05E7" w:rsidRDefault="00EE1C10" w:rsidP="005B3BAE">
            <w:pPr>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t>□</w:t>
            </w:r>
            <w:r w:rsidRPr="000E05E7">
              <w:rPr>
                <w:rFonts w:ascii="楷体_GB2312" w:eastAsia="楷体_GB2312" w:hAnsi="Arial" w:hint="eastAsia"/>
                <w:sz w:val="21"/>
                <w:szCs w:val="21"/>
              </w:rPr>
              <w:t xml:space="preserve">媒体采访            </w:t>
            </w:r>
            <w:r w:rsidR="0006657F" w:rsidRPr="000E05E7">
              <w:rPr>
                <w:rFonts w:ascii="楷体_GB2312" w:eastAsia="楷体_GB2312" w:hAnsi="Arial" w:hint="eastAsia"/>
                <w:bCs/>
                <w:iCs/>
                <w:color w:val="000000"/>
                <w:sz w:val="21"/>
                <w:szCs w:val="21"/>
              </w:rPr>
              <w:sym w:font="Wingdings" w:char="F0FE"/>
            </w:r>
            <w:r w:rsidRPr="000E05E7">
              <w:rPr>
                <w:rFonts w:ascii="楷体_GB2312" w:eastAsia="楷体_GB2312" w:hAnsi="Arial" w:hint="eastAsia"/>
                <w:sz w:val="21"/>
                <w:szCs w:val="21"/>
              </w:rPr>
              <w:t>业绩说明会</w:t>
            </w:r>
          </w:p>
          <w:p w:rsidR="00EE1C10" w:rsidRPr="000E05E7" w:rsidRDefault="00EE1C10" w:rsidP="005B3BAE">
            <w:pPr>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t>□</w:t>
            </w:r>
            <w:r w:rsidRPr="000E05E7">
              <w:rPr>
                <w:rFonts w:ascii="楷体_GB2312" w:eastAsia="楷体_GB2312" w:hAnsi="Arial" w:hint="eastAsia"/>
                <w:sz w:val="21"/>
                <w:szCs w:val="21"/>
              </w:rPr>
              <w:t xml:space="preserve">新闻发布会          </w:t>
            </w:r>
            <w:r w:rsidR="00DB35CA" w:rsidRPr="000E05E7">
              <w:rPr>
                <w:rFonts w:ascii="楷体_GB2312" w:eastAsia="楷体_GB2312" w:hAnsi="Arial" w:hint="eastAsia"/>
                <w:bCs/>
                <w:iCs/>
                <w:color w:val="000000"/>
                <w:sz w:val="21"/>
                <w:szCs w:val="21"/>
              </w:rPr>
              <w:t>□</w:t>
            </w:r>
            <w:r w:rsidRPr="000E05E7">
              <w:rPr>
                <w:rFonts w:ascii="楷体_GB2312" w:eastAsia="楷体_GB2312" w:hAnsi="Arial" w:hint="eastAsia"/>
                <w:sz w:val="21"/>
                <w:szCs w:val="21"/>
              </w:rPr>
              <w:t>路演活动</w:t>
            </w:r>
          </w:p>
          <w:p w:rsidR="00EE1C10" w:rsidRPr="000E05E7" w:rsidRDefault="00EE1C10" w:rsidP="005B3BAE">
            <w:pPr>
              <w:tabs>
                <w:tab w:val="left" w:pos="3045"/>
                <w:tab w:val="center" w:pos="3199"/>
              </w:tabs>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t>□</w:t>
            </w:r>
            <w:r w:rsidRPr="000E05E7">
              <w:rPr>
                <w:rFonts w:ascii="楷体_GB2312" w:eastAsia="楷体_GB2312" w:hAnsi="Arial" w:hint="eastAsia"/>
                <w:sz w:val="21"/>
                <w:szCs w:val="21"/>
              </w:rPr>
              <w:t>现场参观</w:t>
            </w:r>
          </w:p>
          <w:p w:rsidR="00EE1C10" w:rsidRPr="000E05E7" w:rsidRDefault="00F0207E" w:rsidP="005B3BAE">
            <w:pPr>
              <w:tabs>
                <w:tab w:val="center" w:pos="3199"/>
              </w:tabs>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t>□</w:t>
            </w:r>
            <w:r w:rsidR="00EE1C10" w:rsidRPr="000E05E7">
              <w:rPr>
                <w:rFonts w:ascii="楷体_GB2312" w:eastAsia="楷体_GB2312" w:hAnsi="Arial" w:hint="eastAsia"/>
                <w:sz w:val="21"/>
                <w:szCs w:val="21"/>
              </w:rPr>
              <w:t>其他</w:t>
            </w:r>
            <w:r w:rsidR="002515C0" w:rsidRPr="000E05E7">
              <w:rPr>
                <w:rFonts w:ascii="楷体_GB2312" w:eastAsia="楷体_GB2312" w:hAnsi="Arial" w:hint="eastAsia"/>
                <w:sz w:val="21"/>
                <w:szCs w:val="21"/>
              </w:rPr>
              <w:t xml:space="preserve"> （投行会议）</w:t>
            </w:r>
          </w:p>
        </w:tc>
      </w:tr>
      <w:tr w:rsidR="00EE1C10" w:rsidRPr="000E05E7" w:rsidTr="005B3BAE">
        <w:trPr>
          <w:trHeight w:val="447"/>
        </w:trPr>
        <w:tc>
          <w:tcPr>
            <w:tcW w:w="2552" w:type="dxa"/>
            <w:tcBorders>
              <w:top w:val="single" w:sz="4" w:space="0" w:color="auto"/>
              <w:left w:val="single" w:sz="4" w:space="0" w:color="auto"/>
              <w:bottom w:val="single" w:sz="4" w:space="0" w:color="auto"/>
              <w:right w:val="single" w:sz="4" w:space="0" w:color="auto"/>
            </w:tcBorders>
            <w:vAlign w:val="center"/>
          </w:tcPr>
          <w:p w:rsidR="00EE1C10" w:rsidRPr="000E05E7" w:rsidRDefault="00EE1C10" w:rsidP="005B3BAE">
            <w:pPr>
              <w:jc w:val="center"/>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t>参与单位名称及人员姓名</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0E05E7" w:rsidRDefault="0006657F" w:rsidP="00853994">
            <w:pPr>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t>2020年一季度业绩电话会</w:t>
            </w:r>
          </w:p>
        </w:tc>
      </w:tr>
      <w:tr w:rsidR="00EE1C10" w:rsidRPr="000E05E7" w:rsidTr="002721F3">
        <w:trPr>
          <w:trHeight w:val="410"/>
        </w:trPr>
        <w:tc>
          <w:tcPr>
            <w:tcW w:w="2552" w:type="dxa"/>
            <w:tcBorders>
              <w:top w:val="single" w:sz="4" w:space="0" w:color="auto"/>
              <w:left w:val="single" w:sz="4" w:space="0" w:color="auto"/>
              <w:bottom w:val="single" w:sz="4" w:space="0" w:color="auto"/>
              <w:right w:val="single" w:sz="4" w:space="0" w:color="auto"/>
            </w:tcBorders>
            <w:vAlign w:val="center"/>
          </w:tcPr>
          <w:p w:rsidR="00EE1C10" w:rsidRPr="000E05E7" w:rsidRDefault="00EE1C10" w:rsidP="005B3BAE">
            <w:pPr>
              <w:jc w:val="center"/>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t>时间</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0E05E7" w:rsidRDefault="0043629D" w:rsidP="00080A64">
            <w:pPr>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t>20</w:t>
            </w:r>
            <w:r w:rsidR="00F0207E" w:rsidRPr="000E05E7">
              <w:rPr>
                <w:rFonts w:ascii="楷体_GB2312" w:eastAsia="楷体_GB2312" w:hAnsi="Arial" w:hint="eastAsia"/>
                <w:bCs/>
                <w:iCs/>
                <w:color w:val="000000"/>
                <w:sz w:val="21"/>
                <w:szCs w:val="21"/>
              </w:rPr>
              <w:t>20</w:t>
            </w:r>
            <w:r w:rsidRPr="000E05E7">
              <w:rPr>
                <w:rFonts w:ascii="楷体_GB2312" w:eastAsia="楷体_GB2312" w:hAnsi="Arial" w:hint="eastAsia"/>
                <w:bCs/>
                <w:iCs/>
                <w:color w:val="000000"/>
                <w:sz w:val="21"/>
                <w:szCs w:val="21"/>
              </w:rPr>
              <w:t>年</w:t>
            </w:r>
            <w:r w:rsidR="00080A64" w:rsidRPr="000E05E7">
              <w:rPr>
                <w:rFonts w:ascii="楷体_GB2312" w:eastAsia="楷体_GB2312" w:hAnsi="Arial" w:hint="eastAsia"/>
                <w:bCs/>
                <w:iCs/>
                <w:color w:val="000000"/>
                <w:sz w:val="21"/>
                <w:szCs w:val="21"/>
              </w:rPr>
              <w:t>4</w:t>
            </w:r>
            <w:r w:rsidRPr="000E05E7">
              <w:rPr>
                <w:rFonts w:ascii="楷体_GB2312" w:eastAsia="楷体_GB2312" w:hAnsi="Arial" w:hint="eastAsia"/>
                <w:bCs/>
                <w:iCs/>
                <w:color w:val="000000"/>
                <w:sz w:val="21"/>
                <w:szCs w:val="21"/>
              </w:rPr>
              <w:t>月</w:t>
            </w:r>
            <w:r w:rsidR="0006657F" w:rsidRPr="000E05E7">
              <w:rPr>
                <w:rFonts w:ascii="楷体_GB2312" w:eastAsia="楷体_GB2312" w:hAnsi="Arial" w:hint="eastAsia"/>
                <w:bCs/>
                <w:iCs/>
                <w:color w:val="000000"/>
                <w:sz w:val="21"/>
                <w:szCs w:val="21"/>
              </w:rPr>
              <w:t>2</w:t>
            </w:r>
            <w:r w:rsidR="00080A64" w:rsidRPr="000E05E7">
              <w:rPr>
                <w:rFonts w:ascii="楷体_GB2312" w:eastAsia="楷体_GB2312" w:hAnsi="Arial" w:hint="eastAsia"/>
                <w:bCs/>
                <w:iCs/>
                <w:color w:val="000000"/>
                <w:sz w:val="21"/>
                <w:szCs w:val="21"/>
              </w:rPr>
              <w:t>1</w:t>
            </w:r>
            <w:r w:rsidRPr="000E05E7">
              <w:rPr>
                <w:rFonts w:ascii="楷体_GB2312" w:eastAsia="楷体_GB2312" w:hAnsi="Arial" w:hint="eastAsia"/>
                <w:bCs/>
                <w:iCs/>
                <w:color w:val="000000"/>
                <w:sz w:val="21"/>
                <w:szCs w:val="21"/>
              </w:rPr>
              <w:t>日</w:t>
            </w:r>
          </w:p>
        </w:tc>
      </w:tr>
      <w:tr w:rsidR="00EE1C10" w:rsidRPr="000E05E7" w:rsidTr="002721F3">
        <w:trPr>
          <w:trHeight w:val="359"/>
        </w:trPr>
        <w:tc>
          <w:tcPr>
            <w:tcW w:w="2552" w:type="dxa"/>
            <w:tcBorders>
              <w:top w:val="single" w:sz="4" w:space="0" w:color="auto"/>
              <w:left w:val="single" w:sz="4" w:space="0" w:color="auto"/>
              <w:bottom w:val="single" w:sz="4" w:space="0" w:color="auto"/>
              <w:right w:val="single" w:sz="4" w:space="0" w:color="auto"/>
            </w:tcBorders>
            <w:vAlign w:val="center"/>
          </w:tcPr>
          <w:p w:rsidR="00EE1C10" w:rsidRPr="000E05E7" w:rsidRDefault="00EE1C10" w:rsidP="005B3BAE">
            <w:pPr>
              <w:jc w:val="center"/>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t>地点</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0E05E7" w:rsidRDefault="00F0207E" w:rsidP="005B3BAE">
            <w:pPr>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t>深圳</w:t>
            </w:r>
          </w:p>
        </w:tc>
      </w:tr>
      <w:tr w:rsidR="00EE1C10" w:rsidRPr="000E05E7" w:rsidTr="002721F3">
        <w:trPr>
          <w:trHeight w:val="421"/>
        </w:trPr>
        <w:tc>
          <w:tcPr>
            <w:tcW w:w="2552" w:type="dxa"/>
            <w:tcBorders>
              <w:top w:val="single" w:sz="4" w:space="0" w:color="auto"/>
              <w:left w:val="single" w:sz="4" w:space="0" w:color="auto"/>
              <w:bottom w:val="single" w:sz="4" w:space="0" w:color="auto"/>
              <w:right w:val="single" w:sz="4" w:space="0" w:color="auto"/>
            </w:tcBorders>
            <w:vAlign w:val="center"/>
          </w:tcPr>
          <w:p w:rsidR="00EE1C10" w:rsidRPr="000E05E7" w:rsidRDefault="00EE1C10" w:rsidP="005B3BAE">
            <w:pPr>
              <w:jc w:val="center"/>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t>上市公司接待人员姓名</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0E05E7" w:rsidRDefault="00E97341" w:rsidP="00A1521F">
            <w:pPr>
              <w:jc w:val="left"/>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t>项有志副行长</w:t>
            </w:r>
            <w:r w:rsidR="00ED2A52" w:rsidRPr="000E05E7">
              <w:rPr>
                <w:rFonts w:ascii="楷体_GB2312" w:eastAsia="楷体_GB2312" w:hAnsi="Arial" w:hint="eastAsia"/>
                <w:bCs/>
                <w:iCs/>
                <w:color w:val="000000"/>
                <w:sz w:val="21"/>
                <w:szCs w:val="21"/>
              </w:rPr>
              <w:t>、</w:t>
            </w:r>
            <w:r w:rsidR="0006657F" w:rsidRPr="000E05E7">
              <w:rPr>
                <w:rFonts w:ascii="楷体_GB2312" w:eastAsia="楷体_GB2312" w:hAnsi="Arial" w:hint="eastAsia"/>
                <w:bCs/>
                <w:iCs/>
                <w:color w:val="000000"/>
                <w:sz w:val="21"/>
                <w:szCs w:val="21"/>
              </w:rPr>
              <w:t>周强董秘、</w:t>
            </w:r>
            <w:r w:rsidRPr="000E05E7">
              <w:rPr>
                <w:rFonts w:ascii="楷体_GB2312" w:eastAsia="楷体_GB2312" w:hAnsi="Arial" w:hint="eastAsia"/>
                <w:bCs/>
                <w:iCs/>
                <w:color w:val="000000"/>
                <w:sz w:val="21"/>
                <w:szCs w:val="21"/>
              </w:rPr>
              <w:t>成建新总监</w:t>
            </w:r>
            <w:r w:rsidR="00ED2A52" w:rsidRPr="000E05E7">
              <w:rPr>
                <w:rFonts w:ascii="楷体_GB2312" w:eastAsia="楷体_GB2312" w:hAnsi="Arial" w:hint="eastAsia"/>
                <w:bCs/>
                <w:iCs/>
                <w:color w:val="000000"/>
                <w:sz w:val="21"/>
                <w:szCs w:val="21"/>
              </w:rPr>
              <w:t>、</w:t>
            </w:r>
            <w:r w:rsidR="0006657F" w:rsidRPr="000E05E7">
              <w:rPr>
                <w:rFonts w:ascii="楷体_GB2312" w:eastAsia="楷体_GB2312" w:hAnsi="Arial" w:hint="eastAsia"/>
                <w:bCs/>
                <w:iCs/>
                <w:color w:val="000000"/>
                <w:sz w:val="21"/>
                <w:szCs w:val="21"/>
              </w:rPr>
              <w:t>张慎总监</w:t>
            </w:r>
          </w:p>
        </w:tc>
      </w:tr>
      <w:tr w:rsidR="00EE1C10" w:rsidRPr="000E05E7" w:rsidTr="005B3BAE">
        <w:tc>
          <w:tcPr>
            <w:tcW w:w="2552" w:type="dxa"/>
            <w:tcBorders>
              <w:top w:val="single" w:sz="4" w:space="0" w:color="auto"/>
              <w:left w:val="single" w:sz="4" w:space="0" w:color="auto"/>
              <w:bottom w:val="single" w:sz="4" w:space="0" w:color="auto"/>
              <w:right w:val="single" w:sz="4" w:space="0" w:color="auto"/>
            </w:tcBorders>
            <w:vAlign w:val="center"/>
          </w:tcPr>
          <w:p w:rsidR="00EE1C10" w:rsidRPr="000E05E7" w:rsidRDefault="00EE1C10" w:rsidP="005B3BAE">
            <w:pPr>
              <w:jc w:val="center"/>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t>投资者关系活动主要内容介绍</w:t>
            </w:r>
          </w:p>
          <w:p w:rsidR="00EE1C10" w:rsidRPr="000E05E7" w:rsidRDefault="00EE1C10" w:rsidP="005B3BAE">
            <w:pPr>
              <w:spacing w:line="480" w:lineRule="atLeast"/>
              <w:jc w:val="center"/>
              <w:rPr>
                <w:rFonts w:ascii="楷体_GB2312" w:eastAsia="楷体_GB2312" w:hAnsi="Arial"/>
                <w:bCs/>
                <w:iCs/>
                <w:color w:val="000000"/>
                <w:sz w:val="21"/>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3F144D" w:rsidRPr="000E05E7" w:rsidRDefault="00EE1C10" w:rsidP="00C03E1A">
            <w:pPr>
              <w:snapToGrid w:val="0"/>
              <w:spacing w:afterLines="20" w:after="62"/>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t>介绍公司发展战略、经营业绩，回答投资者提问</w:t>
            </w:r>
          </w:p>
          <w:p w:rsidR="00CC12EA" w:rsidRPr="000E05E7" w:rsidRDefault="00CC12EA" w:rsidP="00C03E1A">
            <w:pPr>
              <w:adjustRightInd w:val="0"/>
              <w:snapToGrid w:val="0"/>
              <w:spacing w:afterLines="20" w:after="62"/>
              <w:rPr>
                <w:rFonts w:ascii="楷体_GB2312" w:eastAsia="楷体_GB2312" w:hAnsi="华文细黑"/>
                <w:b/>
                <w:sz w:val="21"/>
                <w:szCs w:val="21"/>
              </w:rPr>
            </w:pPr>
          </w:p>
          <w:p w:rsidR="00AE02C7" w:rsidRPr="000E05E7" w:rsidRDefault="008633E9" w:rsidP="00AE02C7">
            <w:pPr>
              <w:pStyle w:val="30"/>
              <w:numPr>
                <w:ilvl w:val="0"/>
                <w:numId w:val="33"/>
              </w:numPr>
              <w:spacing w:beforeLines="0" w:before="0"/>
              <w:outlineLvl w:val="2"/>
              <w:rPr>
                <w:rFonts w:ascii="楷体_GB2312" w:eastAsia="楷体_GB2312" w:hAnsi="华文细黑"/>
                <w:sz w:val="21"/>
              </w:rPr>
            </w:pPr>
            <w:r w:rsidRPr="000E05E7">
              <w:rPr>
                <w:rFonts w:ascii="楷体_GB2312" w:eastAsia="楷体_GB2312" w:hAnsi="华文细黑" w:hint="eastAsia"/>
                <w:sz w:val="21"/>
              </w:rPr>
              <w:t>平安银行</w:t>
            </w:r>
            <w:r w:rsidR="007E3D85">
              <w:rPr>
                <w:rFonts w:ascii="楷体_GB2312" w:eastAsia="楷体_GB2312" w:hAnsi="华文细黑" w:hint="eastAsia"/>
                <w:sz w:val="21"/>
              </w:rPr>
              <w:t>营收、利润</w:t>
            </w:r>
            <w:r w:rsidR="00AE02C7" w:rsidRPr="000E05E7">
              <w:rPr>
                <w:rFonts w:ascii="楷体_GB2312" w:eastAsia="楷体_GB2312" w:hAnsi="华文细黑" w:hint="eastAsia"/>
                <w:sz w:val="21"/>
              </w:rPr>
              <w:t>情况？</w:t>
            </w:r>
          </w:p>
          <w:p w:rsidR="00AE02C7" w:rsidRPr="000E05E7" w:rsidRDefault="00AE02C7" w:rsidP="00AE02C7">
            <w:pPr>
              <w:adjustRightInd w:val="0"/>
              <w:snapToGrid w:val="0"/>
              <w:spacing w:afterLines="20" w:after="62"/>
              <w:ind w:firstLineChars="200" w:firstLine="420"/>
              <w:rPr>
                <w:rFonts w:ascii="楷体_GB2312" w:eastAsia="楷体_GB2312" w:hAnsi="华文细黑"/>
                <w:sz w:val="21"/>
                <w:szCs w:val="21"/>
              </w:rPr>
            </w:pPr>
            <w:r w:rsidRPr="000E05E7">
              <w:rPr>
                <w:rFonts w:ascii="楷体_GB2312" w:eastAsia="楷体_GB2312" w:hAnsi="华文细黑" w:hint="eastAsia"/>
                <w:sz w:val="21"/>
                <w:szCs w:val="21"/>
              </w:rPr>
              <w:t>一季度，</w:t>
            </w:r>
            <w:r w:rsidR="000D607F">
              <w:rPr>
                <w:rFonts w:ascii="楷体_GB2312" w:eastAsia="楷体_GB2312" w:hAnsi="华文细黑" w:hint="eastAsia"/>
                <w:sz w:val="21"/>
                <w:szCs w:val="21"/>
              </w:rPr>
              <w:t>本行</w:t>
            </w:r>
            <w:r w:rsidRPr="000E05E7">
              <w:rPr>
                <w:rFonts w:ascii="楷体_GB2312" w:eastAsia="楷体_GB2312" w:hAnsi="华文细黑" w:hint="eastAsia"/>
                <w:sz w:val="21"/>
                <w:szCs w:val="21"/>
              </w:rPr>
              <w:t>一手“抓抗疫”，一手“促生产”，全面启动数字化经营及线上化运营，业务得到快速恢复，实现营业收入379.26亿元，同比增长16.8%；净利润85.48亿元，同比增长14.8%，盈利能力保持稳定。</w:t>
            </w:r>
          </w:p>
          <w:p w:rsidR="00F46360" w:rsidRPr="000E05E7" w:rsidRDefault="00F46360" w:rsidP="00F730BE">
            <w:pPr>
              <w:snapToGrid w:val="0"/>
              <w:spacing w:afterLines="20" w:after="62"/>
              <w:rPr>
                <w:rFonts w:ascii="楷体_GB2312" w:eastAsia="楷体_GB2312" w:hAnsi="华文细黑"/>
                <w:szCs w:val="21"/>
              </w:rPr>
            </w:pPr>
          </w:p>
          <w:p w:rsidR="001C3AC1" w:rsidRPr="000E05E7" w:rsidRDefault="000E05E7" w:rsidP="001C3AC1">
            <w:pPr>
              <w:pStyle w:val="30"/>
              <w:numPr>
                <w:ilvl w:val="0"/>
                <w:numId w:val="33"/>
              </w:numPr>
              <w:spacing w:beforeLines="0" w:before="0"/>
              <w:outlineLvl w:val="2"/>
              <w:rPr>
                <w:rFonts w:ascii="楷体_GB2312" w:eastAsia="楷体_GB2312" w:hAnsi="华文细黑"/>
                <w:sz w:val="21"/>
              </w:rPr>
            </w:pPr>
            <w:r w:rsidRPr="000E05E7">
              <w:rPr>
                <w:rFonts w:ascii="楷体_GB2312" w:eastAsia="楷体_GB2312" w:hAnsi="华文细黑" w:hint="eastAsia"/>
                <w:sz w:val="21"/>
              </w:rPr>
              <w:t>平安银行零售战略转型已有三年，接下来如何调整</w:t>
            </w:r>
            <w:r w:rsidR="001C3AC1" w:rsidRPr="000E05E7">
              <w:rPr>
                <w:rFonts w:ascii="楷体_GB2312" w:eastAsia="楷体_GB2312" w:hAnsi="华文细黑" w:hint="eastAsia"/>
                <w:sz w:val="21"/>
              </w:rPr>
              <w:t>？</w:t>
            </w:r>
          </w:p>
          <w:p w:rsidR="001C3AC1" w:rsidRPr="000E05E7" w:rsidRDefault="001C3AC1" w:rsidP="001C3AC1">
            <w:pPr>
              <w:snapToGrid w:val="0"/>
              <w:spacing w:afterLines="20" w:after="62"/>
              <w:ind w:firstLineChars="200" w:firstLine="400"/>
              <w:rPr>
                <w:rFonts w:ascii="楷体_GB2312" w:eastAsia="楷体_GB2312" w:hAnsi="华文细黑"/>
                <w:szCs w:val="21"/>
              </w:rPr>
            </w:pPr>
            <w:r w:rsidRPr="000E05E7">
              <w:rPr>
                <w:rFonts w:ascii="楷体_GB2312" w:eastAsia="楷体_GB2312" w:hAnsi="华文细黑" w:hint="eastAsia"/>
                <w:szCs w:val="21"/>
              </w:rPr>
              <w:t>2020</w:t>
            </w:r>
            <w:r w:rsidR="000E05E7" w:rsidRPr="000E05E7">
              <w:rPr>
                <w:rFonts w:ascii="楷体_GB2312" w:eastAsia="楷体_GB2312" w:hAnsi="华文细黑" w:hint="eastAsia"/>
                <w:szCs w:val="21"/>
              </w:rPr>
              <w:t>年是本行新三年战略的</w:t>
            </w:r>
            <w:r w:rsidRPr="000E05E7">
              <w:rPr>
                <w:rFonts w:ascii="楷体_GB2312" w:eastAsia="楷体_GB2312" w:hAnsi="华文细黑" w:hint="eastAsia"/>
                <w:szCs w:val="21"/>
              </w:rPr>
              <w:t>起步之年，本行始终以打造“中国最卓越、全球领先的智能化零售银行”为战略目标，继续坚持“科技引领、零售突破、对公做精”十二字策略方针不动摇，并在此基础上，全面升级了新三年战略，推动发展迈向新台阶。</w:t>
            </w:r>
          </w:p>
          <w:p w:rsidR="001C3AC1" w:rsidRPr="000E05E7" w:rsidRDefault="001C3AC1" w:rsidP="000D607F">
            <w:pPr>
              <w:snapToGrid w:val="0"/>
              <w:spacing w:afterLines="20" w:after="62"/>
              <w:ind w:firstLineChars="200" w:firstLine="400"/>
              <w:rPr>
                <w:rFonts w:ascii="楷体_GB2312" w:eastAsia="楷体_GB2312" w:hAnsi="华文细黑"/>
                <w:szCs w:val="21"/>
              </w:rPr>
            </w:pPr>
            <w:r w:rsidRPr="000E05E7">
              <w:rPr>
                <w:rFonts w:ascii="楷体_GB2312" w:eastAsia="楷体_GB2312" w:hAnsi="华文细黑" w:hint="eastAsia"/>
                <w:szCs w:val="21"/>
              </w:rPr>
              <w:t>始终坚持“三不变”，即坚持零售转型方向不变，坚持“综合金融、科技赋能”两大核心优势不变，坚持均衡、协同发展思路不变；着力打造“数字银行、生态银行、平台银行”三张名片：全面构建零售业务、对公业务、资金同业业务“3+2+1”经营策略。</w:t>
            </w:r>
          </w:p>
          <w:p w:rsidR="001C3AC1" w:rsidRPr="000E05E7" w:rsidRDefault="001C3AC1" w:rsidP="00F730BE">
            <w:pPr>
              <w:snapToGrid w:val="0"/>
              <w:spacing w:afterLines="20" w:after="62"/>
              <w:rPr>
                <w:rFonts w:ascii="楷体_GB2312" w:eastAsia="楷体_GB2312" w:hAnsi="华文细黑"/>
                <w:szCs w:val="21"/>
              </w:rPr>
            </w:pPr>
          </w:p>
          <w:p w:rsidR="00AE02C7" w:rsidRPr="000E05E7" w:rsidRDefault="00AE02C7" w:rsidP="00AE02C7">
            <w:pPr>
              <w:pStyle w:val="30"/>
              <w:numPr>
                <w:ilvl w:val="0"/>
                <w:numId w:val="33"/>
              </w:numPr>
              <w:spacing w:beforeLines="0" w:before="0"/>
              <w:outlineLvl w:val="2"/>
              <w:rPr>
                <w:rFonts w:ascii="楷体_GB2312" w:eastAsia="楷体_GB2312" w:hAnsi="华文细黑"/>
              </w:rPr>
            </w:pPr>
            <w:r w:rsidRPr="000E05E7">
              <w:rPr>
                <w:rFonts w:ascii="楷体_GB2312" w:eastAsia="楷体_GB2312" w:hAnsi="华文细黑" w:hint="eastAsia"/>
                <w:sz w:val="21"/>
              </w:rPr>
              <w:t>非息收入增长情况？</w:t>
            </w:r>
          </w:p>
          <w:p w:rsidR="00AE02C7" w:rsidRPr="000E05E7" w:rsidRDefault="00AE02C7" w:rsidP="000D607F">
            <w:pPr>
              <w:snapToGrid w:val="0"/>
              <w:spacing w:afterLines="20" w:after="62"/>
              <w:ind w:firstLineChars="200" w:firstLine="400"/>
              <w:rPr>
                <w:rFonts w:ascii="楷体_GB2312" w:eastAsia="楷体_GB2312" w:hAnsi="华文细黑"/>
                <w:szCs w:val="21"/>
              </w:rPr>
            </w:pPr>
            <w:r w:rsidRPr="000E05E7">
              <w:rPr>
                <w:rFonts w:ascii="楷体_GB2312" w:eastAsia="楷体_GB2312" w:hAnsi="华文细黑" w:hint="eastAsia"/>
                <w:szCs w:val="21"/>
              </w:rPr>
              <w:t>一季度，本行实现非利息净收入131.56亿元，同比增加14.54亿元、增长12.4%，占营业收入的比例为34.7%。主要因一季度货币政策维持宽松，本行紧握市场交易机会并适度加大债券持仓，导致投资收益同比增加12.31亿元、增长47.9%。未来零售手续费、对公做精战略及资金交易业务变革升级将持续为为全行非息收入增长提供动力。</w:t>
            </w:r>
          </w:p>
          <w:p w:rsidR="00AE02C7" w:rsidRPr="000E05E7" w:rsidRDefault="00AE02C7" w:rsidP="00AE02C7">
            <w:pPr>
              <w:snapToGrid w:val="0"/>
              <w:spacing w:afterLines="20" w:after="62"/>
              <w:rPr>
                <w:rFonts w:ascii="楷体_GB2312" w:eastAsia="楷体_GB2312" w:hAnsi="华文细黑"/>
                <w:szCs w:val="21"/>
              </w:rPr>
            </w:pPr>
          </w:p>
          <w:p w:rsidR="00AE02C7" w:rsidRPr="000E05E7" w:rsidRDefault="007E3D85" w:rsidP="00AE02C7">
            <w:pPr>
              <w:pStyle w:val="30"/>
              <w:numPr>
                <w:ilvl w:val="0"/>
                <w:numId w:val="33"/>
              </w:numPr>
              <w:spacing w:beforeLines="0" w:before="0"/>
              <w:outlineLvl w:val="2"/>
              <w:rPr>
                <w:rFonts w:ascii="楷体_GB2312" w:eastAsia="楷体_GB2312" w:hAnsi="华文细黑"/>
                <w:sz w:val="21"/>
              </w:rPr>
            </w:pPr>
            <w:r>
              <w:rPr>
                <w:rFonts w:ascii="楷体_GB2312" w:eastAsia="楷体_GB2312" w:hAnsi="华文细黑" w:hint="eastAsia"/>
                <w:sz w:val="21"/>
              </w:rPr>
              <w:t>成本收入比有一定程度的下降，主要原因</w:t>
            </w:r>
            <w:r w:rsidR="00AE02C7" w:rsidRPr="000E05E7">
              <w:rPr>
                <w:rFonts w:ascii="楷体_GB2312" w:eastAsia="楷体_GB2312" w:hAnsi="华文细黑" w:hint="eastAsia"/>
                <w:sz w:val="21"/>
              </w:rPr>
              <w:t>？</w:t>
            </w:r>
          </w:p>
          <w:p w:rsidR="00AE02C7" w:rsidRPr="000E05E7" w:rsidRDefault="00AE02C7" w:rsidP="00AE02C7">
            <w:pPr>
              <w:snapToGrid w:val="0"/>
              <w:spacing w:afterLines="20" w:after="62"/>
              <w:ind w:firstLineChars="200" w:firstLine="400"/>
              <w:rPr>
                <w:rFonts w:ascii="楷体_GB2312" w:eastAsia="楷体_GB2312" w:hAnsi="华文细黑"/>
                <w:szCs w:val="21"/>
              </w:rPr>
            </w:pPr>
            <w:r w:rsidRPr="000E05E7">
              <w:rPr>
                <w:rFonts w:ascii="楷体_GB2312" w:eastAsia="楷体_GB2312" w:hAnsi="华文细黑" w:hint="eastAsia"/>
                <w:szCs w:val="21"/>
              </w:rPr>
              <w:t>一季度，本行成本收入比27.94%，同比下降1.68个百分点。主要原因是，一方面科技成果落地带来的产能及效率提升；另一方面，疫情期间费用投放进度有所放缓。</w:t>
            </w:r>
          </w:p>
          <w:p w:rsidR="00F730BE" w:rsidRPr="000E05E7" w:rsidRDefault="00F730BE" w:rsidP="00AE02C7">
            <w:pPr>
              <w:snapToGrid w:val="0"/>
              <w:spacing w:afterLines="20" w:after="62"/>
              <w:rPr>
                <w:rFonts w:ascii="楷体_GB2312" w:eastAsia="楷体_GB2312" w:hAnsi="华文细黑"/>
                <w:szCs w:val="21"/>
              </w:rPr>
            </w:pPr>
          </w:p>
          <w:p w:rsidR="001C3AC1" w:rsidRPr="000E05E7" w:rsidRDefault="007E3D85" w:rsidP="001C3AC1">
            <w:pPr>
              <w:pStyle w:val="30"/>
              <w:numPr>
                <w:ilvl w:val="0"/>
                <w:numId w:val="33"/>
              </w:numPr>
              <w:spacing w:beforeLines="0" w:before="0"/>
              <w:outlineLvl w:val="2"/>
              <w:rPr>
                <w:rFonts w:ascii="楷体_GB2312" w:eastAsia="楷体_GB2312" w:hAnsi="华文细黑"/>
                <w:sz w:val="21"/>
              </w:rPr>
            </w:pPr>
            <w:r>
              <w:rPr>
                <w:rFonts w:ascii="楷体_GB2312" w:eastAsia="楷体_GB2312" w:hAnsi="华文细黑" w:hint="eastAsia"/>
                <w:sz w:val="21"/>
              </w:rPr>
              <w:t>拨备覆盖率情况</w:t>
            </w:r>
            <w:r w:rsidR="001C3AC1" w:rsidRPr="000E05E7">
              <w:rPr>
                <w:rFonts w:ascii="楷体_GB2312" w:eastAsia="楷体_GB2312" w:hAnsi="华文细黑" w:hint="eastAsia"/>
                <w:sz w:val="21"/>
              </w:rPr>
              <w:t>？</w:t>
            </w:r>
          </w:p>
          <w:p w:rsidR="001C3AC1" w:rsidRPr="000E05E7" w:rsidRDefault="00B24B6B" w:rsidP="001C3AC1">
            <w:pPr>
              <w:snapToGrid w:val="0"/>
              <w:spacing w:afterLines="20" w:after="62"/>
              <w:ind w:firstLineChars="200" w:firstLine="400"/>
              <w:rPr>
                <w:rFonts w:ascii="楷体_GB2312" w:eastAsia="楷体_GB2312" w:hAnsi="华文细黑"/>
                <w:szCs w:val="21"/>
              </w:rPr>
            </w:pPr>
            <w:r>
              <w:rPr>
                <w:rFonts w:ascii="楷体_GB2312" w:eastAsia="楷体_GB2312" w:hAnsi="华文细黑" w:hint="eastAsia"/>
                <w:szCs w:val="21"/>
              </w:rPr>
              <w:t>一季度</w:t>
            </w:r>
            <w:r w:rsidR="000D607F">
              <w:rPr>
                <w:rFonts w:ascii="楷体_GB2312" w:eastAsia="楷体_GB2312" w:hAnsi="华文细黑" w:hint="eastAsia"/>
                <w:szCs w:val="21"/>
              </w:rPr>
              <w:t>末</w:t>
            </w:r>
            <w:r w:rsidR="001C3AC1" w:rsidRPr="000E05E7">
              <w:rPr>
                <w:rFonts w:ascii="楷体_GB2312" w:eastAsia="楷体_GB2312" w:hAnsi="华文细黑" w:hint="eastAsia"/>
                <w:szCs w:val="21"/>
              </w:rPr>
              <w:t>，本行贷款减值准备余额为808.23亿元，较上年末增长15.4%；拨贷比为3.31%，较上年末增加0.30个百分点；拨备覆盖率为200.35%，较上年末增加17.23个百分点；逾期60天以上贷款拨备覆盖率为218.90%，较上年末增加28.56个百分点；逾期90天以上贷款拨备覆盖率为257.77%，较上年末增加34.88个百分点，风险抵补能力持续增强。</w:t>
            </w:r>
          </w:p>
          <w:p w:rsidR="001C3AC1" w:rsidRPr="000E05E7" w:rsidRDefault="001C3AC1" w:rsidP="00AE02C7">
            <w:pPr>
              <w:snapToGrid w:val="0"/>
              <w:spacing w:afterLines="20" w:after="62"/>
              <w:rPr>
                <w:rFonts w:ascii="楷体_GB2312" w:eastAsia="楷体_GB2312" w:hAnsi="华文细黑"/>
                <w:szCs w:val="21"/>
              </w:rPr>
            </w:pPr>
          </w:p>
          <w:p w:rsidR="00F730BE" w:rsidRPr="000E05E7" w:rsidRDefault="00541176" w:rsidP="00F730BE">
            <w:pPr>
              <w:pStyle w:val="30"/>
              <w:numPr>
                <w:ilvl w:val="0"/>
                <w:numId w:val="33"/>
              </w:numPr>
              <w:spacing w:beforeLines="0" w:before="0"/>
              <w:outlineLvl w:val="2"/>
              <w:rPr>
                <w:rFonts w:ascii="楷体_GB2312" w:eastAsia="楷体_GB2312" w:hAnsi="华文细黑"/>
                <w:sz w:val="21"/>
              </w:rPr>
            </w:pPr>
            <w:r w:rsidRPr="000E05E7">
              <w:rPr>
                <w:rFonts w:ascii="楷体_GB2312" w:eastAsia="楷体_GB2312" w:hAnsi="华文细黑" w:hint="eastAsia"/>
                <w:sz w:val="21"/>
              </w:rPr>
              <w:t>疫情影响下</w:t>
            </w:r>
            <w:r w:rsidR="007E3D85">
              <w:rPr>
                <w:rFonts w:ascii="楷体_GB2312" w:eastAsia="楷体_GB2312" w:hAnsi="华文细黑" w:hint="eastAsia"/>
                <w:sz w:val="21"/>
              </w:rPr>
              <w:t>资产质量情况</w:t>
            </w:r>
            <w:r w:rsidR="00F730BE" w:rsidRPr="000E05E7">
              <w:rPr>
                <w:rFonts w:ascii="楷体_GB2312" w:eastAsia="楷体_GB2312" w:hAnsi="华文细黑" w:hint="eastAsia"/>
                <w:sz w:val="21"/>
              </w:rPr>
              <w:t>？</w:t>
            </w:r>
          </w:p>
          <w:p w:rsidR="000D607F" w:rsidRDefault="000D607F" w:rsidP="00F730BE">
            <w:pPr>
              <w:snapToGrid w:val="0"/>
              <w:spacing w:afterLines="20" w:after="62"/>
              <w:ind w:firstLineChars="200" w:firstLine="400"/>
              <w:rPr>
                <w:rFonts w:ascii="楷体_GB2312" w:eastAsia="楷体_GB2312" w:hAnsi="华文细黑" w:hint="eastAsia"/>
                <w:szCs w:val="21"/>
              </w:rPr>
            </w:pPr>
            <w:r>
              <w:rPr>
                <w:rFonts w:ascii="楷体_GB2312" w:eastAsia="楷体_GB2312" w:hAnsi="华文细黑" w:hint="eastAsia"/>
                <w:szCs w:val="21"/>
              </w:rPr>
              <w:t>本行积极应对外部风险，调整优化业务结构：对公</w:t>
            </w:r>
            <w:r w:rsidR="00F730BE" w:rsidRPr="000E05E7">
              <w:rPr>
                <w:rFonts w:ascii="楷体_GB2312" w:eastAsia="楷体_GB2312" w:hAnsi="华文细黑" w:hint="eastAsia"/>
                <w:szCs w:val="21"/>
              </w:rPr>
              <w:t>方面，</w:t>
            </w:r>
            <w:r>
              <w:rPr>
                <w:rFonts w:ascii="楷体_GB2312" w:eastAsia="楷体_GB2312" w:hAnsi="华文细黑" w:hint="eastAsia"/>
                <w:szCs w:val="21"/>
              </w:rPr>
              <w:t>持续优化对公业务结构，聚焦重点行业、区域和</w:t>
            </w:r>
            <w:r w:rsidR="00F730BE" w:rsidRPr="000E05E7">
              <w:rPr>
                <w:rFonts w:ascii="楷体_GB2312" w:eastAsia="楷体_GB2312" w:hAnsi="华文细黑" w:hint="eastAsia"/>
                <w:szCs w:val="21"/>
              </w:rPr>
              <w:t>客户，选择弱周期、成长</w:t>
            </w:r>
            <w:r>
              <w:rPr>
                <w:rFonts w:ascii="楷体_GB2312" w:eastAsia="楷体_GB2312" w:hAnsi="华文细黑" w:hint="eastAsia"/>
                <w:szCs w:val="21"/>
              </w:rPr>
              <w:t>性稳定、资产质量好的行业，持续退出高风险行业；零售方面，</w:t>
            </w:r>
            <w:r w:rsidR="00F730BE" w:rsidRPr="000E05E7">
              <w:rPr>
                <w:rFonts w:ascii="楷体_GB2312" w:eastAsia="楷体_GB2312" w:hAnsi="华文细黑" w:hint="eastAsia"/>
                <w:szCs w:val="21"/>
              </w:rPr>
              <w:t>利用行业领先的科技实力和风控模型，提升客户资质及风险识别度，实施差异化的风险管理策略，同时</w:t>
            </w:r>
            <w:r>
              <w:rPr>
                <w:rFonts w:ascii="楷体_GB2312" w:eastAsia="楷体_GB2312" w:hAnsi="华文细黑" w:hint="eastAsia"/>
                <w:szCs w:val="21"/>
              </w:rPr>
              <w:t>不断</w:t>
            </w:r>
            <w:r w:rsidR="00F730BE" w:rsidRPr="000E05E7">
              <w:rPr>
                <w:rFonts w:ascii="楷体_GB2312" w:eastAsia="楷体_GB2312" w:hAnsi="华文细黑" w:hint="eastAsia"/>
                <w:szCs w:val="21"/>
              </w:rPr>
              <w:t>优化客群结构。</w:t>
            </w:r>
          </w:p>
          <w:p w:rsidR="00F730BE" w:rsidRPr="000E05E7" w:rsidRDefault="000D607F" w:rsidP="00F730BE">
            <w:pPr>
              <w:snapToGrid w:val="0"/>
              <w:spacing w:afterLines="20" w:after="62"/>
              <w:ind w:firstLineChars="200" w:firstLine="400"/>
              <w:rPr>
                <w:rFonts w:ascii="楷体_GB2312" w:eastAsia="楷体_GB2312" w:hAnsi="华文细黑"/>
                <w:szCs w:val="21"/>
              </w:rPr>
            </w:pPr>
            <w:r>
              <w:rPr>
                <w:rFonts w:ascii="楷体_GB2312" w:eastAsia="楷体_GB2312" w:hAnsi="华文细黑" w:hint="eastAsia"/>
                <w:szCs w:val="21"/>
              </w:rPr>
              <w:t>一季度</w:t>
            </w:r>
            <w:r w:rsidRPr="000E05E7">
              <w:rPr>
                <w:rFonts w:ascii="楷体_GB2312" w:eastAsia="楷体_GB2312" w:hAnsi="华文细黑" w:hint="eastAsia"/>
                <w:szCs w:val="21"/>
              </w:rPr>
              <w:t>，本行逾期60天以上贷款占比、逾期90天以上贷款占比、关注贷款占比均较上年末下降，不良贷款率与上年末持平。</w:t>
            </w:r>
          </w:p>
          <w:p w:rsidR="00C03E1A" w:rsidRPr="000D607F" w:rsidRDefault="00C03E1A" w:rsidP="00AE02C7">
            <w:pPr>
              <w:snapToGrid w:val="0"/>
              <w:spacing w:afterLines="20" w:after="62"/>
              <w:rPr>
                <w:rFonts w:ascii="楷体_GB2312" w:eastAsia="楷体_GB2312" w:hAnsi="华文细黑"/>
                <w:szCs w:val="21"/>
              </w:rPr>
            </w:pPr>
          </w:p>
          <w:p w:rsidR="00F730BE" w:rsidRPr="000E05E7" w:rsidRDefault="00F730BE" w:rsidP="00F730BE">
            <w:pPr>
              <w:pStyle w:val="30"/>
              <w:numPr>
                <w:ilvl w:val="0"/>
                <w:numId w:val="33"/>
              </w:numPr>
              <w:spacing w:beforeLines="0" w:before="0"/>
              <w:outlineLvl w:val="2"/>
              <w:rPr>
                <w:rFonts w:ascii="楷体_GB2312" w:eastAsia="楷体_GB2312" w:hAnsi="华文细黑"/>
                <w:bCs w:val="0"/>
                <w:color w:val="000000" w:themeColor="text1"/>
                <w:sz w:val="21"/>
              </w:rPr>
            </w:pPr>
            <w:r w:rsidRPr="000E05E7">
              <w:rPr>
                <w:rFonts w:ascii="楷体_GB2312" w:eastAsia="楷体_GB2312" w:hAnsi="华文细黑" w:hint="eastAsia"/>
                <w:bCs w:val="0"/>
                <w:color w:val="000000" w:themeColor="text1"/>
                <w:sz w:val="21"/>
              </w:rPr>
              <w:t>疫情期间</w:t>
            </w:r>
            <w:r w:rsidR="00541176" w:rsidRPr="000E05E7">
              <w:rPr>
                <w:rFonts w:ascii="楷体_GB2312" w:eastAsia="楷体_GB2312" w:hAnsi="华文细黑" w:hint="eastAsia"/>
                <w:bCs w:val="0"/>
                <w:color w:val="000000" w:themeColor="text1"/>
                <w:sz w:val="21"/>
              </w:rPr>
              <w:t>，</w:t>
            </w:r>
            <w:r w:rsidRPr="000E05E7">
              <w:rPr>
                <w:rFonts w:ascii="楷体_GB2312" w:eastAsia="楷体_GB2312" w:hAnsi="华文细黑" w:hint="eastAsia"/>
                <w:bCs w:val="0"/>
                <w:color w:val="000000" w:themeColor="text1"/>
                <w:sz w:val="21"/>
              </w:rPr>
              <w:t>新一贷</w:t>
            </w:r>
            <w:r w:rsidR="000D607F">
              <w:rPr>
                <w:rFonts w:ascii="楷体_GB2312" w:eastAsia="楷体_GB2312" w:hAnsi="华文细黑" w:hint="eastAsia"/>
                <w:bCs w:val="0"/>
                <w:color w:val="000000" w:themeColor="text1"/>
                <w:sz w:val="21"/>
              </w:rPr>
              <w:t>资产质量情况</w:t>
            </w:r>
            <w:r w:rsidRPr="000E05E7">
              <w:rPr>
                <w:rFonts w:ascii="楷体_GB2312" w:eastAsia="楷体_GB2312" w:hAnsi="华文细黑" w:hint="eastAsia"/>
                <w:bCs w:val="0"/>
                <w:color w:val="000000" w:themeColor="text1"/>
                <w:sz w:val="21"/>
              </w:rPr>
              <w:t>？</w:t>
            </w:r>
          </w:p>
          <w:p w:rsidR="000D607F" w:rsidRDefault="00F730BE" w:rsidP="00F730BE">
            <w:pPr>
              <w:adjustRightInd w:val="0"/>
              <w:snapToGrid w:val="0"/>
              <w:spacing w:afterLines="20" w:after="62"/>
              <w:ind w:firstLineChars="200" w:firstLine="420"/>
              <w:rPr>
                <w:rFonts w:ascii="楷体_GB2312" w:eastAsia="楷体_GB2312" w:hAnsi="华文细黑" w:hint="eastAsia"/>
                <w:sz w:val="21"/>
                <w:szCs w:val="21"/>
              </w:rPr>
            </w:pPr>
            <w:r w:rsidRPr="000E05E7">
              <w:rPr>
                <w:rFonts w:ascii="楷体_GB2312" w:eastAsia="楷体_GB2312" w:hAnsi="华文细黑" w:hint="eastAsia"/>
                <w:sz w:val="21"/>
                <w:szCs w:val="21"/>
              </w:rPr>
              <w:t>我行“新一贷”自2017年底就开始收紧审批标准，严格落实贷款三查要求，利用行业先进的评分卡技术和多维度的风险监测体系动态调整风险政策。</w:t>
            </w:r>
          </w:p>
          <w:p w:rsidR="00F730BE" w:rsidRPr="000E05E7" w:rsidRDefault="00F730BE" w:rsidP="00F730BE">
            <w:pPr>
              <w:adjustRightInd w:val="0"/>
              <w:snapToGrid w:val="0"/>
              <w:spacing w:afterLines="20" w:after="62"/>
              <w:ind w:firstLineChars="200" w:firstLine="420"/>
              <w:rPr>
                <w:rFonts w:ascii="楷体_GB2312" w:eastAsia="楷体_GB2312" w:hAnsi="华文细黑"/>
                <w:sz w:val="21"/>
                <w:szCs w:val="21"/>
              </w:rPr>
            </w:pPr>
            <w:r w:rsidRPr="000E05E7">
              <w:rPr>
                <w:rFonts w:ascii="楷体_GB2312" w:eastAsia="楷体_GB2312" w:hAnsi="华文细黑" w:hint="eastAsia"/>
                <w:sz w:val="21"/>
                <w:szCs w:val="21"/>
              </w:rPr>
              <w:t>疫情发生后，本行迅速制定了“新一贷”延期还款方案，</w:t>
            </w:r>
            <w:r w:rsidR="000D607F">
              <w:rPr>
                <w:rFonts w:ascii="楷体_GB2312" w:eastAsia="楷体_GB2312" w:hAnsi="华文细黑" w:hint="eastAsia"/>
                <w:sz w:val="21"/>
                <w:szCs w:val="21"/>
              </w:rPr>
              <w:t>灵活调整此类客户的还款安排。随着催收</w:t>
            </w:r>
            <w:r w:rsidRPr="000E05E7">
              <w:rPr>
                <w:rFonts w:ascii="楷体_GB2312" w:eastAsia="楷体_GB2312" w:hAnsi="华文细黑" w:hint="eastAsia"/>
                <w:sz w:val="21"/>
                <w:szCs w:val="21"/>
              </w:rPr>
              <w:t>复工率持续提升，3月新增逾期已经呈现下降趋势，预计未来不良率将保持可控水平。</w:t>
            </w:r>
          </w:p>
          <w:p w:rsidR="00541176" w:rsidRPr="000E05E7" w:rsidRDefault="00541176" w:rsidP="00541176">
            <w:pPr>
              <w:adjustRightInd w:val="0"/>
              <w:snapToGrid w:val="0"/>
              <w:spacing w:afterLines="20" w:after="62"/>
              <w:rPr>
                <w:rFonts w:ascii="楷体_GB2312" w:eastAsia="楷体_GB2312" w:hAnsi="华文细黑"/>
                <w:sz w:val="21"/>
                <w:szCs w:val="21"/>
              </w:rPr>
            </w:pPr>
          </w:p>
          <w:p w:rsidR="00541176" w:rsidRPr="000E05E7" w:rsidRDefault="00EB2B4C" w:rsidP="00541176">
            <w:pPr>
              <w:pStyle w:val="30"/>
              <w:numPr>
                <w:ilvl w:val="0"/>
                <w:numId w:val="33"/>
              </w:numPr>
              <w:spacing w:beforeLines="0" w:before="0"/>
              <w:outlineLvl w:val="2"/>
              <w:rPr>
                <w:rFonts w:ascii="楷体_GB2312" w:eastAsia="楷体_GB2312" w:hAnsi="华文细黑"/>
                <w:bCs w:val="0"/>
                <w:color w:val="000000" w:themeColor="text1"/>
                <w:sz w:val="21"/>
              </w:rPr>
            </w:pPr>
            <w:r>
              <w:rPr>
                <w:rFonts w:ascii="楷体_GB2312" w:eastAsia="楷体_GB2312" w:hAnsi="华文细黑" w:hint="eastAsia"/>
                <w:bCs w:val="0"/>
                <w:color w:val="000000" w:themeColor="text1"/>
                <w:sz w:val="21"/>
              </w:rPr>
              <w:t>疫情期间，对小微企业如何实现快速</w:t>
            </w:r>
            <w:r w:rsidR="000D607F">
              <w:rPr>
                <w:rFonts w:ascii="楷体_GB2312" w:eastAsia="楷体_GB2312" w:hAnsi="华文细黑" w:hint="eastAsia"/>
                <w:bCs w:val="0"/>
                <w:color w:val="000000" w:themeColor="text1"/>
                <w:sz w:val="21"/>
              </w:rPr>
              <w:t>贷款</w:t>
            </w:r>
            <w:r w:rsidR="00541176" w:rsidRPr="000E05E7">
              <w:rPr>
                <w:rFonts w:ascii="楷体_GB2312" w:eastAsia="楷体_GB2312" w:hAnsi="华文细黑" w:hint="eastAsia"/>
                <w:bCs w:val="0"/>
                <w:color w:val="000000" w:themeColor="text1"/>
                <w:sz w:val="21"/>
              </w:rPr>
              <w:t>？</w:t>
            </w:r>
          </w:p>
          <w:p w:rsidR="00F730BE" w:rsidRPr="000E05E7" w:rsidRDefault="00F730BE" w:rsidP="00EB2B4C">
            <w:pPr>
              <w:adjustRightInd w:val="0"/>
              <w:snapToGrid w:val="0"/>
              <w:spacing w:afterLines="20" w:after="62"/>
              <w:ind w:firstLineChars="200" w:firstLine="420"/>
              <w:rPr>
                <w:rFonts w:ascii="楷体_GB2312" w:eastAsia="楷体_GB2312" w:hAnsi="华文细黑"/>
                <w:sz w:val="21"/>
                <w:szCs w:val="21"/>
              </w:rPr>
            </w:pPr>
            <w:r w:rsidRPr="000E05E7">
              <w:rPr>
                <w:rFonts w:ascii="楷体_GB2312" w:eastAsia="楷体_GB2312" w:hAnsi="华文细黑" w:hint="eastAsia"/>
                <w:sz w:val="21"/>
                <w:szCs w:val="21"/>
              </w:rPr>
              <w:t>小企业数字金融通过“数据+模型”还原企业真实经营状况，以标准化产品、借助科技手段，实现线上化、自动化、快速批量放款</w:t>
            </w:r>
            <w:r w:rsidR="000D607F">
              <w:rPr>
                <w:rFonts w:ascii="楷体_GB2312" w:eastAsia="楷体_GB2312" w:hAnsi="华文细黑" w:hint="eastAsia"/>
                <w:sz w:val="21"/>
                <w:szCs w:val="21"/>
              </w:rPr>
              <w:t>。</w:t>
            </w:r>
            <w:r w:rsidR="00EB2B4C">
              <w:rPr>
                <w:rFonts w:ascii="楷体_GB2312" w:eastAsia="楷体_GB2312" w:hAnsi="华文细黑" w:hint="eastAsia"/>
                <w:sz w:val="21"/>
                <w:szCs w:val="21"/>
              </w:rPr>
              <w:t xml:space="preserve"> </w:t>
            </w:r>
            <w:r w:rsidRPr="000E05E7">
              <w:rPr>
                <w:rFonts w:ascii="楷体_GB2312" w:eastAsia="楷体_GB2312" w:hAnsi="华文细黑" w:hint="eastAsia"/>
                <w:sz w:val="21"/>
                <w:szCs w:val="21"/>
              </w:rPr>
              <w:t>以定制化产品深入场景和产业链客户生态，与政府服务平台等场景数据方合作，构建风控模型，批量为小微企业提供融资服务，有效解决中小企业融资难、融资贵的问题，同时保证资产质量。</w:t>
            </w:r>
          </w:p>
          <w:p w:rsidR="00F730BE" w:rsidRPr="000E05E7" w:rsidRDefault="00F730BE" w:rsidP="00AE02C7">
            <w:pPr>
              <w:snapToGrid w:val="0"/>
              <w:spacing w:afterLines="20" w:after="62"/>
              <w:rPr>
                <w:rFonts w:ascii="楷体_GB2312" w:eastAsia="楷体_GB2312" w:hAnsi="华文细黑"/>
                <w:szCs w:val="21"/>
              </w:rPr>
            </w:pPr>
          </w:p>
          <w:p w:rsidR="00C03E1A" w:rsidRPr="000E05E7" w:rsidRDefault="00F564FB" w:rsidP="00C03E1A">
            <w:pPr>
              <w:pStyle w:val="30"/>
              <w:numPr>
                <w:ilvl w:val="0"/>
                <w:numId w:val="33"/>
              </w:numPr>
              <w:spacing w:beforeLines="0" w:before="0"/>
              <w:outlineLvl w:val="2"/>
              <w:rPr>
                <w:rFonts w:ascii="楷体_GB2312" w:eastAsia="楷体_GB2312" w:hAnsi="华文细黑"/>
                <w:bCs w:val="0"/>
                <w:color w:val="000000" w:themeColor="text1"/>
                <w:sz w:val="21"/>
              </w:rPr>
            </w:pPr>
            <w:r w:rsidRPr="000E05E7">
              <w:rPr>
                <w:rFonts w:ascii="楷体_GB2312" w:eastAsia="楷体_GB2312" w:hAnsi="华文细黑" w:hint="eastAsia"/>
                <w:sz w:val="21"/>
              </w:rPr>
              <w:t>零售</w:t>
            </w:r>
            <w:r w:rsidR="00EB2B4C">
              <w:rPr>
                <w:rFonts w:ascii="楷体_GB2312" w:eastAsia="楷体_GB2312" w:hAnsi="华文细黑" w:hint="eastAsia"/>
                <w:sz w:val="21"/>
              </w:rPr>
              <w:t>在新三年的打法有什么变化？如何应对</w:t>
            </w:r>
            <w:r w:rsidR="00EB2B4C">
              <w:rPr>
                <w:rFonts w:ascii="楷体_GB2312" w:eastAsia="楷体_GB2312" w:hAnsi="华文细黑" w:hint="eastAsia"/>
                <w:sz w:val="21"/>
              </w:rPr>
              <w:t>疫情影响</w:t>
            </w:r>
            <w:r w:rsidR="00C03E1A" w:rsidRPr="000E05E7">
              <w:rPr>
                <w:rFonts w:ascii="楷体_GB2312" w:eastAsia="楷体_GB2312" w:hAnsi="华文细黑" w:hint="eastAsia"/>
                <w:bCs w:val="0"/>
                <w:color w:val="000000" w:themeColor="text1"/>
                <w:sz w:val="21"/>
              </w:rPr>
              <w:t>？</w:t>
            </w:r>
          </w:p>
          <w:p w:rsidR="00EB2B4C" w:rsidRDefault="00A42C40" w:rsidP="00EB2B4C">
            <w:pPr>
              <w:pBdr>
                <w:top w:val="nil"/>
                <w:left w:val="nil"/>
                <w:bottom w:val="nil"/>
                <w:right w:val="nil"/>
                <w:between w:val="nil"/>
                <w:bar w:val="nil"/>
              </w:pBdr>
              <w:adjustRightInd w:val="0"/>
              <w:snapToGrid w:val="0"/>
              <w:spacing w:afterLines="20" w:after="62"/>
              <w:ind w:firstLineChars="200" w:firstLine="420"/>
              <w:rPr>
                <w:rFonts w:ascii="楷体_GB2312" w:eastAsia="楷体_GB2312" w:hAnsi="华文细黑" w:hint="eastAsia"/>
                <w:sz w:val="21"/>
                <w:szCs w:val="21"/>
              </w:rPr>
            </w:pPr>
            <w:r w:rsidRPr="000E05E7">
              <w:rPr>
                <w:rFonts w:ascii="楷体_GB2312" w:eastAsia="楷体_GB2312" w:hAnsi="华文细黑" w:hint="eastAsia"/>
                <w:sz w:val="21"/>
                <w:szCs w:val="21"/>
              </w:rPr>
              <w:t>一季度，本行持续贯彻零售业务“3+2+1”经营策略</w:t>
            </w:r>
            <w:r w:rsidR="00EB2B4C">
              <w:rPr>
                <w:rFonts w:ascii="楷体_GB2312" w:eastAsia="楷体_GB2312" w:hAnsi="华文细黑" w:hint="eastAsia"/>
                <w:sz w:val="21"/>
                <w:szCs w:val="21"/>
              </w:rPr>
              <w:t>。</w:t>
            </w:r>
            <w:r w:rsidRPr="000E05E7">
              <w:rPr>
                <w:rFonts w:ascii="楷体_GB2312" w:eastAsia="楷体_GB2312" w:hAnsi="华文细黑" w:hint="eastAsia"/>
                <w:sz w:val="21"/>
                <w:szCs w:val="21"/>
              </w:rPr>
              <w:t>同时，承接全行“三张名片”新定位，推出四化新策略，推动零售业务转型的换挡升级。</w:t>
            </w:r>
          </w:p>
          <w:p w:rsidR="00C03E1A" w:rsidRPr="000E05E7" w:rsidRDefault="00A42C40" w:rsidP="00EB2B4C">
            <w:pPr>
              <w:pBdr>
                <w:top w:val="nil"/>
                <w:left w:val="nil"/>
                <w:bottom w:val="nil"/>
                <w:right w:val="nil"/>
                <w:between w:val="nil"/>
                <w:bar w:val="nil"/>
              </w:pBdr>
              <w:adjustRightInd w:val="0"/>
              <w:snapToGrid w:val="0"/>
              <w:spacing w:afterLines="20" w:after="62"/>
              <w:ind w:firstLineChars="200" w:firstLine="420"/>
              <w:rPr>
                <w:rFonts w:ascii="楷体_GB2312" w:eastAsia="楷体_GB2312" w:hAnsi="华文细黑"/>
                <w:sz w:val="21"/>
                <w:szCs w:val="21"/>
              </w:rPr>
            </w:pPr>
            <w:r w:rsidRPr="000E05E7">
              <w:rPr>
                <w:rFonts w:ascii="楷体_GB2312" w:eastAsia="楷体_GB2312" w:hAnsi="华文细黑" w:hint="eastAsia"/>
                <w:sz w:val="21"/>
                <w:szCs w:val="21"/>
              </w:rPr>
              <w:t>本次疫情对零售金融业务的具体影响有：</w:t>
            </w:r>
            <w:r w:rsidR="00C03E1A" w:rsidRPr="000E05E7">
              <w:rPr>
                <w:rFonts w:ascii="楷体_GB2312" w:eastAsia="楷体_GB2312" w:hAnsi="华文细黑" w:hint="eastAsia"/>
                <w:sz w:val="21"/>
                <w:szCs w:val="21"/>
              </w:rPr>
              <w:t>客户行为更加线上化，</w:t>
            </w:r>
            <w:r w:rsidRPr="000E05E7">
              <w:rPr>
                <w:rFonts w:ascii="楷体_GB2312" w:eastAsia="楷体_GB2312" w:hAnsi="华文细黑" w:hint="eastAsia"/>
                <w:sz w:val="21"/>
                <w:szCs w:val="21"/>
              </w:rPr>
              <w:t>银行业务流程进行线上化升级改造、</w:t>
            </w:r>
            <w:r w:rsidR="00C03E1A" w:rsidRPr="000E05E7">
              <w:rPr>
                <w:rFonts w:ascii="楷体_GB2312" w:eastAsia="楷体_GB2312" w:hAnsi="华文细黑" w:hint="eastAsia"/>
                <w:sz w:val="21"/>
                <w:szCs w:val="21"/>
              </w:rPr>
              <w:t>零售各队伍和业务部门之间的交叉协同也得到加强</w:t>
            </w:r>
            <w:r w:rsidRPr="000E05E7">
              <w:rPr>
                <w:rFonts w:ascii="楷体_GB2312" w:eastAsia="楷体_GB2312" w:hAnsi="华文细黑" w:hint="eastAsia"/>
                <w:sz w:val="21"/>
                <w:szCs w:val="21"/>
              </w:rPr>
              <w:t>、</w:t>
            </w:r>
            <w:r w:rsidR="00C03E1A" w:rsidRPr="000E05E7">
              <w:rPr>
                <w:rFonts w:ascii="楷体_GB2312" w:eastAsia="楷体_GB2312" w:hAnsi="华文细黑" w:hint="eastAsia"/>
                <w:sz w:val="21"/>
                <w:szCs w:val="21"/>
              </w:rPr>
              <w:t>加大</w:t>
            </w:r>
            <w:r w:rsidRPr="000E05E7">
              <w:rPr>
                <w:rFonts w:ascii="楷体_GB2312" w:eastAsia="楷体_GB2312" w:hAnsi="华文细黑" w:hint="eastAsia"/>
                <w:sz w:val="21"/>
                <w:szCs w:val="21"/>
              </w:rPr>
              <w:t>了</w:t>
            </w:r>
            <w:r w:rsidR="00C03E1A" w:rsidRPr="000E05E7">
              <w:rPr>
                <w:rFonts w:ascii="楷体_GB2312" w:eastAsia="楷体_GB2312" w:hAnsi="华文细黑" w:hint="eastAsia"/>
                <w:sz w:val="21"/>
                <w:szCs w:val="21"/>
              </w:rPr>
              <w:t>和头部互联网平台的合作以及在这类渠道的投入。</w:t>
            </w:r>
          </w:p>
          <w:p w:rsidR="00C03E1A" w:rsidRPr="000E05E7" w:rsidRDefault="00C03E1A" w:rsidP="00C03E1A">
            <w:pPr>
              <w:pStyle w:val="a6"/>
              <w:snapToGrid w:val="0"/>
              <w:spacing w:afterLines="20" w:after="62"/>
              <w:ind w:left="360" w:firstLineChars="0" w:firstLine="0"/>
              <w:rPr>
                <w:rFonts w:ascii="楷体_GB2312" w:eastAsia="楷体_GB2312" w:hAnsi="华文细黑"/>
                <w:sz w:val="21"/>
                <w:szCs w:val="21"/>
              </w:rPr>
            </w:pPr>
          </w:p>
          <w:p w:rsidR="00541176" w:rsidRPr="000E05E7" w:rsidRDefault="00541176" w:rsidP="00541176">
            <w:pPr>
              <w:pStyle w:val="30"/>
              <w:numPr>
                <w:ilvl w:val="0"/>
                <w:numId w:val="33"/>
              </w:numPr>
              <w:spacing w:beforeLines="0" w:before="0"/>
              <w:outlineLvl w:val="2"/>
              <w:rPr>
                <w:rFonts w:ascii="楷体_GB2312" w:eastAsia="楷体_GB2312" w:hAnsi="华文细黑"/>
                <w:sz w:val="21"/>
              </w:rPr>
            </w:pPr>
            <w:r w:rsidRPr="000E05E7">
              <w:rPr>
                <w:rFonts w:ascii="楷体_GB2312" w:eastAsia="楷体_GB2312" w:hAnsi="华文细黑" w:hint="eastAsia"/>
                <w:sz w:val="21"/>
              </w:rPr>
              <w:t>目前房屋按揭及持证抵押贷款情况如何？</w:t>
            </w:r>
          </w:p>
          <w:p w:rsidR="00541176" w:rsidRPr="000E05E7" w:rsidRDefault="00541176" w:rsidP="00541176">
            <w:pPr>
              <w:ind w:firstLineChars="200" w:firstLine="400"/>
              <w:rPr>
                <w:rFonts w:ascii="楷体_GB2312" w:eastAsia="楷体_GB2312" w:hAnsi="华文细黑"/>
                <w:color w:val="000000"/>
              </w:rPr>
            </w:pPr>
            <w:r w:rsidRPr="000E05E7">
              <w:rPr>
                <w:rFonts w:ascii="楷体_GB2312" w:eastAsia="楷体_GB2312" w:hAnsi="华文细黑" w:hint="eastAsia"/>
                <w:color w:val="000000"/>
              </w:rPr>
              <w:t>充分应用互联网技术，进一步满足疫情期间房屋抵押贷款客群的融资需求，为小微客户快速恢复生产和经营发展提供有效的金融支持。</w:t>
            </w:r>
          </w:p>
          <w:p w:rsidR="00541176" w:rsidRPr="000E05E7" w:rsidRDefault="00541176" w:rsidP="00541176">
            <w:pPr>
              <w:ind w:firstLineChars="200" w:firstLine="400"/>
              <w:rPr>
                <w:rFonts w:ascii="楷体_GB2312" w:eastAsia="楷体_GB2312"/>
                <w:color w:val="000000"/>
              </w:rPr>
            </w:pPr>
            <w:r w:rsidRPr="000E05E7">
              <w:rPr>
                <w:rFonts w:ascii="楷体_GB2312" w:eastAsia="楷体_GB2312" w:hAnsi="华文细黑" w:hint="eastAsia"/>
                <w:color w:val="000000"/>
              </w:rPr>
              <w:t>一季度，本行个人房屋按揭及持证抵押贷款累计发放437.32亿元，同比增长17.7%；个人房屋按揭及持证抵押贷款余额4,308.59亿元，较上年末增长4.8%。</w:t>
            </w:r>
          </w:p>
          <w:p w:rsidR="00541176" w:rsidRDefault="00541176" w:rsidP="00541176">
            <w:pPr>
              <w:snapToGrid w:val="0"/>
              <w:spacing w:afterLines="20" w:after="62"/>
              <w:rPr>
                <w:rFonts w:ascii="楷体_GB2312" w:eastAsia="楷体_GB2312" w:hAnsi="华文细黑"/>
                <w:szCs w:val="21"/>
              </w:rPr>
            </w:pPr>
          </w:p>
          <w:p w:rsidR="009561FA" w:rsidRPr="009561FA" w:rsidRDefault="009561FA" w:rsidP="009561FA">
            <w:pPr>
              <w:pStyle w:val="30"/>
              <w:numPr>
                <w:ilvl w:val="0"/>
                <w:numId w:val="33"/>
              </w:numPr>
              <w:spacing w:beforeLines="0" w:before="0"/>
              <w:outlineLvl w:val="2"/>
              <w:rPr>
                <w:rFonts w:ascii="楷体_GB2312" w:eastAsia="楷体_GB2312" w:hAnsi="华文细黑"/>
                <w:sz w:val="21"/>
              </w:rPr>
            </w:pPr>
            <w:r w:rsidRPr="009561FA">
              <w:rPr>
                <w:rFonts w:ascii="楷体_GB2312" w:eastAsia="楷体_GB2312" w:hAnsi="华文细黑" w:hint="eastAsia"/>
                <w:sz w:val="21"/>
              </w:rPr>
              <w:t>理财业务</w:t>
            </w:r>
            <w:r w:rsidR="00EB2B4C">
              <w:rPr>
                <w:rFonts w:ascii="楷体_GB2312" w:eastAsia="楷体_GB2312" w:hAnsi="华文细黑" w:hint="eastAsia"/>
                <w:sz w:val="21"/>
              </w:rPr>
              <w:t>恢复情况？符合监管要求的产品占比？</w:t>
            </w:r>
          </w:p>
          <w:p w:rsidR="009561FA" w:rsidRPr="0091735E" w:rsidRDefault="009561FA" w:rsidP="009561FA">
            <w:pPr>
              <w:widowControl/>
              <w:snapToGrid w:val="0"/>
              <w:spacing w:afterLines="20" w:after="62"/>
              <w:ind w:firstLineChars="200" w:firstLine="420"/>
              <w:rPr>
                <w:rFonts w:ascii="楷体_GB2312" w:eastAsia="楷体_GB2312" w:hAnsi="华文细黑"/>
                <w:sz w:val="21"/>
                <w:szCs w:val="21"/>
              </w:rPr>
            </w:pPr>
            <w:r w:rsidRPr="0091735E">
              <w:rPr>
                <w:rFonts w:ascii="楷体_GB2312" w:eastAsia="楷体_GB2312" w:hAnsi="华文细黑" w:hint="eastAsia"/>
                <w:sz w:val="21"/>
                <w:szCs w:val="21"/>
              </w:rPr>
              <w:t>疫情期间，理财各项业务正常运营、有序开展，并取得了一系列工作成果：</w:t>
            </w:r>
            <w:r w:rsidRPr="009561FA">
              <w:rPr>
                <w:rFonts w:ascii="楷体_GB2312" w:eastAsia="楷体_GB2312" w:hAnsi="华文细黑" w:hint="eastAsia"/>
                <w:sz w:val="21"/>
                <w:szCs w:val="21"/>
              </w:rPr>
              <w:t>一季度末，本行保本理财产品余额613.33亿元，较上年末减少8.8%；结构性存款余额6,155.61亿元，较上年末增长21.2%；非保本理财产品余额6,173.56亿元，较上年末增长4.5%，其中，本行符合资管新规净值管理要求的净值型产品规模3,250.77亿元，较上年末增长26.4%，占非保本理财产品余额的比例由43.6%提升至52.7%。</w:t>
            </w:r>
          </w:p>
          <w:p w:rsidR="009561FA" w:rsidRPr="000E05E7" w:rsidRDefault="009561FA" w:rsidP="00541176">
            <w:pPr>
              <w:snapToGrid w:val="0"/>
              <w:spacing w:afterLines="20" w:after="62"/>
              <w:rPr>
                <w:rFonts w:ascii="楷体_GB2312" w:eastAsia="楷体_GB2312" w:hAnsi="华文细黑"/>
                <w:szCs w:val="21"/>
              </w:rPr>
            </w:pPr>
          </w:p>
          <w:p w:rsidR="00C03E1A" w:rsidRPr="000E05E7" w:rsidRDefault="00AE02C7" w:rsidP="00C03E1A">
            <w:pPr>
              <w:pStyle w:val="30"/>
              <w:numPr>
                <w:ilvl w:val="0"/>
                <w:numId w:val="33"/>
              </w:numPr>
              <w:spacing w:beforeLines="0" w:before="0"/>
              <w:outlineLvl w:val="2"/>
              <w:rPr>
                <w:rFonts w:ascii="楷体_GB2312" w:eastAsia="楷体_GB2312" w:hAnsi="华文细黑"/>
                <w:bCs w:val="0"/>
                <w:color w:val="000000" w:themeColor="text1"/>
                <w:sz w:val="21"/>
              </w:rPr>
            </w:pPr>
            <w:r w:rsidRPr="000E05E7">
              <w:rPr>
                <w:rFonts w:ascii="楷体_GB2312" w:eastAsia="楷体_GB2312" w:hAnsi="华文细黑" w:hint="eastAsia"/>
                <w:sz w:val="21"/>
              </w:rPr>
              <w:t>对公贷款投放情况如何</w:t>
            </w:r>
            <w:r w:rsidR="00C03E1A" w:rsidRPr="000E05E7">
              <w:rPr>
                <w:rFonts w:ascii="楷体_GB2312" w:eastAsia="楷体_GB2312" w:hAnsi="华文细黑" w:hint="eastAsia"/>
                <w:bCs w:val="0"/>
                <w:color w:val="000000" w:themeColor="text1"/>
                <w:sz w:val="21"/>
              </w:rPr>
              <w:t>？</w:t>
            </w:r>
          </w:p>
          <w:p w:rsidR="00C03E1A" w:rsidRPr="000E05E7" w:rsidRDefault="00AE02C7" w:rsidP="00AE02C7">
            <w:pPr>
              <w:adjustRightInd w:val="0"/>
              <w:snapToGrid w:val="0"/>
              <w:spacing w:afterLines="20" w:after="62"/>
              <w:ind w:firstLineChars="200" w:firstLine="420"/>
              <w:rPr>
                <w:rFonts w:ascii="楷体_GB2312" w:eastAsia="楷体_GB2312" w:hAnsi="华文细黑"/>
                <w:sz w:val="21"/>
                <w:szCs w:val="21"/>
              </w:rPr>
            </w:pPr>
            <w:r w:rsidRPr="000E05E7">
              <w:rPr>
                <w:rFonts w:ascii="楷体_GB2312" w:eastAsia="楷体_GB2312" w:hAnsi="华文细黑" w:hint="eastAsia"/>
                <w:sz w:val="21"/>
                <w:szCs w:val="21"/>
              </w:rPr>
              <w:t>本行全力支持实体经济发展，持续加大对重点行业、战略客户的资产投放。</w:t>
            </w:r>
            <w:r w:rsidR="00B24B6B">
              <w:rPr>
                <w:rFonts w:ascii="楷体_GB2312" w:eastAsia="楷体_GB2312" w:hAnsi="华文细黑" w:hint="eastAsia"/>
                <w:szCs w:val="21"/>
              </w:rPr>
              <w:t>一季度</w:t>
            </w:r>
            <w:r w:rsidRPr="000E05E7">
              <w:rPr>
                <w:rFonts w:ascii="楷体_GB2312" w:eastAsia="楷体_GB2312" w:hAnsi="华文细黑" w:hint="eastAsia"/>
                <w:sz w:val="21"/>
                <w:szCs w:val="21"/>
              </w:rPr>
              <w:t>，本行企业贷款余额10,759.78亿元，较上年末增长11.4%，基建交通、医疗健康、绿色环保、民生服务等重点行业的客户授信余额占比达47.4%；战略客群贷款余额较上年末增长12.5%。</w:t>
            </w:r>
          </w:p>
          <w:p w:rsidR="00A42C40" w:rsidRPr="009561FA" w:rsidRDefault="00A42C40" w:rsidP="009561FA">
            <w:pPr>
              <w:snapToGrid w:val="0"/>
              <w:spacing w:afterLines="20" w:after="62"/>
              <w:rPr>
                <w:rFonts w:ascii="楷体_GB2312" w:eastAsia="楷体_GB2312" w:hAnsi="华文细黑"/>
                <w:szCs w:val="21"/>
              </w:rPr>
            </w:pPr>
          </w:p>
          <w:p w:rsidR="00F730BE" w:rsidRPr="000E05E7" w:rsidRDefault="00F730BE" w:rsidP="00F730BE">
            <w:pPr>
              <w:pStyle w:val="30"/>
              <w:numPr>
                <w:ilvl w:val="0"/>
                <w:numId w:val="33"/>
              </w:numPr>
              <w:pBdr>
                <w:top w:val="nil"/>
                <w:left w:val="nil"/>
                <w:bottom w:val="nil"/>
                <w:right w:val="nil"/>
                <w:between w:val="nil"/>
                <w:bar w:val="nil"/>
              </w:pBdr>
              <w:spacing w:beforeLines="0" w:before="0"/>
              <w:outlineLvl w:val="2"/>
              <w:rPr>
                <w:rFonts w:ascii="楷体_GB2312" w:eastAsia="楷体_GB2312" w:hAnsi="华文细黑"/>
                <w:sz w:val="21"/>
              </w:rPr>
            </w:pPr>
            <w:r w:rsidRPr="000E05E7">
              <w:rPr>
                <w:rFonts w:ascii="楷体_GB2312" w:eastAsia="楷体_GB2312" w:hAnsi="华文细黑" w:hint="eastAsia"/>
                <w:sz w:val="21"/>
              </w:rPr>
              <w:t>对公综合金融如何运作，目前取得了哪些进展？</w:t>
            </w:r>
          </w:p>
          <w:p w:rsidR="006D2880" w:rsidRPr="000E05E7" w:rsidRDefault="00F730BE" w:rsidP="006D2880">
            <w:pPr>
              <w:pBdr>
                <w:top w:val="nil"/>
                <w:left w:val="nil"/>
                <w:bottom w:val="nil"/>
                <w:right w:val="nil"/>
                <w:between w:val="nil"/>
                <w:bar w:val="nil"/>
              </w:pBdr>
              <w:adjustRightInd w:val="0"/>
              <w:snapToGrid w:val="0"/>
              <w:spacing w:afterLines="20" w:after="62"/>
              <w:ind w:firstLineChars="200" w:firstLine="420"/>
              <w:rPr>
                <w:rFonts w:ascii="楷体_GB2312" w:eastAsia="楷体_GB2312" w:hAnsi="华文细黑"/>
                <w:sz w:val="21"/>
                <w:szCs w:val="21"/>
              </w:rPr>
            </w:pPr>
            <w:r w:rsidRPr="000E05E7">
              <w:rPr>
                <w:rFonts w:ascii="楷体_GB2312" w:eastAsia="楷体_GB2312" w:hAnsi="华文细黑" w:hint="eastAsia"/>
                <w:sz w:val="21"/>
                <w:szCs w:val="21"/>
              </w:rPr>
              <w:t>本行充分发挥银行渠道优势和集团综合金融服务优势，聚焦战略客群和小微客群的核心需求，着力打造三大</w:t>
            </w:r>
            <w:bookmarkStart w:id="0" w:name="_GoBack"/>
            <w:r w:rsidRPr="000E05E7">
              <w:rPr>
                <w:rFonts w:ascii="楷体_GB2312" w:eastAsia="楷体_GB2312" w:hAnsi="华文细黑" w:hint="eastAsia"/>
                <w:sz w:val="21"/>
                <w:szCs w:val="21"/>
              </w:rPr>
              <w:t>综合金融</w:t>
            </w:r>
            <w:bookmarkEnd w:id="0"/>
            <w:r w:rsidRPr="000E05E7">
              <w:rPr>
                <w:rFonts w:ascii="楷体_GB2312" w:eastAsia="楷体_GB2312" w:hAnsi="华文细黑" w:hint="eastAsia"/>
                <w:sz w:val="21"/>
                <w:szCs w:val="21"/>
              </w:rPr>
              <w:t>业务模式</w:t>
            </w:r>
            <w:r w:rsidR="006D2880">
              <w:rPr>
                <w:rFonts w:ascii="楷体_GB2312" w:eastAsia="楷体_GB2312" w:hAnsi="华文细黑" w:hint="eastAsia"/>
                <w:sz w:val="21"/>
                <w:szCs w:val="21"/>
              </w:rPr>
              <w:t>。</w:t>
            </w:r>
          </w:p>
          <w:p w:rsidR="00F730BE" w:rsidRPr="000E05E7" w:rsidRDefault="00F730BE" w:rsidP="00F730BE">
            <w:pPr>
              <w:pBdr>
                <w:top w:val="nil"/>
                <w:left w:val="nil"/>
                <w:bottom w:val="nil"/>
                <w:right w:val="nil"/>
                <w:between w:val="nil"/>
                <w:bar w:val="nil"/>
              </w:pBdr>
              <w:adjustRightInd w:val="0"/>
              <w:snapToGrid w:val="0"/>
              <w:spacing w:afterLines="20" w:after="62"/>
              <w:ind w:firstLineChars="200" w:firstLine="420"/>
              <w:rPr>
                <w:rFonts w:ascii="楷体_GB2312" w:eastAsia="楷体_GB2312" w:hAnsi="华文细黑"/>
                <w:sz w:val="21"/>
                <w:szCs w:val="21"/>
              </w:rPr>
            </w:pPr>
            <w:r w:rsidRPr="000E05E7">
              <w:rPr>
                <w:rFonts w:ascii="楷体_GB2312" w:eastAsia="楷体_GB2312" w:hAnsi="华文细黑" w:hint="eastAsia"/>
                <w:sz w:val="21"/>
                <w:szCs w:val="21"/>
              </w:rPr>
              <w:t>一季度，银行代销的平安团体保险产品保费规模10.87亿元，同比增长438.0%；银行与集团内专业公司合作落地的新增投融资项目规模829.82亿元，同比增长95.7%。</w:t>
            </w:r>
          </w:p>
          <w:p w:rsidR="00F730BE" w:rsidRPr="000E05E7" w:rsidRDefault="00F730BE" w:rsidP="001C3AC1">
            <w:pPr>
              <w:snapToGrid w:val="0"/>
              <w:spacing w:afterLines="20" w:after="62"/>
              <w:rPr>
                <w:rFonts w:ascii="楷体_GB2312" w:eastAsia="楷体_GB2312" w:hAnsi="华文细黑"/>
                <w:szCs w:val="21"/>
              </w:rPr>
            </w:pPr>
          </w:p>
          <w:p w:rsidR="00C03E1A" w:rsidRPr="000E05E7" w:rsidRDefault="006D2880" w:rsidP="00AE02C7">
            <w:pPr>
              <w:pStyle w:val="30"/>
              <w:numPr>
                <w:ilvl w:val="0"/>
                <w:numId w:val="33"/>
              </w:numPr>
              <w:spacing w:beforeLines="0" w:before="0"/>
              <w:outlineLvl w:val="2"/>
              <w:rPr>
                <w:rFonts w:ascii="楷体_GB2312" w:eastAsia="楷体_GB2312" w:hAnsi="华文细黑"/>
                <w:sz w:val="21"/>
              </w:rPr>
            </w:pPr>
            <w:r>
              <w:rPr>
                <w:rFonts w:ascii="楷体_GB2312" w:eastAsia="楷体_GB2312" w:hAnsi="华文细黑" w:hint="eastAsia"/>
                <w:sz w:val="21"/>
              </w:rPr>
              <w:t>资金业务最新战略及一季度情况</w:t>
            </w:r>
            <w:r w:rsidR="00AE02C7" w:rsidRPr="000E05E7">
              <w:rPr>
                <w:rFonts w:ascii="楷体_GB2312" w:eastAsia="楷体_GB2312" w:hAnsi="华文细黑" w:hint="eastAsia"/>
                <w:sz w:val="21"/>
              </w:rPr>
              <w:t>？</w:t>
            </w:r>
          </w:p>
          <w:p w:rsidR="006D2880" w:rsidRDefault="00AE02C7" w:rsidP="00AE02C7">
            <w:pPr>
              <w:adjustRightInd w:val="0"/>
              <w:snapToGrid w:val="0"/>
              <w:spacing w:afterLines="20" w:after="62"/>
              <w:ind w:firstLineChars="200" w:firstLine="420"/>
              <w:rPr>
                <w:rFonts w:ascii="楷体_GB2312" w:eastAsia="楷体_GB2312" w:hAnsi="华文细黑" w:hint="eastAsia"/>
                <w:sz w:val="21"/>
                <w:szCs w:val="21"/>
              </w:rPr>
            </w:pPr>
            <w:r w:rsidRPr="000E05E7">
              <w:rPr>
                <w:rFonts w:ascii="楷体_GB2312" w:eastAsia="楷体_GB2312" w:hAnsi="华文细黑" w:hint="eastAsia"/>
                <w:sz w:val="21"/>
                <w:szCs w:val="21"/>
              </w:rPr>
              <w:t>本行资金同业业务以“推动新增长、打造新品牌”作为新三年的发展愿景，全面推进资金同业业务“3+2+1</w:t>
            </w:r>
            <w:r w:rsidR="006D2880">
              <w:rPr>
                <w:rFonts w:ascii="楷体_GB2312" w:eastAsia="楷体_GB2312" w:hAnsi="华文细黑" w:hint="eastAsia"/>
                <w:sz w:val="21"/>
                <w:szCs w:val="21"/>
              </w:rPr>
              <w:t>”经营策略</w:t>
            </w:r>
            <w:r w:rsidRPr="000E05E7">
              <w:rPr>
                <w:rFonts w:ascii="楷体_GB2312" w:eastAsia="楷体_GB2312" w:hAnsi="华文细黑" w:hint="eastAsia"/>
                <w:sz w:val="21"/>
                <w:szCs w:val="21"/>
              </w:rPr>
              <w:t>。</w:t>
            </w:r>
          </w:p>
          <w:p w:rsidR="00AE02C7" w:rsidRPr="000E05E7" w:rsidRDefault="00AE02C7" w:rsidP="006D2880">
            <w:pPr>
              <w:adjustRightInd w:val="0"/>
              <w:snapToGrid w:val="0"/>
              <w:spacing w:afterLines="20" w:after="62"/>
              <w:ind w:firstLineChars="200" w:firstLine="420"/>
              <w:rPr>
                <w:rFonts w:ascii="楷体_GB2312" w:eastAsia="楷体_GB2312" w:hAnsi="华文细黑"/>
                <w:sz w:val="21"/>
                <w:szCs w:val="21"/>
              </w:rPr>
            </w:pPr>
            <w:r w:rsidRPr="000E05E7">
              <w:rPr>
                <w:rFonts w:ascii="楷体_GB2312" w:eastAsia="楷体_GB2312" w:hAnsi="华文细黑" w:hint="eastAsia"/>
                <w:sz w:val="21"/>
                <w:szCs w:val="21"/>
              </w:rPr>
              <w:t>一季度，本行积极应对疫情挑战，稳经营、保发展，金融市场业务盈利水平大幅提升，实现交易净收入30.77亿元，同比增长209.5%；债券交易量1.46万亿元，同比增长161.0%。</w:t>
            </w:r>
          </w:p>
          <w:p w:rsidR="00AE02C7" w:rsidRPr="000E05E7" w:rsidRDefault="00AE02C7" w:rsidP="00AE02C7">
            <w:pPr>
              <w:adjustRightInd w:val="0"/>
              <w:snapToGrid w:val="0"/>
              <w:spacing w:afterLines="20" w:after="62"/>
              <w:ind w:firstLineChars="200" w:firstLine="420"/>
              <w:rPr>
                <w:rFonts w:ascii="楷体_GB2312" w:eastAsia="楷体_GB2312" w:hAnsi="华文细黑"/>
                <w:sz w:val="21"/>
                <w:szCs w:val="21"/>
              </w:rPr>
            </w:pPr>
          </w:p>
          <w:p w:rsidR="000A624F" w:rsidRPr="000E05E7" w:rsidRDefault="000A624F" w:rsidP="000A624F">
            <w:pPr>
              <w:pStyle w:val="30"/>
              <w:numPr>
                <w:ilvl w:val="0"/>
                <w:numId w:val="33"/>
              </w:numPr>
              <w:pBdr>
                <w:top w:val="nil"/>
                <w:left w:val="nil"/>
                <w:bottom w:val="nil"/>
                <w:right w:val="nil"/>
                <w:between w:val="nil"/>
                <w:bar w:val="nil"/>
              </w:pBdr>
              <w:spacing w:beforeLines="0" w:before="0"/>
              <w:outlineLvl w:val="2"/>
              <w:rPr>
                <w:rFonts w:ascii="楷体_GB2312" w:eastAsia="楷体_GB2312" w:hAnsi="华文细黑"/>
                <w:sz w:val="21"/>
              </w:rPr>
            </w:pPr>
            <w:r w:rsidRPr="000E05E7">
              <w:rPr>
                <w:rFonts w:ascii="楷体_GB2312" w:eastAsia="楷体_GB2312" w:hAnsi="华文细黑" w:hint="eastAsia"/>
                <w:sz w:val="21"/>
              </w:rPr>
              <w:t>网点布局是否受到疫情影响，目前情况如何？</w:t>
            </w:r>
          </w:p>
          <w:p w:rsidR="000A624F" w:rsidRPr="000E05E7" w:rsidRDefault="000A624F" w:rsidP="000A624F">
            <w:pPr>
              <w:pBdr>
                <w:top w:val="nil"/>
                <w:left w:val="nil"/>
                <w:bottom w:val="nil"/>
                <w:right w:val="nil"/>
                <w:between w:val="nil"/>
                <w:bar w:val="nil"/>
              </w:pBdr>
              <w:adjustRightInd w:val="0"/>
              <w:snapToGrid w:val="0"/>
              <w:spacing w:afterLines="20" w:after="62"/>
              <w:ind w:firstLineChars="200" w:firstLine="420"/>
              <w:rPr>
                <w:rFonts w:ascii="楷体_GB2312" w:eastAsia="楷体_GB2312" w:hAnsi="华文细黑"/>
                <w:sz w:val="21"/>
                <w:szCs w:val="21"/>
              </w:rPr>
            </w:pPr>
            <w:r w:rsidRPr="000E05E7">
              <w:rPr>
                <w:rFonts w:ascii="楷体_GB2312" w:eastAsia="楷体_GB2312" w:hAnsi="华文细黑" w:hint="eastAsia"/>
                <w:sz w:val="21"/>
                <w:szCs w:val="21"/>
              </w:rPr>
              <w:t>本行持续实施网点智能化建设，合理配置网点布局，</w:t>
            </w:r>
            <w:r w:rsidR="00B24B6B">
              <w:rPr>
                <w:rFonts w:ascii="楷体_GB2312" w:eastAsia="楷体_GB2312" w:hAnsi="华文细黑" w:hint="eastAsia"/>
                <w:szCs w:val="21"/>
              </w:rPr>
              <w:t>一季度</w:t>
            </w:r>
            <w:r w:rsidRPr="000E05E7">
              <w:rPr>
                <w:rFonts w:ascii="楷体_GB2312" w:eastAsia="楷体_GB2312" w:hAnsi="华文细黑" w:hint="eastAsia"/>
                <w:sz w:val="21"/>
                <w:szCs w:val="21"/>
              </w:rPr>
              <w:t>，本行有92家分行（含香港分行）、共1,066家营业机构。</w:t>
            </w:r>
            <w:r w:rsidR="006D2880">
              <w:rPr>
                <w:rFonts w:ascii="楷体_GB2312" w:eastAsia="楷体_GB2312" w:hAnsi="华文细黑" w:hint="eastAsia"/>
                <w:sz w:val="21"/>
                <w:szCs w:val="21"/>
              </w:rPr>
              <w:t>其中</w:t>
            </w:r>
            <w:r w:rsidRPr="000E05E7">
              <w:rPr>
                <w:rFonts w:ascii="楷体_GB2312" w:eastAsia="楷体_GB2312" w:hAnsi="华文细黑" w:hint="eastAsia"/>
                <w:sz w:val="21"/>
                <w:szCs w:val="21"/>
              </w:rPr>
              <w:t>，全国已开业323家新门店。</w:t>
            </w:r>
          </w:p>
          <w:p w:rsidR="000A624F" w:rsidRPr="000E05E7" w:rsidRDefault="000A624F" w:rsidP="00AE02C7">
            <w:pPr>
              <w:adjustRightInd w:val="0"/>
              <w:snapToGrid w:val="0"/>
              <w:spacing w:afterLines="20" w:after="62"/>
              <w:ind w:firstLineChars="200" w:firstLine="420"/>
              <w:rPr>
                <w:rFonts w:ascii="楷体_GB2312" w:eastAsia="楷体_GB2312" w:hAnsi="华文细黑"/>
                <w:sz w:val="21"/>
                <w:szCs w:val="21"/>
              </w:rPr>
            </w:pPr>
          </w:p>
          <w:p w:rsidR="00C03E1A" w:rsidRPr="000E05E7" w:rsidRDefault="00AE02C7" w:rsidP="00AE02C7">
            <w:pPr>
              <w:pBdr>
                <w:top w:val="nil"/>
                <w:left w:val="nil"/>
                <w:bottom w:val="nil"/>
                <w:right w:val="nil"/>
                <w:between w:val="nil"/>
                <w:bar w:val="nil"/>
              </w:pBdr>
              <w:adjustRightInd w:val="0"/>
              <w:snapToGrid w:val="0"/>
              <w:spacing w:afterLines="20" w:after="62"/>
              <w:ind w:firstLineChars="200" w:firstLine="400"/>
              <w:rPr>
                <w:rFonts w:ascii="楷体_GB2312" w:eastAsia="楷体_GB2312" w:hAnsi="Arial"/>
                <w:szCs w:val="21"/>
              </w:rPr>
            </w:pPr>
            <w:r w:rsidRPr="000E05E7">
              <w:rPr>
                <w:rStyle w:val="a8"/>
                <w:rFonts w:ascii="楷体_GB2312" w:eastAsia="楷体_GB2312" w:hAnsi="Arial" w:hint="eastAsia"/>
                <w:szCs w:val="21"/>
              </w:rPr>
              <w:t>接待过程中，公司接待人员与投资者进行了充分的交流与沟通，严格按照有关制度规定，没有出现未公开重大信息泄露等情况。</w:t>
            </w:r>
          </w:p>
        </w:tc>
      </w:tr>
      <w:tr w:rsidR="00EE1C10" w:rsidRPr="000E05E7" w:rsidTr="005B3BAE">
        <w:tc>
          <w:tcPr>
            <w:tcW w:w="2552" w:type="dxa"/>
            <w:tcBorders>
              <w:top w:val="single" w:sz="4" w:space="0" w:color="auto"/>
              <w:left w:val="single" w:sz="4" w:space="0" w:color="auto"/>
              <w:bottom w:val="single" w:sz="4" w:space="0" w:color="auto"/>
              <w:right w:val="single" w:sz="4" w:space="0" w:color="auto"/>
            </w:tcBorders>
            <w:vAlign w:val="center"/>
          </w:tcPr>
          <w:p w:rsidR="00EE1C10" w:rsidRPr="000E05E7" w:rsidRDefault="00EE1C10" w:rsidP="00C21A8C">
            <w:pPr>
              <w:jc w:val="center"/>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lastRenderedPageBreak/>
              <w:t>附件清单（如有）</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0E05E7" w:rsidRDefault="006350C6" w:rsidP="00A52A70">
            <w:pPr>
              <w:jc w:val="left"/>
              <w:rPr>
                <w:rFonts w:ascii="楷体_GB2312" w:eastAsia="楷体_GB2312" w:hAnsi="Arial"/>
                <w:bCs/>
                <w:iCs/>
                <w:color w:val="000000"/>
                <w:sz w:val="21"/>
                <w:szCs w:val="21"/>
              </w:rPr>
            </w:pPr>
            <w:r w:rsidRPr="000E05E7">
              <w:rPr>
                <w:rFonts w:ascii="楷体_GB2312" w:eastAsia="楷体_GB2312" w:hAnsi="Arial" w:hint="eastAsia"/>
                <w:bCs/>
                <w:iCs/>
                <w:color w:val="000000"/>
                <w:szCs w:val="21"/>
              </w:rPr>
              <w:t>20</w:t>
            </w:r>
            <w:r w:rsidR="00A52A70" w:rsidRPr="000E05E7">
              <w:rPr>
                <w:rFonts w:ascii="楷体_GB2312" w:eastAsia="楷体_GB2312" w:hAnsi="Arial" w:hint="eastAsia"/>
                <w:bCs/>
                <w:iCs/>
                <w:color w:val="000000"/>
                <w:szCs w:val="21"/>
              </w:rPr>
              <w:t>20</w:t>
            </w:r>
            <w:r w:rsidRPr="000E05E7">
              <w:rPr>
                <w:rFonts w:ascii="楷体_GB2312" w:eastAsia="楷体_GB2312" w:hAnsi="Arial" w:hint="eastAsia"/>
                <w:bCs/>
                <w:iCs/>
                <w:color w:val="000000"/>
                <w:szCs w:val="21"/>
              </w:rPr>
              <w:t>年</w:t>
            </w:r>
            <w:r w:rsidR="00A52A70" w:rsidRPr="000E05E7">
              <w:rPr>
                <w:rFonts w:ascii="楷体_GB2312" w:eastAsia="楷体_GB2312" w:hAnsi="Arial" w:hint="eastAsia"/>
                <w:bCs/>
                <w:iCs/>
                <w:color w:val="000000"/>
                <w:szCs w:val="21"/>
              </w:rPr>
              <w:t>一季度</w:t>
            </w:r>
            <w:r w:rsidRPr="000E05E7">
              <w:rPr>
                <w:rFonts w:ascii="楷体_GB2312" w:eastAsia="楷体_GB2312" w:hAnsi="Arial" w:hint="eastAsia"/>
                <w:bCs/>
                <w:iCs/>
                <w:color w:val="000000"/>
                <w:szCs w:val="21"/>
              </w:rPr>
              <w:t>业绩PPT</w:t>
            </w:r>
            <w:r w:rsidR="006B0B04" w:rsidRPr="000E05E7">
              <w:rPr>
                <w:rFonts w:ascii="楷体_GB2312" w:eastAsia="楷体_GB2312" w:hAnsi="Arial" w:hint="eastAsia"/>
                <w:bCs/>
                <w:iCs/>
                <w:color w:val="000000"/>
                <w:szCs w:val="21"/>
              </w:rPr>
              <w:t>（请参见bank.pingan.com投资者关系-公司推介栏目）</w:t>
            </w:r>
          </w:p>
        </w:tc>
      </w:tr>
      <w:tr w:rsidR="00EE1C10" w:rsidRPr="000E05E7" w:rsidTr="00C21A8C">
        <w:trPr>
          <w:trHeight w:val="369"/>
        </w:trPr>
        <w:tc>
          <w:tcPr>
            <w:tcW w:w="2552" w:type="dxa"/>
            <w:tcBorders>
              <w:top w:val="single" w:sz="4" w:space="0" w:color="auto"/>
              <w:left w:val="single" w:sz="4" w:space="0" w:color="auto"/>
              <w:bottom w:val="single" w:sz="4" w:space="0" w:color="auto"/>
              <w:right w:val="single" w:sz="4" w:space="0" w:color="auto"/>
            </w:tcBorders>
            <w:vAlign w:val="center"/>
          </w:tcPr>
          <w:p w:rsidR="00EE1C10" w:rsidRPr="000E05E7" w:rsidRDefault="00EE1C10" w:rsidP="00C21A8C">
            <w:pPr>
              <w:jc w:val="center"/>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t>日期</w:t>
            </w:r>
          </w:p>
        </w:tc>
        <w:tc>
          <w:tcPr>
            <w:tcW w:w="6379" w:type="dxa"/>
            <w:tcBorders>
              <w:top w:val="single" w:sz="4" w:space="0" w:color="auto"/>
              <w:left w:val="single" w:sz="4" w:space="0" w:color="auto"/>
              <w:bottom w:val="single" w:sz="4" w:space="0" w:color="auto"/>
              <w:right w:val="single" w:sz="4" w:space="0" w:color="auto"/>
            </w:tcBorders>
            <w:vAlign w:val="center"/>
          </w:tcPr>
          <w:p w:rsidR="00EE1C10" w:rsidRPr="000E05E7" w:rsidRDefault="006350C6" w:rsidP="0006657F">
            <w:pPr>
              <w:jc w:val="center"/>
              <w:rPr>
                <w:rFonts w:ascii="楷体_GB2312" w:eastAsia="楷体_GB2312" w:hAnsi="Arial"/>
                <w:bCs/>
                <w:iCs/>
                <w:color w:val="000000"/>
                <w:sz w:val="21"/>
                <w:szCs w:val="21"/>
              </w:rPr>
            </w:pPr>
            <w:r w:rsidRPr="000E05E7">
              <w:rPr>
                <w:rFonts w:ascii="楷体_GB2312" w:eastAsia="楷体_GB2312" w:hAnsi="Arial" w:hint="eastAsia"/>
                <w:bCs/>
                <w:iCs/>
                <w:color w:val="000000"/>
                <w:sz w:val="21"/>
                <w:szCs w:val="21"/>
              </w:rPr>
              <w:t>20</w:t>
            </w:r>
            <w:r w:rsidR="004F64B5" w:rsidRPr="000E05E7">
              <w:rPr>
                <w:rFonts w:ascii="楷体_GB2312" w:eastAsia="楷体_GB2312" w:hAnsi="Arial" w:hint="eastAsia"/>
                <w:bCs/>
                <w:iCs/>
                <w:color w:val="000000"/>
                <w:sz w:val="21"/>
                <w:szCs w:val="21"/>
              </w:rPr>
              <w:t>20</w:t>
            </w:r>
            <w:r w:rsidRPr="000E05E7">
              <w:rPr>
                <w:rFonts w:ascii="楷体_GB2312" w:eastAsia="楷体_GB2312" w:hAnsi="Arial" w:hint="eastAsia"/>
                <w:bCs/>
                <w:iCs/>
                <w:color w:val="000000"/>
                <w:sz w:val="21"/>
                <w:szCs w:val="21"/>
              </w:rPr>
              <w:t>.</w:t>
            </w:r>
            <w:r w:rsidR="004F64B5" w:rsidRPr="000E05E7">
              <w:rPr>
                <w:rFonts w:ascii="楷体_GB2312" w:eastAsia="楷体_GB2312" w:hAnsi="Arial" w:hint="eastAsia"/>
                <w:bCs/>
                <w:iCs/>
                <w:color w:val="000000"/>
                <w:sz w:val="21"/>
                <w:szCs w:val="21"/>
              </w:rPr>
              <w:t>0</w:t>
            </w:r>
            <w:r w:rsidR="0006657F" w:rsidRPr="000E05E7">
              <w:rPr>
                <w:rFonts w:ascii="楷体_GB2312" w:eastAsia="楷体_GB2312" w:hAnsi="Arial" w:hint="eastAsia"/>
                <w:bCs/>
                <w:iCs/>
                <w:color w:val="000000"/>
                <w:sz w:val="21"/>
                <w:szCs w:val="21"/>
              </w:rPr>
              <w:t>4</w:t>
            </w:r>
            <w:r w:rsidRPr="000E05E7">
              <w:rPr>
                <w:rFonts w:ascii="楷体_GB2312" w:eastAsia="楷体_GB2312" w:hAnsi="Arial" w:hint="eastAsia"/>
                <w:bCs/>
                <w:iCs/>
                <w:color w:val="000000"/>
                <w:sz w:val="21"/>
                <w:szCs w:val="21"/>
              </w:rPr>
              <w:t>.</w:t>
            </w:r>
            <w:r w:rsidR="0006657F" w:rsidRPr="000E05E7">
              <w:rPr>
                <w:rFonts w:ascii="楷体_GB2312" w:eastAsia="楷体_GB2312" w:hAnsi="Arial" w:hint="eastAsia"/>
                <w:bCs/>
                <w:iCs/>
                <w:color w:val="000000"/>
                <w:sz w:val="21"/>
                <w:szCs w:val="21"/>
              </w:rPr>
              <w:t>21</w:t>
            </w:r>
          </w:p>
        </w:tc>
      </w:tr>
    </w:tbl>
    <w:p w:rsidR="00941F1C" w:rsidRPr="000E05E7" w:rsidRDefault="00941F1C" w:rsidP="00862CF2">
      <w:pPr>
        <w:rPr>
          <w:rFonts w:ascii="楷体_GB2312" w:eastAsia="楷体_GB2312" w:hAnsi="Arial"/>
          <w:szCs w:val="21"/>
        </w:rPr>
      </w:pPr>
    </w:p>
    <w:sectPr w:rsidR="00941F1C" w:rsidRPr="000E05E7" w:rsidSect="0049405C">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4F" w:rsidRDefault="000A624F" w:rsidP="00D96584">
      <w:r>
        <w:separator/>
      </w:r>
    </w:p>
  </w:endnote>
  <w:endnote w:type="continuationSeparator" w:id="0">
    <w:p w:rsidR="000A624F" w:rsidRDefault="000A624F" w:rsidP="00D9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准圆_GBK_平安专用">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2OcuAe">
    <w:altName w:val="Times New Roman"/>
    <w:panose1 w:val="00000000000000000000"/>
    <w:charset w:val="00"/>
    <w:family w:val="roman"/>
    <w:notTrueType/>
    <w:pitch w:val="default"/>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4F" w:rsidRDefault="000A624F" w:rsidP="00D96584">
      <w:r>
        <w:separator/>
      </w:r>
    </w:p>
  </w:footnote>
  <w:footnote w:type="continuationSeparator" w:id="0">
    <w:p w:rsidR="000A624F" w:rsidRDefault="000A624F" w:rsidP="00D96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07D"/>
    <w:multiLevelType w:val="hybridMultilevel"/>
    <w:tmpl w:val="37B228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3">
    <w:nsid w:val="1B427BE6"/>
    <w:multiLevelType w:val="multilevel"/>
    <w:tmpl w:val="EBBC1982"/>
    <w:styleLink w:val="List1"/>
    <w:lvl w:ilvl="0">
      <w:start w:val="15"/>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1B8A2265"/>
    <w:multiLevelType w:val="hybridMultilevel"/>
    <w:tmpl w:val="904654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3055A1"/>
    <w:multiLevelType w:val="hybridMultilevel"/>
    <w:tmpl w:val="9314D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5D16322"/>
    <w:multiLevelType w:val="hybridMultilevel"/>
    <w:tmpl w:val="FBCEA6A2"/>
    <w:lvl w:ilvl="0" w:tplc="419EDC28">
      <w:start w:val="1"/>
      <w:numFmt w:val="decimal"/>
      <w:lvlText w:val="%1."/>
      <w:lvlJc w:val="left"/>
      <w:pPr>
        <w:ind w:left="42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8B6A0">
      <w:start w:val="1"/>
      <w:numFmt w:val="lowerLetter"/>
      <w:lvlText w:val="%2)"/>
      <w:lvlJc w:val="left"/>
      <w:pPr>
        <w:ind w:left="8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74B7E0">
      <w:start w:val="1"/>
      <w:numFmt w:val="lowerRoman"/>
      <w:lvlText w:val="%3."/>
      <w:lvlJc w:val="left"/>
      <w:pPr>
        <w:ind w:left="126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C79BA">
      <w:start w:val="1"/>
      <w:numFmt w:val="decimal"/>
      <w:lvlText w:val="%4."/>
      <w:lvlJc w:val="left"/>
      <w:pPr>
        <w:ind w:left="168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C622E">
      <w:start w:val="1"/>
      <w:numFmt w:val="lowerLetter"/>
      <w:lvlText w:val="%5)"/>
      <w:lvlJc w:val="left"/>
      <w:pPr>
        <w:ind w:left="210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0F912">
      <w:start w:val="1"/>
      <w:numFmt w:val="lowerRoman"/>
      <w:lvlText w:val="%6."/>
      <w:lvlJc w:val="left"/>
      <w:pPr>
        <w:ind w:left="252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383F64">
      <w:start w:val="1"/>
      <w:numFmt w:val="decimal"/>
      <w:lvlText w:val="%7."/>
      <w:lvlJc w:val="left"/>
      <w:pPr>
        <w:ind w:left="294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E407C">
      <w:start w:val="1"/>
      <w:numFmt w:val="lowerLetter"/>
      <w:lvlText w:val="%8)"/>
      <w:lvlJc w:val="left"/>
      <w:pPr>
        <w:ind w:left="3360" w:hanging="4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CCD3BE">
      <w:start w:val="1"/>
      <w:numFmt w:val="lowerRoman"/>
      <w:lvlText w:val="%9."/>
      <w:lvlJc w:val="left"/>
      <w:pPr>
        <w:ind w:left="3780" w:hanging="53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DAB03B3"/>
    <w:multiLevelType w:val="hybridMultilevel"/>
    <w:tmpl w:val="9FDA118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CB286E20">
      <w:start w:val="1"/>
      <w:numFmt w:val="decimal"/>
      <w:lvlText w:val="（%3）"/>
      <w:lvlJc w:val="left"/>
      <w:pPr>
        <w:ind w:left="1800" w:hanging="9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C23F02"/>
    <w:multiLevelType w:val="hybridMultilevel"/>
    <w:tmpl w:val="64C8DC7A"/>
    <w:lvl w:ilvl="0" w:tplc="761231E8">
      <w:start w:val="1"/>
      <w:numFmt w:val="decimal"/>
      <w:pStyle w:val="3"/>
      <w:lvlText w:val="%1、"/>
      <w:lvlJc w:val="left"/>
      <w:pPr>
        <w:tabs>
          <w:tab w:val="num" w:pos="360"/>
        </w:tabs>
        <w:ind w:left="360" w:hanging="360"/>
      </w:pPr>
      <w:rPr>
        <w:rFonts w:hint="default"/>
      </w:rPr>
    </w:lvl>
    <w:lvl w:ilvl="1" w:tplc="E926D4D4" w:tentative="1">
      <w:start w:val="1"/>
      <w:numFmt w:val="lowerLetter"/>
      <w:lvlText w:val="%2)"/>
      <w:lvlJc w:val="left"/>
      <w:pPr>
        <w:tabs>
          <w:tab w:val="num" w:pos="840"/>
        </w:tabs>
        <w:ind w:left="840" w:hanging="420"/>
      </w:pPr>
    </w:lvl>
    <w:lvl w:ilvl="2" w:tplc="41B880F2" w:tentative="1">
      <w:start w:val="1"/>
      <w:numFmt w:val="lowerRoman"/>
      <w:lvlText w:val="%3."/>
      <w:lvlJc w:val="right"/>
      <w:pPr>
        <w:tabs>
          <w:tab w:val="num" w:pos="1260"/>
        </w:tabs>
        <w:ind w:left="1260" w:hanging="420"/>
      </w:pPr>
    </w:lvl>
    <w:lvl w:ilvl="3" w:tplc="51E2A55C" w:tentative="1">
      <w:start w:val="1"/>
      <w:numFmt w:val="decimal"/>
      <w:lvlText w:val="%4."/>
      <w:lvlJc w:val="left"/>
      <w:pPr>
        <w:tabs>
          <w:tab w:val="num" w:pos="1680"/>
        </w:tabs>
        <w:ind w:left="1680" w:hanging="420"/>
      </w:pPr>
    </w:lvl>
    <w:lvl w:ilvl="4" w:tplc="65E8E062" w:tentative="1">
      <w:start w:val="1"/>
      <w:numFmt w:val="lowerLetter"/>
      <w:lvlText w:val="%5)"/>
      <w:lvlJc w:val="left"/>
      <w:pPr>
        <w:tabs>
          <w:tab w:val="num" w:pos="2100"/>
        </w:tabs>
        <w:ind w:left="2100" w:hanging="420"/>
      </w:pPr>
    </w:lvl>
    <w:lvl w:ilvl="5" w:tplc="9964108A" w:tentative="1">
      <w:start w:val="1"/>
      <w:numFmt w:val="lowerRoman"/>
      <w:lvlText w:val="%6."/>
      <w:lvlJc w:val="right"/>
      <w:pPr>
        <w:tabs>
          <w:tab w:val="num" w:pos="2520"/>
        </w:tabs>
        <w:ind w:left="2520" w:hanging="420"/>
      </w:pPr>
    </w:lvl>
    <w:lvl w:ilvl="6" w:tplc="E2C431DE" w:tentative="1">
      <w:start w:val="1"/>
      <w:numFmt w:val="decimal"/>
      <w:lvlText w:val="%7."/>
      <w:lvlJc w:val="left"/>
      <w:pPr>
        <w:tabs>
          <w:tab w:val="num" w:pos="2940"/>
        </w:tabs>
        <w:ind w:left="2940" w:hanging="420"/>
      </w:pPr>
    </w:lvl>
    <w:lvl w:ilvl="7" w:tplc="5CAA6D18" w:tentative="1">
      <w:start w:val="1"/>
      <w:numFmt w:val="lowerLetter"/>
      <w:lvlText w:val="%8)"/>
      <w:lvlJc w:val="left"/>
      <w:pPr>
        <w:tabs>
          <w:tab w:val="num" w:pos="3360"/>
        </w:tabs>
        <w:ind w:left="3360" w:hanging="420"/>
      </w:pPr>
    </w:lvl>
    <w:lvl w:ilvl="8" w:tplc="91B40E14" w:tentative="1">
      <w:start w:val="1"/>
      <w:numFmt w:val="lowerRoman"/>
      <w:lvlText w:val="%9."/>
      <w:lvlJc w:val="right"/>
      <w:pPr>
        <w:tabs>
          <w:tab w:val="num" w:pos="3780"/>
        </w:tabs>
        <w:ind w:left="3780" w:hanging="420"/>
      </w:pPr>
    </w:lvl>
  </w:abstractNum>
  <w:num w:numId="1">
    <w:abstractNumId w:val="8"/>
  </w:num>
  <w:num w:numId="2">
    <w:abstractNumId w:val="1"/>
  </w:num>
  <w:num w:numId="3">
    <w:abstractNumId w:val="2"/>
  </w:num>
  <w:num w:numId="4">
    <w:abstractNumId w:val="3"/>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5"/>
  </w:num>
  <w:num w:numId="27">
    <w:abstractNumId w:val="6"/>
  </w:num>
  <w:num w:numId="28">
    <w:abstractNumId w:val="6"/>
  </w:num>
  <w:num w:numId="29">
    <w:abstractNumId w:val="6"/>
  </w:num>
  <w:num w:numId="30">
    <w:abstractNumId w:val="6"/>
  </w:num>
  <w:num w:numId="31">
    <w:abstractNumId w:val="7"/>
  </w:num>
  <w:num w:numId="32">
    <w:abstractNumId w:val="4"/>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10"/>
    <w:rsid w:val="00021C46"/>
    <w:rsid w:val="00043512"/>
    <w:rsid w:val="0005090F"/>
    <w:rsid w:val="00065AA6"/>
    <w:rsid w:val="0006657F"/>
    <w:rsid w:val="00080A64"/>
    <w:rsid w:val="00082013"/>
    <w:rsid w:val="00083D6A"/>
    <w:rsid w:val="000A2DF8"/>
    <w:rsid w:val="000A624F"/>
    <w:rsid w:val="000B3693"/>
    <w:rsid w:val="000B41B6"/>
    <w:rsid w:val="000D607F"/>
    <w:rsid w:val="000E05E7"/>
    <w:rsid w:val="00101C48"/>
    <w:rsid w:val="00130F3C"/>
    <w:rsid w:val="001362E7"/>
    <w:rsid w:val="001434EB"/>
    <w:rsid w:val="001516B8"/>
    <w:rsid w:val="0015535F"/>
    <w:rsid w:val="00157667"/>
    <w:rsid w:val="00161A96"/>
    <w:rsid w:val="00197FFA"/>
    <w:rsid w:val="001B33AC"/>
    <w:rsid w:val="001B72DE"/>
    <w:rsid w:val="001C10A8"/>
    <w:rsid w:val="001C3AC1"/>
    <w:rsid w:val="001C4C8A"/>
    <w:rsid w:val="001D2529"/>
    <w:rsid w:val="001D5474"/>
    <w:rsid w:val="001E2C63"/>
    <w:rsid w:val="001F3B5D"/>
    <w:rsid w:val="00210939"/>
    <w:rsid w:val="00217D1A"/>
    <w:rsid w:val="00227050"/>
    <w:rsid w:val="002515C0"/>
    <w:rsid w:val="002721F3"/>
    <w:rsid w:val="00276DAA"/>
    <w:rsid w:val="002B200E"/>
    <w:rsid w:val="002B4EAA"/>
    <w:rsid w:val="002B5D00"/>
    <w:rsid w:val="002F1CBE"/>
    <w:rsid w:val="002F68DD"/>
    <w:rsid w:val="003075A1"/>
    <w:rsid w:val="003317E5"/>
    <w:rsid w:val="0034241B"/>
    <w:rsid w:val="003450A0"/>
    <w:rsid w:val="00354883"/>
    <w:rsid w:val="00375010"/>
    <w:rsid w:val="003777D5"/>
    <w:rsid w:val="00381783"/>
    <w:rsid w:val="003B107D"/>
    <w:rsid w:val="003B323B"/>
    <w:rsid w:val="003B5748"/>
    <w:rsid w:val="003B721F"/>
    <w:rsid w:val="003C375D"/>
    <w:rsid w:val="003C42A4"/>
    <w:rsid w:val="003F144D"/>
    <w:rsid w:val="003F79D6"/>
    <w:rsid w:val="00413B4B"/>
    <w:rsid w:val="0043629D"/>
    <w:rsid w:val="00442349"/>
    <w:rsid w:val="0045059E"/>
    <w:rsid w:val="00461C9C"/>
    <w:rsid w:val="00471475"/>
    <w:rsid w:val="0049405C"/>
    <w:rsid w:val="00497C7E"/>
    <w:rsid w:val="004B47B1"/>
    <w:rsid w:val="004F64B5"/>
    <w:rsid w:val="004F6F03"/>
    <w:rsid w:val="00511122"/>
    <w:rsid w:val="0051123B"/>
    <w:rsid w:val="0051176B"/>
    <w:rsid w:val="00535D6F"/>
    <w:rsid w:val="00541176"/>
    <w:rsid w:val="005425DD"/>
    <w:rsid w:val="005435E0"/>
    <w:rsid w:val="005464C3"/>
    <w:rsid w:val="00550FD9"/>
    <w:rsid w:val="0055309B"/>
    <w:rsid w:val="005B3BAE"/>
    <w:rsid w:val="005C02D2"/>
    <w:rsid w:val="005C32E3"/>
    <w:rsid w:val="005E33CA"/>
    <w:rsid w:val="005E4299"/>
    <w:rsid w:val="00603A26"/>
    <w:rsid w:val="00622C3A"/>
    <w:rsid w:val="00623A26"/>
    <w:rsid w:val="00631CC9"/>
    <w:rsid w:val="0063326E"/>
    <w:rsid w:val="006350C6"/>
    <w:rsid w:val="00684A13"/>
    <w:rsid w:val="00693E35"/>
    <w:rsid w:val="006A1753"/>
    <w:rsid w:val="006A7B25"/>
    <w:rsid w:val="006B0B04"/>
    <w:rsid w:val="006C5210"/>
    <w:rsid w:val="006D2880"/>
    <w:rsid w:val="006E4D55"/>
    <w:rsid w:val="006F64B3"/>
    <w:rsid w:val="00740C1A"/>
    <w:rsid w:val="00761259"/>
    <w:rsid w:val="00777BC7"/>
    <w:rsid w:val="00793203"/>
    <w:rsid w:val="007C213F"/>
    <w:rsid w:val="007E3D85"/>
    <w:rsid w:val="00803207"/>
    <w:rsid w:val="008132CB"/>
    <w:rsid w:val="0082259D"/>
    <w:rsid w:val="008439B9"/>
    <w:rsid w:val="00845B88"/>
    <w:rsid w:val="0084646C"/>
    <w:rsid w:val="00853994"/>
    <w:rsid w:val="00862CF2"/>
    <w:rsid w:val="008633E9"/>
    <w:rsid w:val="008710F9"/>
    <w:rsid w:val="00875F50"/>
    <w:rsid w:val="00880699"/>
    <w:rsid w:val="0089673B"/>
    <w:rsid w:val="008A3FD9"/>
    <w:rsid w:val="008A4E3E"/>
    <w:rsid w:val="008B3EDE"/>
    <w:rsid w:val="008B60BD"/>
    <w:rsid w:val="008C111F"/>
    <w:rsid w:val="008F16A2"/>
    <w:rsid w:val="008F22A3"/>
    <w:rsid w:val="009043C5"/>
    <w:rsid w:val="00921892"/>
    <w:rsid w:val="00930952"/>
    <w:rsid w:val="00941F1C"/>
    <w:rsid w:val="00951547"/>
    <w:rsid w:val="009561FA"/>
    <w:rsid w:val="009C4894"/>
    <w:rsid w:val="009C5679"/>
    <w:rsid w:val="009E293D"/>
    <w:rsid w:val="009E71F2"/>
    <w:rsid w:val="009F13CD"/>
    <w:rsid w:val="00A06B39"/>
    <w:rsid w:val="00A115A1"/>
    <w:rsid w:val="00A12BD3"/>
    <w:rsid w:val="00A140B8"/>
    <w:rsid w:val="00A1521F"/>
    <w:rsid w:val="00A42C40"/>
    <w:rsid w:val="00A52A70"/>
    <w:rsid w:val="00A84DCD"/>
    <w:rsid w:val="00A87A56"/>
    <w:rsid w:val="00A954CC"/>
    <w:rsid w:val="00AA5A95"/>
    <w:rsid w:val="00AB47CE"/>
    <w:rsid w:val="00AB67BB"/>
    <w:rsid w:val="00AD4C28"/>
    <w:rsid w:val="00AE02C7"/>
    <w:rsid w:val="00B17ECB"/>
    <w:rsid w:val="00B24B6B"/>
    <w:rsid w:val="00B31C4E"/>
    <w:rsid w:val="00B454CA"/>
    <w:rsid w:val="00B65391"/>
    <w:rsid w:val="00B708D6"/>
    <w:rsid w:val="00B71E2E"/>
    <w:rsid w:val="00B84A84"/>
    <w:rsid w:val="00B84C2E"/>
    <w:rsid w:val="00BB741D"/>
    <w:rsid w:val="00BE11BC"/>
    <w:rsid w:val="00BE3743"/>
    <w:rsid w:val="00C03E1A"/>
    <w:rsid w:val="00C12E89"/>
    <w:rsid w:val="00C21A8C"/>
    <w:rsid w:val="00C30CA5"/>
    <w:rsid w:val="00C35BCB"/>
    <w:rsid w:val="00C51768"/>
    <w:rsid w:val="00C81677"/>
    <w:rsid w:val="00C87159"/>
    <w:rsid w:val="00CA0689"/>
    <w:rsid w:val="00CA1629"/>
    <w:rsid w:val="00CB4AC9"/>
    <w:rsid w:val="00CC12EA"/>
    <w:rsid w:val="00CF7823"/>
    <w:rsid w:val="00D03DFD"/>
    <w:rsid w:val="00D06801"/>
    <w:rsid w:val="00D302B7"/>
    <w:rsid w:val="00D50045"/>
    <w:rsid w:val="00D87038"/>
    <w:rsid w:val="00D91B1B"/>
    <w:rsid w:val="00D926C5"/>
    <w:rsid w:val="00D92BD1"/>
    <w:rsid w:val="00D96584"/>
    <w:rsid w:val="00DB35CA"/>
    <w:rsid w:val="00DC7C3C"/>
    <w:rsid w:val="00DD1E65"/>
    <w:rsid w:val="00DD684A"/>
    <w:rsid w:val="00DD7DFF"/>
    <w:rsid w:val="00DE4B3F"/>
    <w:rsid w:val="00E00681"/>
    <w:rsid w:val="00E017C9"/>
    <w:rsid w:val="00E055AC"/>
    <w:rsid w:val="00E1525A"/>
    <w:rsid w:val="00E37317"/>
    <w:rsid w:val="00E50C4A"/>
    <w:rsid w:val="00E724E3"/>
    <w:rsid w:val="00E733AB"/>
    <w:rsid w:val="00E97341"/>
    <w:rsid w:val="00EB2B4C"/>
    <w:rsid w:val="00EC6B0A"/>
    <w:rsid w:val="00ED2A52"/>
    <w:rsid w:val="00EE1C10"/>
    <w:rsid w:val="00EE4F68"/>
    <w:rsid w:val="00EE7C01"/>
    <w:rsid w:val="00F0207E"/>
    <w:rsid w:val="00F0381B"/>
    <w:rsid w:val="00F16F75"/>
    <w:rsid w:val="00F46360"/>
    <w:rsid w:val="00F564FB"/>
    <w:rsid w:val="00F628CA"/>
    <w:rsid w:val="00F66AD9"/>
    <w:rsid w:val="00F730BE"/>
    <w:rsid w:val="00FA1FC9"/>
    <w:rsid w:val="00FA7D26"/>
    <w:rsid w:val="00FC0257"/>
    <w:rsid w:val="00FC32FA"/>
    <w:rsid w:val="00FD0E95"/>
    <w:rsid w:val="00FE093E"/>
    <w:rsid w:val="00FE4AFD"/>
    <w:rsid w:val="00FF0263"/>
    <w:rsid w:val="00FF42DB"/>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A1F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Char"/>
    <w:autoRedefine/>
    <w:uiPriority w:val="99"/>
    <w:qFormat/>
    <w:rsid w:val="00C21A8C"/>
    <w:pPr>
      <w:widowControl/>
      <w:tabs>
        <w:tab w:val="left" w:pos="0"/>
      </w:tabs>
      <w:overflowPunct w:val="0"/>
      <w:autoSpaceDE w:val="0"/>
      <w:autoSpaceDN w:val="0"/>
      <w:adjustRightInd w:val="0"/>
      <w:snapToGrid w:val="0"/>
      <w:spacing w:beforeLines="20" w:before="62" w:afterLines="20" w:after="62"/>
      <w:textAlignment w:val="baseline"/>
      <w:outlineLvl w:val="2"/>
    </w:pPr>
    <w:rPr>
      <w:rFonts w:asciiTheme="minorEastAsia" w:eastAsiaTheme="minorEastAsia" w:hAnsiTheme="minorEastAsia"/>
      <w:b/>
      <w:bCs/>
      <w:kern w:val="0"/>
      <w:szCs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6584"/>
    <w:rPr>
      <w:rFonts w:ascii="Times New Roman" w:eastAsia="宋体" w:hAnsi="Times New Roman" w:cs="Times New Roman"/>
      <w:sz w:val="18"/>
      <w:szCs w:val="18"/>
    </w:rPr>
  </w:style>
  <w:style w:type="paragraph" w:styleId="a5">
    <w:name w:val="footer"/>
    <w:basedOn w:val="a"/>
    <w:link w:val="Char0"/>
    <w:uiPriority w:val="99"/>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0"/>
    <w:uiPriority w:val="99"/>
    <w:rsid w:val="00C21A8C"/>
    <w:rPr>
      <w:rFonts w:asciiTheme="minorEastAsia" w:hAnsiTheme="minorEastAsia" w:cs="Times New Roman"/>
      <w:b/>
      <w:bCs/>
      <w:kern w:val="0"/>
      <w:szCs w:val="21"/>
      <w:lang w:bidi="he-IL"/>
    </w:rPr>
  </w:style>
  <w:style w:type="paragraph" w:customStyle="1" w:styleId="3">
    <w:name w:val="标题3"/>
    <w:basedOn w:val="30"/>
    <w:autoRedefine/>
    <w:rsid w:val="0043629D"/>
    <w:pPr>
      <w:keepNext/>
      <w:keepLines/>
      <w:numPr>
        <w:numId w:val="1"/>
      </w:numPr>
      <w:overflowPunct/>
      <w:autoSpaceDE/>
      <w:autoSpaceDN/>
      <w:adjustRightInd/>
      <w:ind w:rightChars="100" w:right="220"/>
      <w:textAlignment w:val="auto"/>
    </w:pPr>
    <w:rPr>
      <w:rFonts w:ascii="宋体" w:eastAsia="宋体" w:hAnsi="宋体" w:cs="宋体"/>
      <w:color w:val="333333"/>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0"/>
    <w:link w:val="FAQ3Char"/>
    <w:qFormat/>
    <w:rsid w:val="00EE7C01"/>
    <w:pPr>
      <w:numPr>
        <w:numId w:val="2"/>
      </w:numPr>
      <w:spacing w:beforeLines="50" w:line="288" w:lineRule="auto"/>
      <w:ind w:left="0" w:firstLine="0"/>
    </w:pPr>
  </w:style>
  <w:style w:type="character" w:customStyle="1" w:styleId="FAQ3Char">
    <w:name w:val="深发展FAQ标题3 Char"/>
    <w:basedOn w:val="3Char"/>
    <w:link w:val="FAQ3"/>
    <w:rsid w:val="00EE7C01"/>
    <w:rPr>
      <w:rFonts w:asciiTheme="minorEastAsia" w:hAnsiTheme="minorEastAsia" w:cs="Times New Roman"/>
      <w:b/>
      <w:bCs/>
      <w:kern w:val="0"/>
      <w:szCs w:val="21"/>
      <w:lang w:bidi="he-IL"/>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3"/>
      </w:numPr>
      <w:ind w:firstLineChars="0" w:firstLine="0"/>
    </w:pPr>
    <w:rPr>
      <w:rFonts w:ascii="黑体" w:eastAsia="黑体" w:hAnsi="黑体"/>
      <w:szCs w:val="22"/>
    </w:rPr>
  </w:style>
  <w:style w:type="paragraph" w:styleId="a7">
    <w:name w:val="Balloon Text"/>
    <w:basedOn w:val="a"/>
    <w:link w:val="Char1"/>
    <w:uiPriority w:val="99"/>
    <w:semiHidden/>
    <w:unhideWhenUsed/>
    <w:rsid w:val="00D91B1B"/>
    <w:rPr>
      <w:sz w:val="18"/>
      <w:szCs w:val="18"/>
    </w:rPr>
  </w:style>
  <w:style w:type="character" w:customStyle="1" w:styleId="Char1">
    <w:name w:val="批注框文本 Char"/>
    <w:basedOn w:val="a0"/>
    <w:link w:val="a7"/>
    <w:uiPriority w:val="99"/>
    <w:semiHidden/>
    <w:rsid w:val="00D91B1B"/>
    <w:rPr>
      <w:rFonts w:ascii="Times New Roman" w:eastAsia="宋体" w:hAnsi="Times New Roman" w:cs="Times New Roman"/>
      <w:sz w:val="18"/>
      <w:szCs w:val="18"/>
    </w:rPr>
  </w:style>
  <w:style w:type="paragraph" w:customStyle="1" w:styleId="32">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4"/>
      </w:numPr>
    </w:pPr>
  </w:style>
  <w:style w:type="character" w:customStyle="1" w:styleId="2Char">
    <w:name w:val="标题 2 Char"/>
    <w:basedOn w:val="a0"/>
    <w:link w:val="2"/>
    <w:uiPriority w:val="9"/>
    <w:semiHidden/>
    <w:rsid w:val="00FA1FC9"/>
    <w:rPr>
      <w:rFonts w:asciiTheme="majorHAnsi" w:eastAsiaTheme="majorEastAsia" w:hAnsiTheme="majorHAnsi" w:cstheme="majorBidi"/>
      <w:b/>
      <w:bCs/>
      <w:sz w:val="32"/>
      <w:szCs w:val="32"/>
    </w:rPr>
  </w:style>
  <w:style w:type="character" w:styleId="a8">
    <w:name w:val="page number"/>
    <w:uiPriority w:val="99"/>
    <w:rsid w:val="002B5D00"/>
    <w:rPr>
      <w:lang w:val="zh-TW" w:eastAsia="zh-TW"/>
    </w:rPr>
  </w:style>
  <w:style w:type="paragraph" w:styleId="a9">
    <w:name w:val="Normal (Web)"/>
    <w:basedOn w:val="a"/>
    <w:uiPriority w:val="99"/>
    <w:rsid w:val="00E055AC"/>
    <w:pPr>
      <w:widowControl/>
      <w:spacing w:before="100" w:beforeAutospacing="1" w:after="100" w:afterAutospacing="1"/>
      <w:jc w:val="left"/>
    </w:pPr>
    <w:rPr>
      <w:rFonts w:ascii="宋体" w:hAnsi="宋体"/>
      <w:kern w:val="0"/>
      <w:sz w:val="24"/>
      <w:u w:color="000000"/>
    </w:rPr>
  </w:style>
  <w:style w:type="paragraph" w:styleId="aa">
    <w:name w:val="footnote text"/>
    <w:basedOn w:val="a"/>
    <w:link w:val="Char2"/>
    <w:uiPriority w:val="99"/>
    <w:rsid w:val="00A42C40"/>
    <w:pPr>
      <w:autoSpaceDE w:val="0"/>
      <w:autoSpaceDN w:val="0"/>
      <w:adjustRightInd w:val="0"/>
      <w:jc w:val="left"/>
      <w:textAlignment w:val="baseline"/>
    </w:pPr>
    <w:rPr>
      <w:rFonts w:ascii="2OcuAe" w:eastAsia="2OcuAe" w:cs="2OcuAe"/>
      <w:kern w:val="0"/>
      <w:sz w:val="20"/>
      <w:szCs w:val="20"/>
    </w:rPr>
  </w:style>
  <w:style w:type="character" w:customStyle="1" w:styleId="Char2">
    <w:name w:val="脚注文本 Char"/>
    <w:basedOn w:val="a0"/>
    <w:link w:val="aa"/>
    <w:uiPriority w:val="99"/>
    <w:rsid w:val="00A42C40"/>
    <w:rPr>
      <w:rFonts w:ascii="2OcuAe" w:eastAsia="2OcuAe" w:hAnsi="Times New Roman" w:cs="2OcuAe"/>
      <w:kern w:val="0"/>
      <w:sz w:val="20"/>
      <w:szCs w:val="20"/>
    </w:rPr>
  </w:style>
  <w:style w:type="character" w:styleId="ab">
    <w:name w:val="footnote reference"/>
    <w:basedOn w:val="a0"/>
    <w:uiPriority w:val="99"/>
    <w:unhideWhenUsed/>
    <w:rsid w:val="00A42C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A1F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Char"/>
    <w:autoRedefine/>
    <w:uiPriority w:val="99"/>
    <w:qFormat/>
    <w:rsid w:val="00C21A8C"/>
    <w:pPr>
      <w:widowControl/>
      <w:tabs>
        <w:tab w:val="left" w:pos="0"/>
      </w:tabs>
      <w:overflowPunct w:val="0"/>
      <w:autoSpaceDE w:val="0"/>
      <w:autoSpaceDN w:val="0"/>
      <w:adjustRightInd w:val="0"/>
      <w:snapToGrid w:val="0"/>
      <w:spacing w:beforeLines="20" w:before="62" w:afterLines="20" w:after="62"/>
      <w:textAlignment w:val="baseline"/>
      <w:outlineLvl w:val="2"/>
    </w:pPr>
    <w:rPr>
      <w:rFonts w:asciiTheme="minorEastAsia" w:eastAsiaTheme="minorEastAsia" w:hAnsiTheme="minorEastAsia"/>
      <w:b/>
      <w:bCs/>
      <w:kern w:val="0"/>
      <w:szCs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6584"/>
    <w:rPr>
      <w:rFonts w:ascii="Times New Roman" w:eastAsia="宋体" w:hAnsi="Times New Roman" w:cs="Times New Roman"/>
      <w:sz w:val="18"/>
      <w:szCs w:val="18"/>
    </w:rPr>
  </w:style>
  <w:style w:type="paragraph" w:styleId="a5">
    <w:name w:val="footer"/>
    <w:basedOn w:val="a"/>
    <w:link w:val="Char0"/>
    <w:uiPriority w:val="99"/>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0"/>
    <w:uiPriority w:val="99"/>
    <w:rsid w:val="00C21A8C"/>
    <w:rPr>
      <w:rFonts w:asciiTheme="minorEastAsia" w:hAnsiTheme="minorEastAsia" w:cs="Times New Roman"/>
      <w:b/>
      <w:bCs/>
      <w:kern w:val="0"/>
      <w:szCs w:val="21"/>
      <w:lang w:bidi="he-IL"/>
    </w:rPr>
  </w:style>
  <w:style w:type="paragraph" w:customStyle="1" w:styleId="3">
    <w:name w:val="标题3"/>
    <w:basedOn w:val="30"/>
    <w:autoRedefine/>
    <w:rsid w:val="0043629D"/>
    <w:pPr>
      <w:keepNext/>
      <w:keepLines/>
      <w:numPr>
        <w:numId w:val="1"/>
      </w:numPr>
      <w:overflowPunct/>
      <w:autoSpaceDE/>
      <w:autoSpaceDN/>
      <w:adjustRightInd/>
      <w:ind w:rightChars="100" w:right="220"/>
      <w:textAlignment w:val="auto"/>
    </w:pPr>
    <w:rPr>
      <w:rFonts w:ascii="宋体" w:eastAsia="宋体" w:hAnsi="宋体" w:cs="宋体"/>
      <w:color w:val="333333"/>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0"/>
    <w:link w:val="FAQ3Char"/>
    <w:qFormat/>
    <w:rsid w:val="00EE7C01"/>
    <w:pPr>
      <w:numPr>
        <w:numId w:val="2"/>
      </w:numPr>
      <w:spacing w:beforeLines="50" w:line="288" w:lineRule="auto"/>
      <w:ind w:left="0" w:firstLine="0"/>
    </w:pPr>
  </w:style>
  <w:style w:type="character" w:customStyle="1" w:styleId="FAQ3Char">
    <w:name w:val="深发展FAQ标题3 Char"/>
    <w:basedOn w:val="3Char"/>
    <w:link w:val="FAQ3"/>
    <w:rsid w:val="00EE7C01"/>
    <w:rPr>
      <w:rFonts w:asciiTheme="minorEastAsia" w:hAnsiTheme="minorEastAsia" w:cs="Times New Roman"/>
      <w:b/>
      <w:bCs/>
      <w:kern w:val="0"/>
      <w:szCs w:val="21"/>
      <w:lang w:bidi="he-IL"/>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3"/>
      </w:numPr>
      <w:ind w:firstLineChars="0" w:firstLine="0"/>
    </w:pPr>
    <w:rPr>
      <w:rFonts w:ascii="黑体" w:eastAsia="黑体" w:hAnsi="黑体"/>
      <w:szCs w:val="22"/>
    </w:rPr>
  </w:style>
  <w:style w:type="paragraph" w:styleId="a7">
    <w:name w:val="Balloon Text"/>
    <w:basedOn w:val="a"/>
    <w:link w:val="Char1"/>
    <w:uiPriority w:val="99"/>
    <w:semiHidden/>
    <w:unhideWhenUsed/>
    <w:rsid w:val="00D91B1B"/>
    <w:rPr>
      <w:sz w:val="18"/>
      <w:szCs w:val="18"/>
    </w:rPr>
  </w:style>
  <w:style w:type="character" w:customStyle="1" w:styleId="Char1">
    <w:name w:val="批注框文本 Char"/>
    <w:basedOn w:val="a0"/>
    <w:link w:val="a7"/>
    <w:uiPriority w:val="99"/>
    <w:semiHidden/>
    <w:rsid w:val="00D91B1B"/>
    <w:rPr>
      <w:rFonts w:ascii="Times New Roman" w:eastAsia="宋体" w:hAnsi="Times New Roman" w:cs="Times New Roman"/>
      <w:sz w:val="18"/>
      <w:szCs w:val="18"/>
    </w:rPr>
  </w:style>
  <w:style w:type="paragraph" w:customStyle="1" w:styleId="32">
    <w:name w:val="题目 3"/>
    <w:next w:val="a"/>
    <w:rsid w:val="00B708D6"/>
    <w:pPr>
      <w:keepNext/>
      <w:pBdr>
        <w:top w:val="nil"/>
        <w:left w:val="nil"/>
        <w:bottom w:val="nil"/>
        <w:right w:val="nil"/>
        <w:between w:val="nil"/>
        <w:bar w:val="nil"/>
      </w:pBdr>
      <w:spacing w:line="288" w:lineRule="auto"/>
    </w:pPr>
    <w:rPr>
      <w:rFonts w:ascii="Arial Unicode MS" w:eastAsia="华文细黑" w:hAnsi="Arial Unicode MS" w:cs="Arial Unicode MS" w:hint="eastAsia"/>
      <w:b/>
      <w:bCs/>
      <w:color w:val="000000"/>
      <w:kern w:val="0"/>
      <w:sz w:val="24"/>
      <w:szCs w:val="24"/>
      <w:bdr w:val="nil"/>
      <w:lang w:val="zh-TW" w:eastAsia="zh-TW"/>
    </w:rPr>
  </w:style>
  <w:style w:type="numbering" w:customStyle="1" w:styleId="List1">
    <w:name w:val="List 1"/>
    <w:basedOn w:val="a2"/>
    <w:rsid w:val="00B708D6"/>
    <w:pPr>
      <w:numPr>
        <w:numId w:val="4"/>
      </w:numPr>
    </w:pPr>
  </w:style>
  <w:style w:type="character" w:customStyle="1" w:styleId="2Char">
    <w:name w:val="标题 2 Char"/>
    <w:basedOn w:val="a0"/>
    <w:link w:val="2"/>
    <w:uiPriority w:val="9"/>
    <w:semiHidden/>
    <w:rsid w:val="00FA1FC9"/>
    <w:rPr>
      <w:rFonts w:asciiTheme="majorHAnsi" w:eastAsiaTheme="majorEastAsia" w:hAnsiTheme="majorHAnsi" w:cstheme="majorBidi"/>
      <w:b/>
      <w:bCs/>
      <w:sz w:val="32"/>
      <w:szCs w:val="32"/>
    </w:rPr>
  </w:style>
  <w:style w:type="character" w:styleId="a8">
    <w:name w:val="page number"/>
    <w:uiPriority w:val="99"/>
    <w:rsid w:val="002B5D00"/>
    <w:rPr>
      <w:lang w:val="zh-TW" w:eastAsia="zh-TW"/>
    </w:rPr>
  </w:style>
  <w:style w:type="paragraph" w:styleId="a9">
    <w:name w:val="Normal (Web)"/>
    <w:basedOn w:val="a"/>
    <w:uiPriority w:val="99"/>
    <w:rsid w:val="00E055AC"/>
    <w:pPr>
      <w:widowControl/>
      <w:spacing w:before="100" w:beforeAutospacing="1" w:after="100" w:afterAutospacing="1"/>
      <w:jc w:val="left"/>
    </w:pPr>
    <w:rPr>
      <w:rFonts w:ascii="宋体" w:hAnsi="宋体"/>
      <w:kern w:val="0"/>
      <w:sz w:val="24"/>
      <w:u w:color="000000"/>
    </w:rPr>
  </w:style>
  <w:style w:type="paragraph" w:styleId="aa">
    <w:name w:val="footnote text"/>
    <w:basedOn w:val="a"/>
    <w:link w:val="Char2"/>
    <w:uiPriority w:val="99"/>
    <w:rsid w:val="00A42C40"/>
    <w:pPr>
      <w:autoSpaceDE w:val="0"/>
      <w:autoSpaceDN w:val="0"/>
      <w:adjustRightInd w:val="0"/>
      <w:jc w:val="left"/>
      <w:textAlignment w:val="baseline"/>
    </w:pPr>
    <w:rPr>
      <w:rFonts w:ascii="2OcuAe" w:eastAsia="2OcuAe" w:cs="2OcuAe"/>
      <w:kern w:val="0"/>
      <w:sz w:val="20"/>
      <w:szCs w:val="20"/>
    </w:rPr>
  </w:style>
  <w:style w:type="character" w:customStyle="1" w:styleId="Char2">
    <w:name w:val="脚注文本 Char"/>
    <w:basedOn w:val="a0"/>
    <w:link w:val="aa"/>
    <w:uiPriority w:val="99"/>
    <w:rsid w:val="00A42C40"/>
    <w:rPr>
      <w:rFonts w:ascii="2OcuAe" w:eastAsia="2OcuAe" w:hAnsi="Times New Roman" w:cs="2OcuAe"/>
      <w:kern w:val="0"/>
      <w:sz w:val="20"/>
      <w:szCs w:val="20"/>
    </w:rPr>
  </w:style>
  <w:style w:type="character" w:styleId="ab">
    <w:name w:val="footnote reference"/>
    <w:basedOn w:val="a0"/>
    <w:uiPriority w:val="99"/>
    <w:unhideWhenUsed/>
    <w:rsid w:val="00A42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656">
      <w:bodyDiv w:val="1"/>
      <w:marLeft w:val="0"/>
      <w:marRight w:val="0"/>
      <w:marTop w:val="0"/>
      <w:marBottom w:val="0"/>
      <w:divBdr>
        <w:top w:val="none" w:sz="0" w:space="0" w:color="auto"/>
        <w:left w:val="none" w:sz="0" w:space="0" w:color="auto"/>
        <w:bottom w:val="none" w:sz="0" w:space="0" w:color="auto"/>
        <w:right w:val="none" w:sz="0" w:space="0" w:color="auto"/>
      </w:divBdr>
    </w:div>
    <w:div w:id="400173886">
      <w:bodyDiv w:val="1"/>
      <w:marLeft w:val="0"/>
      <w:marRight w:val="0"/>
      <w:marTop w:val="0"/>
      <w:marBottom w:val="0"/>
      <w:divBdr>
        <w:top w:val="none" w:sz="0" w:space="0" w:color="auto"/>
        <w:left w:val="none" w:sz="0" w:space="0" w:color="auto"/>
        <w:bottom w:val="none" w:sz="0" w:space="0" w:color="auto"/>
        <w:right w:val="none" w:sz="0" w:space="0" w:color="auto"/>
      </w:divBdr>
    </w:div>
    <w:div w:id="564991570">
      <w:bodyDiv w:val="1"/>
      <w:marLeft w:val="0"/>
      <w:marRight w:val="0"/>
      <w:marTop w:val="0"/>
      <w:marBottom w:val="0"/>
      <w:divBdr>
        <w:top w:val="none" w:sz="0" w:space="0" w:color="auto"/>
        <w:left w:val="none" w:sz="0" w:space="0" w:color="auto"/>
        <w:bottom w:val="none" w:sz="0" w:space="0" w:color="auto"/>
        <w:right w:val="none" w:sz="0" w:space="0" w:color="auto"/>
      </w:divBdr>
    </w:div>
    <w:div w:id="817499386">
      <w:bodyDiv w:val="1"/>
      <w:marLeft w:val="0"/>
      <w:marRight w:val="0"/>
      <w:marTop w:val="0"/>
      <w:marBottom w:val="0"/>
      <w:divBdr>
        <w:top w:val="none" w:sz="0" w:space="0" w:color="auto"/>
        <w:left w:val="none" w:sz="0" w:space="0" w:color="auto"/>
        <w:bottom w:val="none" w:sz="0" w:space="0" w:color="auto"/>
        <w:right w:val="none" w:sz="0" w:space="0" w:color="auto"/>
      </w:divBdr>
    </w:div>
    <w:div w:id="1509907293">
      <w:bodyDiv w:val="1"/>
      <w:marLeft w:val="0"/>
      <w:marRight w:val="0"/>
      <w:marTop w:val="0"/>
      <w:marBottom w:val="0"/>
      <w:divBdr>
        <w:top w:val="none" w:sz="0" w:space="0" w:color="auto"/>
        <w:left w:val="none" w:sz="0" w:space="0" w:color="auto"/>
        <w:bottom w:val="none" w:sz="0" w:space="0" w:color="auto"/>
        <w:right w:val="none" w:sz="0" w:space="0" w:color="auto"/>
      </w:divBdr>
    </w:div>
    <w:div w:id="19715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447</Words>
  <Characters>2553</Characters>
  <Application>Microsoft Office Word</Application>
  <DocSecurity>0</DocSecurity>
  <Lines>21</Lines>
  <Paragraphs>5</Paragraphs>
  <ScaleCrop>false</ScaleCrop>
  <Company>sdb</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Gao</dc:creator>
  <cp:lastModifiedBy>李稀真</cp:lastModifiedBy>
  <cp:revision>14</cp:revision>
  <dcterms:created xsi:type="dcterms:W3CDTF">2020-08-22T07:29:00Z</dcterms:created>
  <dcterms:modified xsi:type="dcterms:W3CDTF">2020-08-26T14:44:00Z</dcterms:modified>
</cp:coreProperties>
</file>