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E737A0" w:rsidRDefault="00EE1C10" w:rsidP="00E055AC">
      <w:pPr>
        <w:spacing w:beforeLines="50" w:before="156" w:afterLines="50" w:after="156" w:line="400" w:lineRule="exact"/>
        <w:rPr>
          <w:rFonts w:ascii="楷体_GB2312" w:eastAsia="楷体_GB2312" w:hAnsi="Arial"/>
          <w:bCs/>
          <w:iCs/>
          <w:color w:val="000000"/>
          <w:szCs w:val="21"/>
        </w:rPr>
      </w:pPr>
      <w:r w:rsidRPr="00E737A0">
        <w:rPr>
          <w:rFonts w:ascii="楷体_GB2312" w:eastAsia="楷体_GB2312" w:hAnsi="Arial" w:hint="eastAsia"/>
          <w:bCs/>
          <w:iCs/>
          <w:color w:val="000000"/>
          <w:szCs w:val="21"/>
        </w:rPr>
        <w:t>证券代码：000001                                  证券简称：</w:t>
      </w:r>
      <w:r w:rsidR="00D96584" w:rsidRPr="00E737A0">
        <w:rPr>
          <w:rFonts w:ascii="楷体_GB2312" w:eastAsia="楷体_GB2312" w:hAnsi="Arial" w:hint="eastAsia"/>
          <w:bCs/>
          <w:iCs/>
          <w:color w:val="000000"/>
          <w:szCs w:val="21"/>
        </w:rPr>
        <w:t>平安银行</w:t>
      </w:r>
    </w:p>
    <w:p w:rsidR="00EE1C10" w:rsidRPr="00E737A0" w:rsidRDefault="003317E5" w:rsidP="00E055AC">
      <w:pPr>
        <w:spacing w:beforeLines="50" w:before="156" w:afterLines="50" w:after="156" w:line="400" w:lineRule="exact"/>
        <w:jc w:val="center"/>
        <w:rPr>
          <w:rFonts w:ascii="楷体_GB2312" w:eastAsia="楷体_GB2312" w:hAnsi="Arial"/>
          <w:b/>
          <w:bCs/>
          <w:iCs/>
          <w:color w:val="000000"/>
          <w:szCs w:val="21"/>
        </w:rPr>
      </w:pPr>
      <w:r w:rsidRPr="00E737A0">
        <w:rPr>
          <w:rFonts w:ascii="楷体_GB2312" w:eastAsia="楷体_GB2312" w:hAnsi="Arial" w:hint="eastAsia"/>
          <w:b/>
          <w:bCs/>
          <w:iCs/>
          <w:color w:val="000000"/>
          <w:sz w:val="24"/>
          <w:szCs w:val="21"/>
        </w:rPr>
        <w:t>平安</w:t>
      </w:r>
      <w:r w:rsidR="00EE1C10" w:rsidRPr="00E737A0">
        <w:rPr>
          <w:rFonts w:ascii="楷体_GB2312" w:eastAsia="楷体_GB2312" w:hAnsi="Arial" w:hint="eastAsia"/>
          <w:b/>
          <w:bCs/>
          <w:iCs/>
          <w:color w:val="000000"/>
          <w:sz w:val="24"/>
          <w:szCs w:val="21"/>
        </w:rPr>
        <w:t>银行股份有限公司投资者关系活动记录表</w:t>
      </w:r>
    </w:p>
    <w:p w:rsidR="00EE1C10" w:rsidRPr="00E737A0" w:rsidRDefault="00EE1C10" w:rsidP="00EE1C10">
      <w:pPr>
        <w:spacing w:line="400" w:lineRule="exact"/>
        <w:rPr>
          <w:rFonts w:ascii="楷体_GB2312" w:eastAsia="楷体_GB2312" w:hAnsi="Arial"/>
          <w:bCs/>
          <w:iCs/>
          <w:color w:val="000000"/>
          <w:szCs w:val="21"/>
        </w:rPr>
      </w:pPr>
      <w:r w:rsidRPr="00E737A0">
        <w:rPr>
          <w:rFonts w:ascii="楷体_GB2312" w:eastAsia="楷体_GB2312" w:hAnsi="Arial" w:hint="eastAsia"/>
          <w:bCs/>
          <w:iCs/>
          <w:color w:val="000000"/>
          <w:szCs w:val="21"/>
        </w:rPr>
        <w:t xml:space="preserve">                                                         编号：</w:t>
      </w:r>
    </w:p>
    <w:tbl>
      <w:tblPr>
        <w:tblStyle w:val="a3"/>
        <w:tblW w:w="8931" w:type="dxa"/>
        <w:tblInd w:w="-176" w:type="dxa"/>
        <w:tblLook w:val="01E0" w:firstRow="1" w:lastRow="1" w:firstColumn="1" w:lastColumn="1" w:noHBand="0" w:noVBand="0"/>
      </w:tblPr>
      <w:tblGrid>
        <w:gridCol w:w="2552"/>
        <w:gridCol w:w="6379"/>
      </w:tblGrid>
      <w:tr w:rsidR="00EE1C10" w:rsidRPr="00E737A0"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spacing w:line="480" w:lineRule="atLeast"/>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F0207E" w:rsidP="005B3BAE">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sym w:font="Wingdings" w:char="F0FE"/>
            </w:r>
            <w:r w:rsidR="00EE1C10" w:rsidRPr="00E737A0">
              <w:rPr>
                <w:rFonts w:ascii="楷体_GB2312" w:eastAsia="楷体_GB2312" w:hAnsi="Arial" w:hint="eastAsia"/>
                <w:sz w:val="21"/>
                <w:szCs w:val="21"/>
              </w:rPr>
              <w:t xml:space="preserve">特定对象调研        </w:t>
            </w:r>
            <w:r w:rsidR="00EE1C10" w:rsidRPr="00E737A0">
              <w:rPr>
                <w:rFonts w:ascii="楷体_GB2312" w:eastAsia="楷体_GB2312" w:hAnsi="Arial" w:hint="eastAsia"/>
                <w:bCs/>
                <w:iCs/>
                <w:color w:val="000000"/>
                <w:sz w:val="21"/>
                <w:szCs w:val="21"/>
              </w:rPr>
              <w:t>□</w:t>
            </w:r>
            <w:r w:rsidR="00EE1C10" w:rsidRPr="00E737A0">
              <w:rPr>
                <w:rFonts w:ascii="楷体_GB2312" w:eastAsia="楷体_GB2312" w:hAnsi="Arial" w:hint="eastAsia"/>
                <w:sz w:val="21"/>
                <w:szCs w:val="21"/>
              </w:rPr>
              <w:t>分析师会议</w:t>
            </w:r>
          </w:p>
          <w:p w:rsidR="00EE1C10" w:rsidRPr="00E737A0" w:rsidRDefault="00EE1C10" w:rsidP="005B3BAE">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w:t>
            </w:r>
            <w:r w:rsidRPr="00E737A0">
              <w:rPr>
                <w:rFonts w:ascii="楷体_GB2312" w:eastAsia="楷体_GB2312" w:hAnsi="Arial" w:hint="eastAsia"/>
                <w:sz w:val="21"/>
                <w:szCs w:val="21"/>
              </w:rPr>
              <w:t xml:space="preserve">媒体采访            </w:t>
            </w:r>
            <w:r w:rsidR="00FF0263" w:rsidRPr="00E737A0">
              <w:rPr>
                <w:rFonts w:ascii="楷体_GB2312" w:eastAsia="楷体_GB2312" w:hAnsi="Arial" w:hint="eastAsia"/>
                <w:bCs/>
                <w:iCs/>
                <w:color w:val="000000"/>
                <w:sz w:val="21"/>
                <w:szCs w:val="21"/>
              </w:rPr>
              <w:t>□</w:t>
            </w:r>
            <w:r w:rsidRPr="00E737A0">
              <w:rPr>
                <w:rFonts w:ascii="楷体_GB2312" w:eastAsia="楷体_GB2312" w:hAnsi="Arial" w:hint="eastAsia"/>
                <w:sz w:val="21"/>
                <w:szCs w:val="21"/>
              </w:rPr>
              <w:t>业绩说明会</w:t>
            </w:r>
          </w:p>
          <w:p w:rsidR="00EE1C10" w:rsidRPr="00E737A0" w:rsidRDefault="00EE1C10" w:rsidP="005B3BAE">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w:t>
            </w:r>
            <w:r w:rsidRPr="00E737A0">
              <w:rPr>
                <w:rFonts w:ascii="楷体_GB2312" w:eastAsia="楷体_GB2312" w:hAnsi="Arial" w:hint="eastAsia"/>
                <w:sz w:val="21"/>
                <w:szCs w:val="21"/>
              </w:rPr>
              <w:t xml:space="preserve">新闻发布会          </w:t>
            </w:r>
            <w:r w:rsidR="00DB35CA" w:rsidRPr="00E737A0">
              <w:rPr>
                <w:rFonts w:ascii="楷体_GB2312" w:eastAsia="楷体_GB2312" w:hAnsi="Arial" w:hint="eastAsia"/>
                <w:bCs/>
                <w:iCs/>
                <w:color w:val="000000"/>
                <w:sz w:val="21"/>
                <w:szCs w:val="21"/>
              </w:rPr>
              <w:t>□</w:t>
            </w:r>
            <w:r w:rsidRPr="00E737A0">
              <w:rPr>
                <w:rFonts w:ascii="楷体_GB2312" w:eastAsia="楷体_GB2312" w:hAnsi="Arial" w:hint="eastAsia"/>
                <w:sz w:val="21"/>
                <w:szCs w:val="21"/>
              </w:rPr>
              <w:t>路演活动</w:t>
            </w:r>
          </w:p>
          <w:p w:rsidR="00EE1C10" w:rsidRPr="00E737A0" w:rsidRDefault="00EE1C10" w:rsidP="005B3BAE">
            <w:pPr>
              <w:tabs>
                <w:tab w:val="left" w:pos="3045"/>
                <w:tab w:val="center" w:pos="3199"/>
              </w:tabs>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w:t>
            </w:r>
            <w:r w:rsidRPr="00E737A0">
              <w:rPr>
                <w:rFonts w:ascii="楷体_GB2312" w:eastAsia="楷体_GB2312" w:hAnsi="Arial" w:hint="eastAsia"/>
                <w:sz w:val="21"/>
                <w:szCs w:val="21"/>
              </w:rPr>
              <w:t>现场参观</w:t>
            </w:r>
          </w:p>
          <w:p w:rsidR="00EE1C10" w:rsidRPr="00E737A0" w:rsidRDefault="00F0207E" w:rsidP="005B3BAE">
            <w:pPr>
              <w:tabs>
                <w:tab w:val="center" w:pos="3199"/>
              </w:tabs>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w:t>
            </w:r>
            <w:r w:rsidR="00EE1C10" w:rsidRPr="00E737A0">
              <w:rPr>
                <w:rFonts w:ascii="楷体_GB2312" w:eastAsia="楷体_GB2312" w:hAnsi="Arial" w:hint="eastAsia"/>
                <w:sz w:val="21"/>
                <w:szCs w:val="21"/>
              </w:rPr>
              <w:t>其他</w:t>
            </w:r>
            <w:r w:rsidR="002515C0" w:rsidRPr="00E737A0">
              <w:rPr>
                <w:rFonts w:ascii="楷体_GB2312" w:eastAsia="楷体_GB2312" w:hAnsi="Arial" w:hint="eastAsia"/>
                <w:sz w:val="21"/>
                <w:szCs w:val="21"/>
              </w:rPr>
              <w:t xml:space="preserve"> （投行会议）</w:t>
            </w:r>
          </w:p>
        </w:tc>
      </w:tr>
      <w:tr w:rsidR="00EE1C10" w:rsidRPr="00E737A0"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B84C2E" w:rsidP="00853994">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易方达基金</w:t>
            </w:r>
          </w:p>
        </w:tc>
      </w:tr>
      <w:tr w:rsidR="00EE1C10" w:rsidRPr="00E737A0"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43629D" w:rsidP="00A12BD3">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20</w:t>
            </w:r>
            <w:r w:rsidR="00F0207E" w:rsidRPr="00E737A0">
              <w:rPr>
                <w:rFonts w:ascii="楷体_GB2312" w:eastAsia="楷体_GB2312" w:hAnsi="Arial" w:hint="eastAsia"/>
                <w:bCs/>
                <w:iCs/>
                <w:color w:val="000000"/>
                <w:sz w:val="21"/>
                <w:szCs w:val="21"/>
              </w:rPr>
              <w:t>20</w:t>
            </w:r>
            <w:r w:rsidRPr="00E737A0">
              <w:rPr>
                <w:rFonts w:ascii="楷体_GB2312" w:eastAsia="楷体_GB2312" w:hAnsi="Arial" w:hint="eastAsia"/>
                <w:bCs/>
                <w:iCs/>
                <w:color w:val="000000"/>
                <w:sz w:val="21"/>
                <w:szCs w:val="21"/>
              </w:rPr>
              <w:t>年</w:t>
            </w:r>
            <w:r w:rsidR="00A12BD3" w:rsidRPr="00E737A0">
              <w:rPr>
                <w:rFonts w:ascii="楷体_GB2312" w:eastAsia="楷体_GB2312" w:hAnsi="Arial" w:hint="eastAsia"/>
                <w:bCs/>
                <w:iCs/>
                <w:color w:val="000000"/>
                <w:sz w:val="21"/>
                <w:szCs w:val="21"/>
              </w:rPr>
              <w:t>5</w:t>
            </w:r>
            <w:r w:rsidRPr="00E737A0">
              <w:rPr>
                <w:rFonts w:ascii="楷体_GB2312" w:eastAsia="楷体_GB2312" w:hAnsi="Arial" w:hint="eastAsia"/>
                <w:bCs/>
                <w:iCs/>
                <w:color w:val="000000"/>
                <w:sz w:val="21"/>
                <w:szCs w:val="21"/>
              </w:rPr>
              <w:t>月</w:t>
            </w:r>
            <w:r w:rsidR="005435E0" w:rsidRPr="00E737A0">
              <w:rPr>
                <w:rFonts w:ascii="楷体_GB2312" w:eastAsia="楷体_GB2312" w:hAnsi="Arial" w:hint="eastAsia"/>
                <w:bCs/>
                <w:iCs/>
                <w:color w:val="000000"/>
                <w:sz w:val="21"/>
                <w:szCs w:val="21"/>
              </w:rPr>
              <w:t>1</w:t>
            </w:r>
            <w:r w:rsidR="00A12BD3" w:rsidRPr="00E737A0">
              <w:rPr>
                <w:rFonts w:ascii="楷体_GB2312" w:eastAsia="楷体_GB2312" w:hAnsi="Arial" w:hint="eastAsia"/>
                <w:bCs/>
                <w:iCs/>
                <w:color w:val="000000"/>
                <w:sz w:val="21"/>
                <w:szCs w:val="21"/>
              </w:rPr>
              <w:t>9</w:t>
            </w:r>
            <w:r w:rsidRPr="00E737A0">
              <w:rPr>
                <w:rFonts w:ascii="楷体_GB2312" w:eastAsia="楷体_GB2312" w:hAnsi="Arial" w:hint="eastAsia"/>
                <w:bCs/>
                <w:iCs/>
                <w:color w:val="000000"/>
                <w:sz w:val="21"/>
                <w:szCs w:val="21"/>
              </w:rPr>
              <w:t>日</w:t>
            </w:r>
          </w:p>
        </w:tc>
      </w:tr>
      <w:tr w:rsidR="00EE1C10" w:rsidRPr="00E737A0"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F0207E" w:rsidP="005B3BAE">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深圳</w:t>
            </w:r>
          </w:p>
        </w:tc>
      </w:tr>
      <w:tr w:rsidR="00EE1C10" w:rsidRPr="00E737A0"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A12BD3" w:rsidP="00A1521F">
            <w:pPr>
              <w:jc w:val="left"/>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朱培卿、</w:t>
            </w:r>
            <w:r w:rsidR="00631CC9" w:rsidRPr="00E737A0">
              <w:rPr>
                <w:rFonts w:ascii="楷体_GB2312" w:eastAsia="楷体_GB2312" w:hAnsi="Arial" w:hint="eastAsia"/>
                <w:bCs/>
                <w:iCs/>
                <w:color w:val="000000"/>
                <w:sz w:val="21"/>
                <w:szCs w:val="21"/>
              </w:rPr>
              <w:t>董事会办公室</w:t>
            </w:r>
          </w:p>
        </w:tc>
      </w:tr>
      <w:tr w:rsidR="00EE1C10" w:rsidRPr="00E737A0"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5B3BAE">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投资者关系活动主要内容介绍</w:t>
            </w:r>
          </w:p>
          <w:p w:rsidR="00EE1C10" w:rsidRPr="00E737A0" w:rsidRDefault="00EE1C10" w:rsidP="005B3BAE">
            <w:pPr>
              <w:spacing w:line="480" w:lineRule="atLeast"/>
              <w:jc w:val="center"/>
              <w:rPr>
                <w:rFonts w:ascii="楷体_GB2312" w:eastAsia="楷体_GB2312"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Pr="00E737A0" w:rsidRDefault="00EE1C10" w:rsidP="005B3BAE">
            <w:pP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介绍公司发展战略、经营业绩，回答投资者提问</w:t>
            </w:r>
          </w:p>
          <w:p w:rsidR="00D72498" w:rsidRPr="00E737A0" w:rsidRDefault="00D72498" w:rsidP="003B5748">
            <w:pPr>
              <w:adjustRightInd w:val="0"/>
              <w:snapToGrid w:val="0"/>
              <w:spacing w:afterLines="20" w:after="62"/>
              <w:rPr>
                <w:rFonts w:ascii="楷体_GB2312" w:eastAsia="楷体_GB2312" w:hAnsi="Arial"/>
                <w:sz w:val="21"/>
                <w:szCs w:val="21"/>
              </w:rPr>
            </w:pPr>
          </w:p>
          <w:p w:rsidR="00F17A4F" w:rsidRPr="001E570C" w:rsidRDefault="00F17A4F" w:rsidP="00F17A4F">
            <w:pPr>
              <w:pStyle w:val="3"/>
              <w:numPr>
                <w:ilvl w:val="0"/>
                <w:numId w:val="33"/>
              </w:numPr>
              <w:spacing w:beforeLines="0" w:before="0"/>
              <w:outlineLvl w:val="2"/>
              <w:rPr>
                <w:rFonts w:ascii="楷体_GB2312" w:eastAsia="楷体_GB2312" w:hAnsi="华文细黑"/>
                <w:sz w:val="21"/>
              </w:rPr>
            </w:pPr>
            <w:r w:rsidRPr="001E570C">
              <w:rPr>
                <w:rFonts w:ascii="楷体_GB2312" w:eastAsia="楷体_GB2312" w:hAnsi="华文细黑" w:hint="eastAsia"/>
                <w:sz w:val="21"/>
              </w:rPr>
              <w:t>平安银行战略是否有所调整？</w:t>
            </w:r>
          </w:p>
          <w:p w:rsidR="00F17A4F" w:rsidRPr="000E05E7" w:rsidRDefault="00F17A4F" w:rsidP="00F17A4F">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2020年是本行新三年战略的起步之年，本行始终以打造“中国最卓越、全球领先的智能化零售银行”为战略目标，继续坚持“科技引领、零售突破、对公做精”十二字策略方针不动摇，并在此基础上，全面升级了新三年战略，推动发展迈向新台阶。</w:t>
            </w:r>
          </w:p>
          <w:p w:rsidR="00F17A4F" w:rsidRPr="001E570C" w:rsidRDefault="00F17A4F" w:rsidP="00F17A4F">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始终坚持“三不变”，即坚持零售转型方向不变，坚持“综合金融、科技赋能”两大核心优势不变，坚持均衡、协同发展思路不变；着力打造“数字银行、生态银行、平台银行”三张名片：全面构建零售业务、对公业务、资金同业业务“3+2+1”经营策略。</w:t>
            </w:r>
          </w:p>
          <w:p w:rsidR="005F03C2" w:rsidRDefault="005F03C2" w:rsidP="003B5748">
            <w:pPr>
              <w:adjustRightInd w:val="0"/>
              <w:snapToGrid w:val="0"/>
              <w:spacing w:afterLines="20" w:after="62"/>
              <w:rPr>
                <w:rFonts w:ascii="楷体_GB2312" w:eastAsia="楷体_GB2312" w:hAnsi="Arial" w:hint="eastAsia"/>
                <w:sz w:val="21"/>
                <w:szCs w:val="21"/>
              </w:rPr>
            </w:pPr>
          </w:p>
          <w:p w:rsidR="00F17A4F" w:rsidRPr="001E570C" w:rsidRDefault="00F17A4F" w:rsidP="00F17A4F">
            <w:pPr>
              <w:pStyle w:val="3"/>
              <w:numPr>
                <w:ilvl w:val="0"/>
                <w:numId w:val="33"/>
              </w:numPr>
              <w:spacing w:beforeLines="0" w:before="0"/>
              <w:outlineLvl w:val="2"/>
              <w:rPr>
                <w:rFonts w:ascii="楷体_GB2312" w:eastAsia="楷体_GB2312" w:hAnsi="华文细黑"/>
                <w:sz w:val="21"/>
              </w:rPr>
            </w:pPr>
            <w:r w:rsidRPr="001E570C">
              <w:rPr>
                <w:rFonts w:ascii="楷体_GB2312" w:eastAsia="楷体_GB2312" w:hAnsi="华文细黑" w:hint="eastAsia"/>
                <w:sz w:val="21"/>
              </w:rPr>
              <w:t>净息差情况如何？</w:t>
            </w:r>
          </w:p>
          <w:p w:rsidR="00F17A4F" w:rsidRPr="001E570C" w:rsidRDefault="00F17A4F" w:rsidP="00F17A4F">
            <w:pPr>
              <w:snapToGrid w:val="0"/>
              <w:spacing w:afterLines="20" w:after="62"/>
              <w:ind w:firstLineChars="200" w:firstLine="400"/>
              <w:rPr>
                <w:rFonts w:ascii="楷体_GB2312" w:eastAsia="楷体_GB2312" w:hAnsi="华文细黑"/>
                <w:szCs w:val="21"/>
              </w:rPr>
            </w:pPr>
            <w:r w:rsidRPr="001E570C">
              <w:rPr>
                <w:rFonts w:ascii="楷体_GB2312" w:eastAsia="楷体_GB2312" w:hAnsi="华文细黑" w:hint="eastAsia"/>
                <w:szCs w:val="21"/>
              </w:rPr>
              <w:t>本行一季度净息差较去年同期增加7个基点至2.60%。但受年初贷款市场报价利率（LPR）下行、货币市场资金面宽松等因素影响，本行生息资产收益率降幅略快于计息负债成本率降幅，一季度净息差环比去年四季度下降2个基点。</w:t>
            </w:r>
          </w:p>
          <w:p w:rsidR="00F17A4F" w:rsidRDefault="00F17A4F" w:rsidP="003B5748">
            <w:pPr>
              <w:adjustRightInd w:val="0"/>
              <w:snapToGrid w:val="0"/>
              <w:spacing w:afterLines="20" w:after="62"/>
              <w:rPr>
                <w:rFonts w:ascii="楷体_GB2312" w:eastAsia="楷体_GB2312" w:hAnsi="Arial" w:hint="eastAsia"/>
                <w:sz w:val="21"/>
                <w:szCs w:val="21"/>
              </w:rPr>
            </w:pPr>
          </w:p>
          <w:p w:rsidR="00F17A4F" w:rsidRPr="00F17A4F" w:rsidRDefault="00F17A4F"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非息收入表现是否稳定，未来展望？</w:t>
            </w:r>
          </w:p>
          <w:p w:rsidR="00F17A4F" w:rsidRPr="000E05E7" w:rsidRDefault="00F17A4F" w:rsidP="00F17A4F">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一季度，本行实现非利息净收入131.56亿元，同比增加14.54亿元、增长12.4%，占营业收入的比例为34.7%。主要因一季度货币政策维持宽松，本行紧握市场交易机会并适度加大债券持仓，导致投资收益同比增加12.31亿元、增长47.9%。未来零售手续费、对公做精战略及资金交易业务变革升级将持续为为全行非息收入增长提供动力。</w:t>
            </w:r>
          </w:p>
          <w:p w:rsidR="00F17A4F" w:rsidRPr="00F17A4F" w:rsidRDefault="00F17A4F" w:rsidP="003B5748">
            <w:pPr>
              <w:adjustRightInd w:val="0"/>
              <w:snapToGrid w:val="0"/>
              <w:spacing w:afterLines="20" w:after="62"/>
              <w:rPr>
                <w:rFonts w:ascii="楷体_GB2312" w:eastAsia="楷体_GB2312" w:hAnsi="Arial"/>
                <w:sz w:val="21"/>
                <w:szCs w:val="21"/>
              </w:rPr>
            </w:pPr>
          </w:p>
          <w:p w:rsidR="00D72498" w:rsidRPr="00F17A4F" w:rsidRDefault="00D72498"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拨备覆盖率情况如何？</w:t>
            </w:r>
          </w:p>
          <w:p w:rsidR="00D72498" w:rsidRPr="00E737A0" w:rsidRDefault="00F17A4F" w:rsidP="00D72498">
            <w:pPr>
              <w:snapToGrid w:val="0"/>
              <w:spacing w:afterLines="20" w:after="62"/>
              <w:ind w:firstLineChars="200" w:firstLine="400"/>
              <w:rPr>
                <w:rFonts w:ascii="楷体_GB2312" w:eastAsia="楷体_GB2312" w:hAnsi="华文细黑"/>
                <w:szCs w:val="21"/>
              </w:rPr>
            </w:pPr>
            <w:r>
              <w:rPr>
                <w:rFonts w:ascii="楷体_GB2312" w:eastAsia="楷体_GB2312" w:hAnsi="华文细黑" w:hint="eastAsia"/>
                <w:szCs w:val="21"/>
              </w:rPr>
              <w:t>一季度末</w:t>
            </w:r>
            <w:r w:rsidRPr="000E05E7">
              <w:rPr>
                <w:rFonts w:ascii="楷体_GB2312" w:eastAsia="楷体_GB2312" w:hAnsi="华文细黑" w:hint="eastAsia"/>
                <w:szCs w:val="21"/>
              </w:rPr>
              <w:t>，本行贷款减值准备余额为808.23亿元，较上年末增长15.4%；拨贷比为3.31%，较上年末增加0.30个百分点；拨备覆盖率为200.35%，较上年末增加17.23个百分点；逾期60天以上贷款拨备覆盖率为218.90%，较上年末增加28.56个百分点；逾期90天以上贷款拨备覆盖率为257.77%，较上年末增加34.88个百分点，风险抵补能力持续增强。</w:t>
            </w:r>
          </w:p>
          <w:p w:rsidR="00D72498" w:rsidRDefault="00D72498" w:rsidP="003B5748">
            <w:pPr>
              <w:adjustRightInd w:val="0"/>
              <w:snapToGrid w:val="0"/>
              <w:spacing w:afterLines="20" w:after="62"/>
              <w:rPr>
                <w:rFonts w:ascii="楷体_GB2312" w:eastAsia="楷体_GB2312" w:hAnsi="Arial" w:hint="eastAsia"/>
                <w:sz w:val="21"/>
                <w:szCs w:val="21"/>
              </w:rPr>
            </w:pPr>
          </w:p>
          <w:p w:rsidR="00F17A4F" w:rsidRPr="00F17A4F" w:rsidRDefault="00F17A4F"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一季度清收情况？</w:t>
            </w:r>
          </w:p>
          <w:p w:rsidR="00F17A4F" w:rsidRPr="00E737A0" w:rsidRDefault="00F17A4F" w:rsidP="00F17A4F">
            <w:pPr>
              <w:adjustRightInd w:val="0"/>
              <w:snapToGrid w:val="0"/>
              <w:spacing w:afterLines="20" w:after="62"/>
              <w:ind w:firstLineChars="200" w:firstLine="420"/>
              <w:rPr>
                <w:rFonts w:ascii="楷体_GB2312" w:eastAsia="楷体_GB2312" w:hAnsi="Arial"/>
                <w:sz w:val="21"/>
                <w:szCs w:val="21"/>
              </w:rPr>
            </w:pPr>
            <w:r w:rsidRPr="00E737A0">
              <w:rPr>
                <w:rFonts w:ascii="楷体_GB2312" w:eastAsia="楷体_GB2312" w:hAnsi="Arial" w:hint="eastAsia"/>
                <w:sz w:val="21"/>
                <w:szCs w:val="21"/>
              </w:rPr>
              <w:t>2020年一季度，本行收回不良资产总额93.15亿元，其中信贷资产（贷款本金）88.43亿元；收回的贷款本金中，已核销贷款53.24亿元，未核销不良贷款35.19亿元；不良资产收回额中96.2%为现金收回，其余为以物抵债等方式收回。</w:t>
            </w:r>
          </w:p>
          <w:p w:rsidR="00F17A4F" w:rsidRDefault="00F17A4F" w:rsidP="003B5748">
            <w:pPr>
              <w:adjustRightInd w:val="0"/>
              <w:snapToGrid w:val="0"/>
              <w:spacing w:afterLines="20" w:after="62"/>
              <w:rPr>
                <w:rFonts w:ascii="楷体_GB2312" w:eastAsia="楷体_GB2312" w:hAnsi="Arial" w:hint="eastAsia"/>
                <w:sz w:val="21"/>
                <w:szCs w:val="21"/>
              </w:rPr>
            </w:pPr>
          </w:p>
          <w:p w:rsidR="00DA0369" w:rsidRPr="00F17A4F" w:rsidRDefault="00DA0369" w:rsidP="00DA0369">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新一贷恢复情况？</w:t>
            </w:r>
          </w:p>
          <w:p w:rsidR="00DA0369" w:rsidRPr="00E737A0" w:rsidRDefault="00DA0369" w:rsidP="00DA0369">
            <w:pPr>
              <w:adjustRightInd w:val="0"/>
              <w:snapToGrid w:val="0"/>
              <w:spacing w:afterLines="20" w:after="62"/>
              <w:ind w:firstLineChars="200" w:firstLine="420"/>
              <w:rPr>
                <w:rFonts w:ascii="楷体_GB2312" w:eastAsia="楷体_GB2312" w:hAnsi="Arial"/>
                <w:sz w:val="21"/>
                <w:szCs w:val="21"/>
              </w:rPr>
            </w:pPr>
            <w:r w:rsidRPr="00E737A0">
              <w:rPr>
                <w:rFonts w:ascii="楷体_GB2312" w:eastAsia="楷体_GB2312" w:hAnsi="Arial" w:hint="eastAsia"/>
                <w:sz w:val="21"/>
                <w:szCs w:val="21"/>
              </w:rPr>
              <w:t>一季度，本行“新一贷”累计发放226.60亿元；</w:t>
            </w:r>
            <w:r>
              <w:rPr>
                <w:rFonts w:ascii="楷体_GB2312" w:eastAsia="楷体_GB2312" w:hAnsi="Arial" w:hint="eastAsia"/>
                <w:sz w:val="21"/>
                <w:szCs w:val="21"/>
              </w:rPr>
              <w:t>一季度</w:t>
            </w:r>
            <w:r w:rsidRPr="00E737A0">
              <w:rPr>
                <w:rFonts w:ascii="楷体_GB2312" w:eastAsia="楷体_GB2312" w:hAnsi="Arial" w:hint="eastAsia"/>
                <w:sz w:val="21"/>
                <w:szCs w:val="21"/>
              </w:rPr>
              <w:t>，“新一贷”余额1,537.50亿元，较上年末下降2.3%。</w:t>
            </w:r>
            <w:r w:rsidRPr="000E05E7">
              <w:rPr>
                <w:rFonts w:ascii="楷体_GB2312" w:eastAsia="楷体_GB2312" w:hAnsi="华文细黑" w:hint="eastAsia"/>
                <w:sz w:val="21"/>
                <w:szCs w:val="21"/>
              </w:rPr>
              <w:t>疫情发生后，本行迅速制定了“新一贷”延期还款方案，</w:t>
            </w:r>
            <w:r>
              <w:rPr>
                <w:rFonts w:ascii="楷体_GB2312" w:eastAsia="楷体_GB2312" w:hAnsi="华文细黑" w:hint="eastAsia"/>
                <w:sz w:val="21"/>
                <w:szCs w:val="21"/>
              </w:rPr>
              <w:t>灵活调整此类客户的还款安排。随着催收</w:t>
            </w:r>
            <w:r w:rsidRPr="000E05E7">
              <w:rPr>
                <w:rFonts w:ascii="楷体_GB2312" w:eastAsia="楷体_GB2312" w:hAnsi="华文细黑" w:hint="eastAsia"/>
                <w:sz w:val="21"/>
                <w:szCs w:val="21"/>
              </w:rPr>
              <w:t>复工率持续提升，3月新增逾期已经呈现下降趋势，预计未来不良率将保持可控水平。</w:t>
            </w:r>
          </w:p>
          <w:p w:rsidR="00DA0369" w:rsidRPr="00F17A4F" w:rsidRDefault="00DA0369" w:rsidP="003B5748">
            <w:pPr>
              <w:adjustRightInd w:val="0"/>
              <w:snapToGrid w:val="0"/>
              <w:spacing w:afterLines="20" w:after="62"/>
              <w:rPr>
                <w:rFonts w:ascii="楷体_GB2312" w:eastAsia="楷体_GB2312" w:hAnsi="Arial"/>
                <w:sz w:val="21"/>
                <w:szCs w:val="21"/>
              </w:rPr>
            </w:pPr>
          </w:p>
          <w:p w:rsidR="006F44AE" w:rsidRPr="00F17A4F" w:rsidRDefault="009A283A"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今年</w:t>
            </w:r>
            <w:r w:rsidR="006F44AE" w:rsidRPr="00F17A4F">
              <w:rPr>
                <w:rFonts w:ascii="楷体_GB2312" w:eastAsia="楷体_GB2312" w:hAnsi="华文细黑" w:hint="eastAsia"/>
                <w:sz w:val="21"/>
              </w:rPr>
              <w:t>对公战略是否发生调整？</w:t>
            </w:r>
          </w:p>
          <w:p w:rsidR="006F44AE" w:rsidRPr="00E737A0" w:rsidRDefault="006F44AE" w:rsidP="006F44AE">
            <w:pPr>
              <w:adjustRightInd w:val="0"/>
              <w:snapToGrid w:val="0"/>
              <w:spacing w:afterLines="20" w:after="62"/>
              <w:ind w:firstLineChars="200" w:firstLine="420"/>
              <w:rPr>
                <w:rFonts w:ascii="楷体_GB2312" w:eastAsia="楷体_GB2312" w:hAnsi="Arial"/>
                <w:sz w:val="21"/>
                <w:szCs w:val="21"/>
              </w:rPr>
            </w:pPr>
            <w:r w:rsidRPr="00E737A0">
              <w:rPr>
                <w:rFonts w:ascii="楷体_GB2312" w:eastAsia="楷体_GB2312" w:hAnsi="Arial" w:hint="eastAsia"/>
                <w:sz w:val="21"/>
                <w:szCs w:val="21"/>
              </w:rPr>
              <w:t>本行对公业务坚持践行“3+2+1”经营策略。从客户需</w:t>
            </w:r>
            <w:r w:rsidRPr="00E737A0">
              <w:rPr>
                <w:rFonts w:ascii="楷体_GB2312" w:eastAsia="楷体_GB2312" w:hAnsi="Arial" w:hint="eastAsia"/>
                <w:sz w:val="21"/>
                <w:szCs w:val="21"/>
              </w:rPr>
              <w:lastRenderedPageBreak/>
              <w:t>求出发，构建“AUM+LUM+</w:t>
            </w:r>
            <w:r w:rsidR="00F17A4F">
              <w:rPr>
                <w:rFonts w:ascii="楷体_GB2312" w:eastAsia="楷体_GB2312" w:hAnsi="Arial" w:hint="eastAsia"/>
                <w:sz w:val="21"/>
                <w:szCs w:val="21"/>
              </w:rPr>
              <w:t>经营平台”的对公业务经营思路，聚焦重点行业、区域、</w:t>
            </w:r>
            <w:r w:rsidRPr="00E737A0">
              <w:rPr>
                <w:rFonts w:ascii="楷体_GB2312" w:eastAsia="楷体_GB2312" w:hAnsi="Arial" w:hint="eastAsia"/>
                <w:sz w:val="21"/>
                <w:szCs w:val="21"/>
              </w:rPr>
              <w:t>客户，实现AUM与LUM高效联动，提升客户钱包份额，建立统一获客平台和经营门户，夯实客户基础，成为团体综合金融业务的发动机。</w:t>
            </w:r>
          </w:p>
          <w:p w:rsidR="006A59DB" w:rsidRPr="00E737A0" w:rsidRDefault="006A59DB" w:rsidP="00F17A4F">
            <w:pPr>
              <w:adjustRightInd w:val="0"/>
              <w:snapToGrid w:val="0"/>
              <w:spacing w:afterLines="20" w:after="62"/>
              <w:rPr>
                <w:rFonts w:ascii="楷体_GB2312" w:eastAsia="楷体_GB2312" w:hAnsi="Arial"/>
                <w:sz w:val="21"/>
                <w:szCs w:val="21"/>
              </w:rPr>
            </w:pPr>
          </w:p>
          <w:p w:rsidR="006A59DB" w:rsidRPr="00F17A4F" w:rsidRDefault="00E737A0"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对公贷款投放情况</w:t>
            </w:r>
            <w:r w:rsidR="006A59DB" w:rsidRPr="00F17A4F">
              <w:rPr>
                <w:rFonts w:ascii="楷体_GB2312" w:eastAsia="楷体_GB2312" w:hAnsi="华文细黑" w:hint="eastAsia"/>
                <w:sz w:val="21"/>
              </w:rPr>
              <w:t>？</w:t>
            </w:r>
          </w:p>
          <w:p w:rsidR="006A59DB" w:rsidRPr="00E737A0" w:rsidRDefault="00F17A4F" w:rsidP="006A59DB">
            <w:pPr>
              <w:adjustRightInd w:val="0"/>
              <w:snapToGrid w:val="0"/>
              <w:spacing w:afterLines="20" w:after="62"/>
              <w:ind w:firstLineChars="200" w:firstLine="420"/>
              <w:rPr>
                <w:rFonts w:ascii="楷体_GB2312" w:eastAsia="楷体_GB2312" w:hAnsi="Arial"/>
                <w:sz w:val="21"/>
                <w:szCs w:val="21"/>
              </w:rPr>
            </w:pPr>
            <w:r w:rsidRPr="000E05E7">
              <w:rPr>
                <w:rFonts w:ascii="楷体_GB2312" w:eastAsia="楷体_GB2312" w:hAnsi="华文细黑" w:hint="eastAsia"/>
                <w:sz w:val="21"/>
                <w:szCs w:val="21"/>
              </w:rPr>
              <w:t>本行全力支持实体经济发展，持续加大对重点行业、战略客户的资产投放。</w:t>
            </w:r>
            <w:r>
              <w:rPr>
                <w:rFonts w:ascii="楷体_GB2312" w:eastAsia="楷体_GB2312" w:hAnsi="华文细黑" w:hint="eastAsia"/>
                <w:szCs w:val="21"/>
              </w:rPr>
              <w:t>一季度</w:t>
            </w:r>
            <w:r w:rsidRPr="000E05E7">
              <w:rPr>
                <w:rFonts w:ascii="楷体_GB2312" w:eastAsia="楷体_GB2312" w:hAnsi="华文细黑" w:hint="eastAsia"/>
                <w:sz w:val="21"/>
                <w:szCs w:val="21"/>
              </w:rPr>
              <w:t>，本行企业贷款余额10,759.78亿元，较上年末增长11.4%，基建交通、医疗</w:t>
            </w:r>
            <w:bookmarkStart w:id="0" w:name="_GoBack"/>
            <w:bookmarkEnd w:id="0"/>
            <w:r w:rsidRPr="000E05E7">
              <w:rPr>
                <w:rFonts w:ascii="楷体_GB2312" w:eastAsia="楷体_GB2312" w:hAnsi="华文细黑" w:hint="eastAsia"/>
                <w:sz w:val="21"/>
                <w:szCs w:val="21"/>
              </w:rPr>
              <w:t>健康、绿色环保、民生服务等重点行业的客户授信余额占比达47.4%；战略客群贷款余额较上年末增长12.5%。</w:t>
            </w:r>
          </w:p>
          <w:p w:rsidR="00937E30" w:rsidRPr="00E737A0" w:rsidRDefault="00937E30" w:rsidP="006A59DB">
            <w:pPr>
              <w:adjustRightInd w:val="0"/>
              <w:snapToGrid w:val="0"/>
              <w:spacing w:afterLines="20" w:after="62"/>
              <w:ind w:firstLineChars="200" w:firstLine="420"/>
              <w:rPr>
                <w:rFonts w:ascii="楷体_GB2312" w:eastAsia="楷体_GB2312" w:hAnsi="Arial"/>
                <w:sz w:val="21"/>
                <w:szCs w:val="21"/>
              </w:rPr>
            </w:pPr>
          </w:p>
          <w:p w:rsidR="00937E30" w:rsidRPr="00F17A4F" w:rsidRDefault="00937E30"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目前私行发展情况？</w:t>
            </w:r>
          </w:p>
          <w:p w:rsidR="00937E30" w:rsidRPr="00E737A0" w:rsidRDefault="00937E30" w:rsidP="00937E30">
            <w:pPr>
              <w:adjustRightInd w:val="0"/>
              <w:snapToGrid w:val="0"/>
              <w:spacing w:afterLines="20" w:after="62"/>
              <w:ind w:firstLineChars="200" w:firstLine="420"/>
              <w:rPr>
                <w:rFonts w:ascii="楷体_GB2312" w:eastAsia="楷体_GB2312" w:hAnsi="Arial"/>
                <w:sz w:val="21"/>
                <w:szCs w:val="21"/>
              </w:rPr>
            </w:pPr>
            <w:r w:rsidRPr="00E737A0">
              <w:rPr>
                <w:rFonts w:ascii="楷体_GB2312" w:eastAsia="楷体_GB2312" w:hAnsi="Arial" w:hint="eastAsia"/>
                <w:sz w:val="21"/>
                <w:szCs w:val="21"/>
              </w:rPr>
              <w:t>一季度，本行私人银行及财富管理板块全面提升综合金融、专业化及科技平台三大能力，强化私行品牌建设。</w:t>
            </w:r>
            <w:r w:rsidR="00E737A0">
              <w:rPr>
                <w:rFonts w:ascii="楷体_GB2312" w:eastAsia="楷体_GB2312" w:hAnsi="Arial" w:hint="eastAsia"/>
                <w:sz w:val="21"/>
                <w:szCs w:val="21"/>
              </w:rPr>
              <w:t>一季度</w:t>
            </w:r>
            <w:r w:rsidRPr="00E737A0">
              <w:rPr>
                <w:rFonts w:ascii="楷体_GB2312" w:eastAsia="楷体_GB2312" w:hAnsi="Arial" w:hint="eastAsia"/>
                <w:sz w:val="21"/>
                <w:szCs w:val="21"/>
              </w:rPr>
              <w:t>末，本行财富客户81.98万户，较上年末增长5.2%；私行达标客户 4.71万户，较上年末增长7.7%，其中私行达标客户AUM规模8,058.50亿元，较上年末增长9.8%。</w:t>
            </w:r>
          </w:p>
          <w:p w:rsidR="006F44AE" w:rsidRPr="00E737A0" w:rsidRDefault="006F44AE" w:rsidP="006F44AE">
            <w:pPr>
              <w:adjustRightInd w:val="0"/>
              <w:snapToGrid w:val="0"/>
              <w:spacing w:afterLines="20" w:after="62"/>
              <w:rPr>
                <w:rFonts w:ascii="楷体_GB2312" w:eastAsia="楷体_GB2312" w:hAnsi="Arial"/>
                <w:b/>
                <w:szCs w:val="21"/>
              </w:rPr>
            </w:pPr>
          </w:p>
          <w:p w:rsidR="00DA0369" w:rsidRPr="000E05E7" w:rsidRDefault="00DA0369" w:rsidP="00DA0369">
            <w:pPr>
              <w:pStyle w:val="3"/>
              <w:numPr>
                <w:ilvl w:val="0"/>
                <w:numId w:val="33"/>
              </w:numPr>
              <w:spacing w:beforeLines="0" w:before="0"/>
              <w:outlineLvl w:val="2"/>
              <w:rPr>
                <w:rFonts w:ascii="楷体_GB2312" w:eastAsia="楷体_GB2312" w:hAnsi="华文细黑"/>
                <w:sz w:val="21"/>
              </w:rPr>
            </w:pPr>
            <w:r w:rsidRPr="000E05E7">
              <w:rPr>
                <w:rFonts w:ascii="楷体_GB2312" w:eastAsia="楷体_GB2312" w:hAnsi="华文细黑" w:hint="eastAsia"/>
                <w:sz w:val="21"/>
              </w:rPr>
              <w:t>目前房屋按揭及持证抵押贷款情况如何？</w:t>
            </w:r>
          </w:p>
          <w:p w:rsidR="00DA0369" w:rsidRPr="000E05E7" w:rsidRDefault="00DA0369" w:rsidP="00DA0369">
            <w:pPr>
              <w:ind w:firstLineChars="200" w:firstLine="400"/>
              <w:rPr>
                <w:rFonts w:ascii="楷体_GB2312" w:eastAsia="楷体_GB2312" w:hAnsi="华文细黑"/>
                <w:color w:val="000000"/>
              </w:rPr>
            </w:pPr>
            <w:r w:rsidRPr="000E05E7">
              <w:rPr>
                <w:rFonts w:ascii="楷体_GB2312" w:eastAsia="楷体_GB2312" w:hAnsi="华文细黑" w:hint="eastAsia"/>
                <w:color w:val="000000"/>
              </w:rPr>
              <w:t>充分应用互联网技术，进一步满足疫情期间房屋抵押贷款客群的融资需求，为小微客户快速恢复生产和经营发展提供有效的金融支持。</w:t>
            </w:r>
          </w:p>
          <w:p w:rsidR="00DA0369" w:rsidRPr="000E05E7" w:rsidRDefault="00DA0369" w:rsidP="00DA0369">
            <w:pPr>
              <w:ind w:firstLineChars="200" w:firstLine="400"/>
              <w:rPr>
                <w:rFonts w:ascii="楷体_GB2312" w:eastAsia="楷体_GB2312"/>
                <w:color w:val="000000"/>
              </w:rPr>
            </w:pPr>
            <w:r w:rsidRPr="000E05E7">
              <w:rPr>
                <w:rFonts w:ascii="楷体_GB2312" w:eastAsia="楷体_GB2312" w:hAnsi="华文细黑" w:hint="eastAsia"/>
                <w:color w:val="000000"/>
              </w:rPr>
              <w:t>一季度，本行个人房屋按揭及持证抵押贷款累计发放437.32亿元，同比增长17.7%；个人房屋按揭及持证抵押贷款余额4,308.59亿元，较上年末增长4.8%。</w:t>
            </w:r>
          </w:p>
          <w:p w:rsidR="00F27D98" w:rsidRPr="00E737A0" w:rsidRDefault="00F27D98" w:rsidP="006F44AE">
            <w:pPr>
              <w:adjustRightInd w:val="0"/>
              <w:snapToGrid w:val="0"/>
              <w:spacing w:afterLines="20" w:after="62"/>
              <w:rPr>
                <w:rFonts w:ascii="楷体_GB2312" w:eastAsia="楷体_GB2312" w:hAnsi="Arial"/>
                <w:sz w:val="21"/>
                <w:szCs w:val="21"/>
              </w:rPr>
            </w:pPr>
          </w:p>
          <w:p w:rsidR="00D72498" w:rsidRPr="00F17A4F" w:rsidRDefault="00D72498" w:rsidP="00F17A4F">
            <w:pPr>
              <w:pStyle w:val="3"/>
              <w:numPr>
                <w:ilvl w:val="0"/>
                <w:numId w:val="33"/>
              </w:numPr>
              <w:spacing w:beforeLines="0" w:before="0"/>
              <w:rPr>
                <w:rFonts w:ascii="楷体_GB2312" w:eastAsia="楷体_GB2312" w:hAnsi="华文细黑"/>
                <w:sz w:val="21"/>
              </w:rPr>
            </w:pPr>
            <w:r w:rsidRPr="00F17A4F">
              <w:rPr>
                <w:rFonts w:ascii="楷体_GB2312" w:eastAsia="楷体_GB2312" w:hAnsi="华文细黑" w:hint="eastAsia"/>
                <w:sz w:val="21"/>
              </w:rPr>
              <w:t>FICC</w:t>
            </w:r>
            <w:r w:rsidR="00E737A0" w:rsidRPr="00F17A4F">
              <w:rPr>
                <w:rFonts w:ascii="楷体_GB2312" w:eastAsia="楷体_GB2312" w:hAnsi="华文细黑" w:hint="eastAsia"/>
                <w:sz w:val="21"/>
              </w:rPr>
              <w:t>业务一季度发展情况</w:t>
            </w:r>
            <w:r w:rsidRPr="00F17A4F">
              <w:rPr>
                <w:rFonts w:ascii="楷体_GB2312" w:eastAsia="楷体_GB2312" w:hAnsi="华文细黑" w:hint="eastAsia"/>
                <w:sz w:val="21"/>
              </w:rPr>
              <w:t>？</w:t>
            </w:r>
          </w:p>
          <w:p w:rsidR="00DA0369" w:rsidRDefault="00DA0369" w:rsidP="00DA0369">
            <w:pPr>
              <w:adjustRightInd w:val="0"/>
              <w:snapToGrid w:val="0"/>
              <w:spacing w:afterLines="20" w:after="62"/>
              <w:ind w:firstLineChars="200" w:firstLine="420"/>
              <w:rPr>
                <w:rFonts w:ascii="楷体_GB2312" w:eastAsia="楷体_GB2312" w:hAnsi="华文细黑" w:hint="eastAsia"/>
                <w:sz w:val="21"/>
                <w:szCs w:val="21"/>
              </w:rPr>
            </w:pPr>
            <w:r w:rsidRPr="000E05E7">
              <w:rPr>
                <w:rFonts w:ascii="楷体_GB2312" w:eastAsia="楷体_GB2312" w:hAnsi="华文细黑" w:hint="eastAsia"/>
                <w:sz w:val="21"/>
                <w:szCs w:val="21"/>
              </w:rPr>
              <w:t>本行资金同业业务以“推动新增长、打造新品牌”作为新三年的发展愿景，全面推进资金同业业务“3+2+1</w:t>
            </w:r>
            <w:r>
              <w:rPr>
                <w:rFonts w:ascii="楷体_GB2312" w:eastAsia="楷体_GB2312" w:hAnsi="华文细黑" w:hint="eastAsia"/>
                <w:sz w:val="21"/>
                <w:szCs w:val="21"/>
              </w:rPr>
              <w:t>”经营策略</w:t>
            </w:r>
            <w:r w:rsidRPr="000E05E7">
              <w:rPr>
                <w:rFonts w:ascii="楷体_GB2312" w:eastAsia="楷体_GB2312" w:hAnsi="华文细黑" w:hint="eastAsia"/>
                <w:sz w:val="21"/>
                <w:szCs w:val="21"/>
              </w:rPr>
              <w:t>。</w:t>
            </w:r>
          </w:p>
          <w:p w:rsidR="00D72498" w:rsidRPr="00E737A0" w:rsidRDefault="00DA0369" w:rsidP="00DA0369">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一季度，本行积极应对疫情挑战，稳经营、保发展，金融市场业务盈利水平大幅提升，实现交易净收入30.77亿元，同比增长209.5%；债券交易量1.46万亿元，同比增长161.0%。</w:t>
            </w:r>
          </w:p>
          <w:p w:rsidR="00D72498" w:rsidRPr="00E737A0" w:rsidRDefault="00D72498" w:rsidP="006F44AE">
            <w:pPr>
              <w:adjustRightInd w:val="0"/>
              <w:snapToGrid w:val="0"/>
              <w:spacing w:afterLines="20" w:after="62"/>
              <w:rPr>
                <w:rFonts w:ascii="楷体_GB2312" w:eastAsia="楷体_GB2312" w:hAnsi="Arial"/>
                <w:sz w:val="21"/>
                <w:szCs w:val="21"/>
              </w:rPr>
            </w:pPr>
          </w:p>
          <w:p w:rsidR="00CC12EA" w:rsidRPr="00E737A0" w:rsidRDefault="00FF264F" w:rsidP="00FF264F">
            <w:pPr>
              <w:snapToGrid w:val="0"/>
              <w:spacing w:afterLines="20" w:after="62"/>
              <w:ind w:firstLineChars="200" w:firstLine="400"/>
              <w:rPr>
                <w:rFonts w:ascii="楷体_GB2312" w:eastAsia="楷体_GB2312" w:hAnsi="Arial"/>
                <w:szCs w:val="21"/>
              </w:rPr>
            </w:pPr>
            <w:r w:rsidRPr="00E737A0">
              <w:rPr>
                <w:rStyle w:val="a8"/>
                <w:rFonts w:ascii="楷体_GB2312" w:eastAsia="楷体_GB2312" w:hAnsi="Arial" w:hint="eastAsia"/>
                <w:szCs w:val="21"/>
              </w:rPr>
              <w:t>接待过程中，公司接待人员与投资者进行了充分的交流与沟通，严格按照有关制度规定，没有出现未公开重大信息泄露等情况。</w:t>
            </w:r>
          </w:p>
        </w:tc>
      </w:tr>
      <w:tr w:rsidR="00EE1C10" w:rsidRPr="00E737A0"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C21A8C">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6350C6" w:rsidP="00A52A70">
            <w:pPr>
              <w:jc w:val="left"/>
              <w:rPr>
                <w:rFonts w:ascii="楷体_GB2312" w:eastAsia="楷体_GB2312" w:hAnsi="Arial"/>
                <w:bCs/>
                <w:iCs/>
                <w:color w:val="000000"/>
                <w:sz w:val="21"/>
                <w:szCs w:val="21"/>
              </w:rPr>
            </w:pPr>
            <w:r w:rsidRPr="00E737A0">
              <w:rPr>
                <w:rFonts w:ascii="楷体_GB2312" w:eastAsia="楷体_GB2312" w:hAnsi="Arial" w:hint="eastAsia"/>
                <w:bCs/>
                <w:iCs/>
                <w:color w:val="000000"/>
                <w:szCs w:val="21"/>
              </w:rPr>
              <w:t>20</w:t>
            </w:r>
            <w:r w:rsidR="00A52A70" w:rsidRPr="00E737A0">
              <w:rPr>
                <w:rFonts w:ascii="楷体_GB2312" w:eastAsia="楷体_GB2312" w:hAnsi="Arial" w:hint="eastAsia"/>
                <w:bCs/>
                <w:iCs/>
                <w:color w:val="000000"/>
                <w:szCs w:val="21"/>
              </w:rPr>
              <w:t>20</w:t>
            </w:r>
            <w:r w:rsidRPr="00E737A0">
              <w:rPr>
                <w:rFonts w:ascii="楷体_GB2312" w:eastAsia="楷体_GB2312" w:hAnsi="Arial" w:hint="eastAsia"/>
                <w:bCs/>
                <w:iCs/>
                <w:color w:val="000000"/>
                <w:szCs w:val="21"/>
              </w:rPr>
              <w:t>年</w:t>
            </w:r>
            <w:r w:rsidR="00A52A70" w:rsidRPr="00E737A0">
              <w:rPr>
                <w:rFonts w:ascii="楷体_GB2312" w:eastAsia="楷体_GB2312" w:hAnsi="Arial" w:hint="eastAsia"/>
                <w:bCs/>
                <w:iCs/>
                <w:color w:val="000000"/>
                <w:szCs w:val="21"/>
              </w:rPr>
              <w:t>一季度</w:t>
            </w:r>
            <w:r w:rsidRPr="00E737A0">
              <w:rPr>
                <w:rFonts w:ascii="楷体_GB2312" w:eastAsia="楷体_GB2312" w:hAnsi="Arial" w:hint="eastAsia"/>
                <w:bCs/>
                <w:iCs/>
                <w:color w:val="000000"/>
                <w:szCs w:val="21"/>
              </w:rPr>
              <w:t>业绩PPT</w:t>
            </w:r>
            <w:r w:rsidR="006B0B04" w:rsidRPr="00E737A0">
              <w:rPr>
                <w:rFonts w:ascii="楷体_GB2312" w:eastAsia="楷体_GB2312" w:hAnsi="Arial" w:hint="eastAsia"/>
                <w:bCs/>
                <w:iCs/>
                <w:color w:val="000000"/>
                <w:szCs w:val="21"/>
              </w:rPr>
              <w:t>（请参见bank.pingan.com投资者关系-公司推介栏目）</w:t>
            </w:r>
          </w:p>
        </w:tc>
      </w:tr>
      <w:tr w:rsidR="00EE1C10" w:rsidRPr="00E737A0"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E737A0" w:rsidRDefault="00EE1C10" w:rsidP="00C21A8C">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E737A0" w:rsidRDefault="006350C6" w:rsidP="00A52A70">
            <w:pPr>
              <w:jc w:val="center"/>
              <w:rPr>
                <w:rFonts w:ascii="楷体_GB2312" w:eastAsia="楷体_GB2312" w:hAnsi="Arial"/>
                <w:bCs/>
                <w:iCs/>
                <w:color w:val="000000"/>
                <w:sz w:val="21"/>
                <w:szCs w:val="21"/>
              </w:rPr>
            </w:pPr>
            <w:r w:rsidRPr="00E737A0">
              <w:rPr>
                <w:rFonts w:ascii="楷体_GB2312" w:eastAsia="楷体_GB2312" w:hAnsi="Arial" w:hint="eastAsia"/>
                <w:bCs/>
                <w:iCs/>
                <w:color w:val="000000"/>
                <w:sz w:val="21"/>
                <w:szCs w:val="21"/>
              </w:rPr>
              <w:t>20</w:t>
            </w:r>
            <w:r w:rsidR="004F64B5" w:rsidRPr="00E737A0">
              <w:rPr>
                <w:rFonts w:ascii="楷体_GB2312" w:eastAsia="楷体_GB2312" w:hAnsi="Arial" w:hint="eastAsia"/>
                <w:bCs/>
                <w:iCs/>
                <w:color w:val="000000"/>
                <w:sz w:val="21"/>
                <w:szCs w:val="21"/>
              </w:rPr>
              <w:t>20</w:t>
            </w:r>
            <w:r w:rsidRPr="00E737A0">
              <w:rPr>
                <w:rFonts w:ascii="楷体_GB2312" w:eastAsia="楷体_GB2312" w:hAnsi="Arial" w:hint="eastAsia"/>
                <w:bCs/>
                <w:iCs/>
                <w:color w:val="000000"/>
                <w:sz w:val="21"/>
                <w:szCs w:val="21"/>
              </w:rPr>
              <w:t>.</w:t>
            </w:r>
            <w:r w:rsidR="004F64B5" w:rsidRPr="00E737A0">
              <w:rPr>
                <w:rFonts w:ascii="楷体_GB2312" w:eastAsia="楷体_GB2312" w:hAnsi="Arial" w:hint="eastAsia"/>
                <w:bCs/>
                <w:iCs/>
                <w:color w:val="000000"/>
                <w:sz w:val="21"/>
                <w:szCs w:val="21"/>
              </w:rPr>
              <w:t>0</w:t>
            </w:r>
            <w:r w:rsidR="00A52A70" w:rsidRPr="00E737A0">
              <w:rPr>
                <w:rFonts w:ascii="楷体_GB2312" w:eastAsia="楷体_GB2312" w:hAnsi="Arial" w:hint="eastAsia"/>
                <w:bCs/>
                <w:iCs/>
                <w:color w:val="000000"/>
                <w:sz w:val="21"/>
                <w:szCs w:val="21"/>
              </w:rPr>
              <w:t>5</w:t>
            </w:r>
            <w:r w:rsidRPr="00E737A0">
              <w:rPr>
                <w:rFonts w:ascii="楷体_GB2312" w:eastAsia="楷体_GB2312" w:hAnsi="Arial" w:hint="eastAsia"/>
                <w:bCs/>
                <w:iCs/>
                <w:color w:val="000000"/>
                <w:sz w:val="21"/>
                <w:szCs w:val="21"/>
              </w:rPr>
              <w:t>.</w:t>
            </w:r>
            <w:r w:rsidR="004F64B5" w:rsidRPr="00E737A0">
              <w:rPr>
                <w:rFonts w:ascii="楷体_GB2312" w:eastAsia="楷体_GB2312" w:hAnsi="Arial" w:hint="eastAsia"/>
                <w:bCs/>
                <w:iCs/>
                <w:color w:val="000000"/>
                <w:sz w:val="21"/>
                <w:szCs w:val="21"/>
              </w:rPr>
              <w:t>1</w:t>
            </w:r>
            <w:r w:rsidR="00A52A70" w:rsidRPr="00E737A0">
              <w:rPr>
                <w:rFonts w:ascii="楷体_GB2312" w:eastAsia="楷体_GB2312" w:hAnsi="Arial" w:hint="eastAsia"/>
                <w:bCs/>
                <w:iCs/>
                <w:color w:val="000000"/>
                <w:sz w:val="21"/>
                <w:szCs w:val="21"/>
              </w:rPr>
              <w:t>9</w:t>
            </w:r>
          </w:p>
        </w:tc>
      </w:tr>
    </w:tbl>
    <w:p w:rsidR="00941F1C" w:rsidRPr="00E737A0" w:rsidRDefault="00941F1C" w:rsidP="00862CF2">
      <w:pPr>
        <w:rPr>
          <w:rFonts w:ascii="楷体_GB2312" w:eastAsia="楷体_GB2312" w:hAnsi="Arial"/>
          <w:szCs w:val="21"/>
        </w:rPr>
      </w:pPr>
    </w:p>
    <w:sectPr w:rsidR="00941F1C" w:rsidRPr="00E737A0"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D1" w:rsidRDefault="00D92BD1" w:rsidP="00D96584">
      <w:r>
        <w:separator/>
      </w:r>
    </w:p>
  </w:endnote>
  <w:endnote w:type="continuationSeparator" w:id="0">
    <w:p w:rsidR="00D92BD1" w:rsidRDefault="00D92BD1"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D1" w:rsidRDefault="00D92BD1" w:rsidP="00D96584">
      <w:r>
        <w:separator/>
      </w:r>
    </w:p>
  </w:footnote>
  <w:footnote w:type="continuationSeparator" w:id="0">
    <w:p w:rsidR="00D92BD1" w:rsidRDefault="00D92BD1"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07D"/>
    <w:multiLevelType w:val="hybridMultilevel"/>
    <w:tmpl w:val="37B228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3">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B8A2265"/>
    <w:multiLevelType w:val="hybridMultilevel"/>
    <w:tmpl w:val="3D60F22A"/>
    <w:lvl w:ilvl="0" w:tplc="D9E00AC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AB03B3"/>
    <w:multiLevelType w:val="hybridMultilevel"/>
    <w:tmpl w:val="9FDA11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CB286E20">
      <w:start w:val="1"/>
      <w:numFmt w:val="decimal"/>
      <w:lvlText w:val="（%3）"/>
      <w:lvlJc w:val="left"/>
      <w:pPr>
        <w:ind w:left="1800" w:hanging="9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2"/>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5"/>
  </w:num>
  <w:num w:numId="27">
    <w:abstractNumId w:val="6"/>
  </w:num>
  <w:num w:numId="28">
    <w:abstractNumId w:val="6"/>
  </w:num>
  <w:num w:numId="29">
    <w:abstractNumId w:val="6"/>
  </w:num>
  <w:num w:numId="30">
    <w:abstractNumId w:val="6"/>
  </w:num>
  <w:num w:numId="31">
    <w:abstractNumId w:val="7"/>
  </w:num>
  <w:num w:numId="32">
    <w:abstractNumId w:val="4"/>
  </w:num>
  <w:num w:numId="33">
    <w:abstractNumId w:val="0"/>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43512"/>
    <w:rsid w:val="0005090F"/>
    <w:rsid w:val="00065AA6"/>
    <w:rsid w:val="00082013"/>
    <w:rsid w:val="00083D6A"/>
    <w:rsid w:val="000A2DF8"/>
    <w:rsid w:val="000B3693"/>
    <w:rsid w:val="000B41B6"/>
    <w:rsid w:val="00101C48"/>
    <w:rsid w:val="00130F3C"/>
    <w:rsid w:val="001362E7"/>
    <w:rsid w:val="001434EB"/>
    <w:rsid w:val="001516B8"/>
    <w:rsid w:val="0015535F"/>
    <w:rsid w:val="00161A96"/>
    <w:rsid w:val="00197FFA"/>
    <w:rsid w:val="001B33AC"/>
    <w:rsid w:val="001B72DE"/>
    <w:rsid w:val="001C10A8"/>
    <w:rsid w:val="001C4C8A"/>
    <w:rsid w:val="001D2529"/>
    <w:rsid w:val="001D5474"/>
    <w:rsid w:val="001E2C63"/>
    <w:rsid w:val="001F3B5D"/>
    <w:rsid w:val="00203758"/>
    <w:rsid w:val="00210939"/>
    <w:rsid w:val="00217D1A"/>
    <w:rsid w:val="00227050"/>
    <w:rsid w:val="002515C0"/>
    <w:rsid w:val="002721F3"/>
    <w:rsid w:val="00276DAA"/>
    <w:rsid w:val="002B200E"/>
    <w:rsid w:val="002B4EAA"/>
    <w:rsid w:val="002B5D00"/>
    <w:rsid w:val="002F1CBE"/>
    <w:rsid w:val="003075A1"/>
    <w:rsid w:val="003317E5"/>
    <w:rsid w:val="0034241B"/>
    <w:rsid w:val="003450A0"/>
    <w:rsid w:val="00354883"/>
    <w:rsid w:val="00375010"/>
    <w:rsid w:val="003777D5"/>
    <w:rsid w:val="00381783"/>
    <w:rsid w:val="003B107D"/>
    <w:rsid w:val="003B323B"/>
    <w:rsid w:val="003B5748"/>
    <w:rsid w:val="003B721F"/>
    <w:rsid w:val="003C375D"/>
    <w:rsid w:val="003C42A4"/>
    <w:rsid w:val="003F144D"/>
    <w:rsid w:val="003F79D6"/>
    <w:rsid w:val="00413B4B"/>
    <w:rsid w:val="0043629D"/>
    <w:rsid w:val="00442349"/>
    <w:rsid w:val="0045059E"/>
    <w:rsid w:val="00461C9C"/>
    <w:rsid w:val="00471475"/>
    <w:rsid w:val="0049405C"/>
    <w:rsid w:val="00497C7E"/>
    <w:rsid w:val="004B47B1"/>
    <w:rsid w:val="004F64B5"/>
    <w:rsid w:val="004F6F03"/>
    <w:rsid w:val="00511122"/>
    <w:rsid w:val="0051123B"/>
    <w:rsid w:val="0051176B"/>
    <w:rsid w:val="00535D6F"/>
    <w:rsid w:val="005425DD"/>
    <w:rsid w:val="005435E0"/>
    <w:rsid w:val="005464C3"/>
    <w:rsid w:val="00550FD9"/>
    <w:rsid w:val="0055309B"/>
    <w:rsid w:val="005B3BAE"/>
    <w:rsid w:val="005C32E3"/>
    <w:rsid w:val="005E33CA"/>
    <w:rsid w:val="005E4299"/>
    <w:rsid w:val="005F03C2"/>
    <w:rsid w:val="00622C3A"/>
    <w:rsid w:val="00623A26"/>
    <w:rsid w:val="00631CC9"/>
    <w:rsid w:val="0063326E"/>
    <w:rsid w:val="006350C6"/>
    <w:rsid w:val="00684A13"/>
    <w:rsid w:val="00693E35"/>
    <w:rsid w:val="006A1753"/>
    <w:rsid w:val="006A59DB"/>
    <w:rsid w:val="006A7B25"/>
    <w:rsid w:val="006B0B04"/>
    <w:rsid w:val="006C5210"/>
    <w:rsid w:val="006E4D55"/>
    <w:rsid w:val="006F44AE"/>
    <w:rsid w:val="006F64B3"/>
    <w:rsid w:val="00740C1A"/>
    <w:rsid w:val="00761259"/>
    <w:rsid w:val="00777BC7"/>
    <w:rsid w:val="00793203"/>
    <w:rsid w:val="007C213F"/>
    <w:rsid w:val="00803207"/>
    <w:rsid w:val="008132CB"/>
    <w:rsid w:val="0082259D"/>
    <w:rsid w:val="008439B9"/>
    <w:rsid w:val="00845B88"/>
    <w:rsid w:val="0084646C"/>
    <w:rsid w:val="00853994"/>
    <w:rsid w:val="00862CF2"/>
    <w:rsid w:val="008710F9"/>
    <w:rsid w:val="00875F50"/>
    <w:rsid w:val="00880699"/>
    <w:rsid w:val="0089673B"/>
    <w:rsid w:val="008A3FD9"/>
    <w:rsid w:val="008A4E3E"/>
    <w:rsid w:val="008B3EDE"/>
    <w:rsid w:val="008B60BD"/>
    <w:rsid w:val="008C111F"/>
    <w:rsid w:val="008F16A2"/>
    <w:rsid w:val="008F22A3"/>
    <w:rsid w:val="00921892"/>
    <w:rsid w:val="00930952"/>
    <w:rsid w:val="00937E30"/>
    <w:rsid w:val="00941F1C"/>
    <w:rsid w:val="00951547"/>
    <w:rsid w:val="009A283A"/>
    <w:rsid w:val="009C4894"/>
    <w:rsid w:val="009C5679"/>
    <w:rsid w:val="009E293D"/>
    <w:rsid w:val="009E71F2"/>
    <w:rsid w:val="009F13CD"/>
    <w:rsid w:val="00A06B39"/>
    <w:rsid w:val="00A115A1"/>
    <w:rsid w:val="00A12BD3"/>
    <w:rsid w:val="00A140B8"/>
    <w:rsid w:val="00A1521F"/>
    <w:rsid w:val="00A52A70"/>
    <w:rsid w:val="00A84DCD"/>
    <w:rsid w:val="00A87A56"/>
    <w:rsid w:val="00AA5A95"/>
    <w:rsid w:val="00AB47CE"/>
    <w:rsid w:val="00AB67BB"/>
    <w:rsid w:val="00AD4C28"/>
    <w:rsid w:val="00B17ECB"/>
    <w:rsid w:val="00B31C4E"/>
    <w:rsid w:val="00B454CA"/>
    <w:rsid w:val="00B65391"/>
    <w:rsid w:val="00B708D6"/>
    <w:rsid w:val="00B71E2E"/>
    <w:rsid w:val="00B84A84"/>
    <w:rsid w:val="00B84C2E"/>
    <w:rsid w:val="00BB741D"/>
    <w:rsid w:val="00BE11BC"/>
    <w:rsid w:val="00BE3743"/>
    <w:rsid w:val="00C12E89"/>
    <w:rsid w:val="00C21A8C"/>
    <w:rsid w:val="00C30CA5"/>
    <w:rsid w:val="00C35BCB"/>
    <w:rsid w:val="00C51768"/>
    <w:rsid w:val="00C81677"/>
    <w:rsid w:val="00C87159"/>
    <w:rsid w:val="00CA0689"/>
    <w:rsid w:val="00CA1629"/>
    <w:rsid w:val="00CB4AC9"/>
    <w:rsid w:val="00CC12EA"/>
    <w:rsid w:val="00CF7823"/>
    <w:rsid w:val="00D03DFD"/>
    <w:rsid w:val="00D06801"/>
    <w:rsid w:val="00D302B7"/>
    <w:rsid w:val="00D50045"/>
    <w:rsid w:val="00D72498"/>
    <w:rsid w:val="00D87038"/>
    <w:rsid w:val="00D91B1B"/>
    <w:rsid w:val="00D926C5"/>
    <w:rsid w:val="00D92BD1"/>
    <w:rsid w:val="00D96584"/>
    <w:rsid w:val="00DA0369"/>
    <w:rsid w:val="00DB35CA"/>
    <w:rsid w:val="00DC7C3C"/>
    <w:rsid w:val="00DD1E65"/>
    <w:rsid w:val="00DD684A"/>
    <w:rsid w:val="00DD7DFF"/>
    <w:rsid w:val="00DE4B3F"/>
    <w:rsid w:val="00E00681"/>
    <w:rsid w:val="00E017C9"/>
    <w:rsid w:val="00E055AC"/>
    <w:rsid w:val="00E1525A"/>
    <w:rsid w:val="00E37317"/>
    <w:rsid w:val="00E50C4A"/>
    <w:rsid w:val="00E724E3"/>
    <w:rsid w:val="00E733AB"/>
    <w:rsid w:val="00E737A0"/>
    <w:rsid w:val="00EC6B0A"/>
    <w:rsid w:val="00EE1C10"/>
    <w:rsid w:val="00EE4F68"/>
    <w:rsid w:val="00EE7C01"/>
    <w:rsid w:val="00F0207E"/>
    <w:rsid w:val="00F0381B"/>
    <w:rsid w:val="00F16F75"/>
    <w:rsid w:val="00F17A4F"/>
    <w:rsid w:val="00F27D98"/>
    <w:rsid w:val="00F628CA"/>
    <w:rsid w:val="00F66AD9"/>
    <w:rsid w:val="00FA1FC9"/>
    <w:rsid w:val="00FA7D26"/>
    <w:rsid w:val="00FC0257"/>
    <w:rsid w:val="00FC32FA"/>
    <w:rsid w:val="00FD0E95"/>
    <w:rsid w:val="00FE093E"/>
    <w:rsid w:val="00FE4AFD"/>
    <w:rsid w:val="00FF0263"/>
    <w:rsid w:val="00FF0804"/>
    <w:rsid w:val="00FF264F"/>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1570">
      <w:bodyDiv w:val="1"/>
      <w:marLeft w:val="0"/>
      <w:marRight w:val="0"/>
      <w:marTop w:val="0"/>
      <w:marBottom w:val="0"/>
      <w:divBdr>
        <w:top w:val="none" w:sz="0" w:space="0" w:color="auto"/>
        <w:left w:val="none" w:sz="0" w:space="0" w:color="auto"/>
        <w:bottom w:val="none" w:sz="0" w:space="0" w:color="auto"/>
        <w:right w:val="none" w:sz="0" w:space="0" w:color="auto"/>
      </w:divBdr>
    </w:div>
    <w:div w:id="817499386">
      <w:bodyDiv w:val="1"/>
      <w:marLeft w:val="0"/>
      <w:marRight w:val="0"/>
      <w:marTop w:val="0"/>
      <w:marBottom w:val="0"/>
      <w:divBdr>
        <w:top w:val="none" w:sz="0" w:space="0" w:color="auto"/>
        <w:left w:val="none" w:sz="0" w:space="0" w:color="auto"/>
        <w:bottom w:val="none" w:sz="0" w:space="0" w:color="auto"/>
        <w:right w:val="none" w:sz="0" w:space="0" w:color="auto"/>
      </w:divBdr>
    </w:div>
    <w:div w:id="1971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332</Words>
  <Characters>1899</Characters>
  <Application>Microsoft Office Word</Application>
  <DocSecurity>0</DocSecurity>
  <Lines>15</Lines>
  <Paragraphs>4</Paragraphs>
  <ScaleCrop>false</ScaleCrop>
  <Company>sdb</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15</cp:revision>
  <dcterms:created xsi:type="dcterms:W3CDTF">2020-03-30T12:51:00Z</dcterms:created>
  <dcterms:modified xsi:type="dcterms:W3CDTF">2020-08-26T14:42:00Z</dcterms:modified>
</cp:coreProperties>
</file>