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E5618B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E5618B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E5618B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E5618B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E5618B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EE1C10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E5618B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E5618B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E5618B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FF0263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E5618B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E5618B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E5618B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E5618B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E5618B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E5618B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E5618B" w:rsidRDefault="00F0207E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E5618B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E5618B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E5618B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021C46" w:rsidP="0085399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喜马拉雅</w:t>
            </w:r>
            <w:r w:rsidR="00B84C2E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基金</w:t>
            </w:r>
          </w:p>
        </w:tc>
      </w:tr>
      <w:tr w:rsidR="00EE1C10" w:rsidRPr="00E5618B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43629D" w:rsidP="00ED2A52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ED2A52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ED2A52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E5618B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E5618B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D2A52" w:rsidP="00331412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蔡</w:t>
            </w:r>
            <w:r w:rsidR="0033141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新</w:t>
            </w:r>
            <w:proofErr w:type="gramStart"/>
            <w:r w:rsidR="0033141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发行长</w:t>
            </w:r>
            <w:proofErr w:type="gramEnd"/>
            <w:r w:rsidR="0033141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特别助理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、张慎总</w:t>
            </w:r>
            <w:r w:rsidR="0033141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监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E5618B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E5618B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E5618B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</w:t>
            </w:r>
            <w:bookmarkStart w:id="0" w:name="_GoBack"/>
            <w:bookmarkEnd w:id="0"/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，回答投资者提问</w:t>
            </w:r>
          </w:p>
          <w:p w:rsidR="00C03E1A" w:rsidRPr="00E5618B" w:rsidRDefault="00C03E1A" w:rsidP="00E43152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77611E" w:rsidRPr="00E5618B" w:rsidRDefault="0077611E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平安银行零售已转型三年，是否有新战略？</w:t>
            </w:r>
          </w:p>
          <w:p w:rsidR="00B24CFD" w:rsidRPr="000E05E7" w:rsidRDefault="00B24CFD" w:rsidP="00B24CF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Cs w:val="21"/>
              </w:rPr>
              <w:t>2020年是本行新三年战略的起步之年，本行始终以打造“中国最卓越、全球领先的智能化零售银行”为战略目标，继续坚持“科技引领、零售突破、对公做精”十二字策略方针不动摇，并在此基础上，全面升级了新三年战略，推动发展迈向新台阶。</w:t>
            </w:r>
          </w:p>
          <w:p w:rsidR="0077611E" w:rsidRPr="00E5618B" w:rsidRDefault="00B24CFD" w:rsidP="00B24CF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Cs w:val="21"/>
              </w:rPr>
              <w:t>始终坚持“三不变”，即坚持零售转型方向不变，坚持“综合金融、科技赋能”两大核心优势不变，坚持均衡、协同发展思路不变；着力打造“数字银行、生态银行、平台银行”三张名片：全面构建零售业务、对公业务、资金同业业务“3+2+1”经营策略。</w:t>
            </w:r>
          </w:p>
          <w:p w:rsidR="0077611E" w:rsidRPr="00E5618B" w:rsidRDefault="0077611E" w:rsidP="00E43152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A2CF3" w:rsidRPr="00E5618B" w:rsidRDefault="00EA2CF3" w:rsidP="0081630D">
            <w:pPr>
              <w:pStyle w:val="3"/>
              <w:outlineLvl w:val="2"/>
              <w:rPr>
                <w:rFonts w:ascii="楷体_GB2312" w:eastAsia="楷体_GB2312"/>
                <w:color w:val="000000" w:themeColor="text1"/>
              </w:rPr>
            </w:pPr>
            <w:r w:rsidRPr="00E5618B">
              <w:rPr>
                <w:rFonts w:ascii="楷体_GB2312" w:eastAsia="楷体_GB2312" w:hint="eastAsia"/>
              </w:rPr>
              <w:t>上半年整体资产规模及增速的情况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</w:p>
          <w:p w:rsidR="00EA2CF3" w:rsidRPr="00E5618B" w:rsidRDefault="00EA2CF3" w:rsidP="00B24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零售</w:t>
            </w:r>
            <w:r w:rsidR="00B24CFD">
              <w:rPr>
                <w:rFonts w:ascii="楷体_GB2312" w:eastAsia="楷体_GB2312" w:hAnsi="华文细黑" w:hint="eastAsia"/>
                <w:sz w:val="21"/>
                <w:szCs w:val="21"/>
              </w:rPr>
              <w:t>方面：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负债端，主要目标是降成本。目前大额存单及结构性存款的比例都在逐渐压降中。截至一季度末，AUM整体规模突破2</w:t>
            </w:r>
            <w:r w:rsidR="00B24CFD">
              <w:rPr>
                <w:rFonts w:ascii="楷体_GB2312" w:eastAsia="楷体_GB2312" w:hAnsi="华文细黑" w:hint="eastAsia"/>
                <w:sz w:val="21"/>
                <w:szCs w:val="21"/>
              </w:rPr>
              <w:t>万亿。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资产端，受疫情影响及风险审批要求提高，一季度资产增速放缓。</w:t>
            </w:r>
            <w:r w:rsidRPr="00E5618B">
              <w:rPr>
                <w:rFonts w:ascii="楷体_GB2312" w:eastAsia="楷体_GB2312" w:hAnsi="华文细黑" w:cs="华文细黑" w:hint="eastAsia"/>
                <w:color w:val="000000" w:themeColor="text1"/>
                <w:sz w:val="21"/>
                <w:szCs w:val="21"/>
                <w:u w:color="000000"/>
                <w:bdr w:val="nil"/>
                <w:lang w:val="zh-TW" w:eastAsia="zh-TW" w:bidi="he-IL"/>
              </w:rPr>
              <w:t>私行和财富管理维持了去年的</w:t>
            </w:r>
            <w:r w:rsidRPr="00E5618B">
              <w:rPr>
                <w:rFonts w:ascii="楷体_GB2312" w:eastAsia="楷体_GB2312" w:hAnsi="华文细黑" w:cs="华文细黑" w:hint="eastAsia"/>
                <w:color w:val="000000" w:themeColor="text1"/>
                <w:sz w:val="21"/>
                <w:szCs w:val="21"/>
                <w:u w:color="000000"/>
                <w:bdr w:val="nil"/>
                <w:lang w:val="zh-TW" w:bidi="he-IL"/>
              </w:rPr>
              <w:t>高速</w:t>
            </w:r>
            <w:r w:rsidRPr="00E5618B">
              <w:rPr>
                <w:rFonts w:ascii="楷体_GB2312" w:eastAsia="楷体_GB2312" w:hAnsi="华文细黑" w:cs="华文细黑" w:hint="eastAsia"/>
                <w:color w:val="000000" w:themeColor="text1"/>
                <w:sz w:val="21"/>
                <w:szCs w:val="21"/>
                <w:u w:color="000000"/>
                <w:bdr w:val="nil"/>
                <w:lang w:val="zh-TW" w:eastAsia="zh-TW" w:bidi="he-IL"/>
              </w:rPr>
              <w:t>增长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，复杂产品尤其是私募证券的销售表现不错。</w:t>
            </w:r>
          </w:p>
          <w:p w:rsidR="00EA2CF3" w:rsidRPr="00E5618B" w:rsidRDefault="00EA2CF3" w:rsidP="00EA2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对公整体受疫情影响较小，资产质量表现比较稳定。</w:t>
            </w:r>
          </w:p>
          <w:p w:rsidR="00EA2CF3" w:rsidRPr="00E5618B" w:rsidRDefault="00EA2CF3" w:rsidP="00E43152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B393D" w:rsidRPr="00E5618B" w:rsidRDefault="00E5618B" w:rsidP="0081630D">
            <w:pPr>
              <w:pStyle w:val="3"/>
              <w:outlineLvl w:val="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净息差情况</w:t>
            </w:r>
            <w:r w:rsidR="00EB393D" w:rsidRPr="00E5618B">
              <w:rPr>
                <w:rFonts w:ascii="楷体_GB2312" w:eastAsia="楷体_GB2312" w:hint="eastAsia"/>
              </w:rPr>
              <w:t>？</w:t>
            </w:r>
          </w:p>
          <w:p w:rsidR="00EB393D" w:rsidRPr="00E5618B" w:rsidRDefault="00EB393D" w:rsidP="00EB393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Cs w:val="21"/>
              </w:rPr>
              <w:t>本行一季度净息差较去年同期增加7个基点至2.60%。但受年初贷款市场报价利率（LPR）下行、货币市场资金面宽松等因素影响，本行生息资产收益率降幅略快于计息负债成本率降幅，一季度净息差环比去年四季度下降2个基点。</w:t>
            </w:r>
          </w:p>
          <w:p w:rsidR="0077611E" w:rsidRDefault="0077611E" w:rsidP="00E5618B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91735E" w:rsidRPr="00E5618B" w:rsidRDefault="0091735E" w:rsidP="0091735E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0E05E7">
              <w:rPr>
                <w:rFonts w:ascii="楷体_GB2312" w:eastAsia="楷体_GB2312" w:hint="eastAsia"/>
                <w:sz w:val="21"/>
              </w:rPr>
              <w:t>疫情影响下</w:t>
            </w:r>
            <w:r>
              <w:rPr>
                <w:rFonts w:ascii="楷体_GB2312" w:eastAsia="楷体_GB2312" w:hint="eastAsia"/>
                <w:sz w:val="21"/>
              </w:rPr>
              <w:t>资产质量情况</w:t>
            </w:r>
            <w:r w:rsidRPr="000E05E7">
              <w:rPr>
                <w:rFonts w:ascii="楷体_GB2312" w:eastAsia="楷体_GB2312" w:hint="eastAsia"/>
                <w:sz w:val="21"/>
              </w:rPr>
              <w:t>？</w:t>
            </w:r>
          </w:p>
          <w:p w:rsidR="00B24CFD" w:rsidRDefault="00B24CFD" w:rsidP="00B24CF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本行积极应对外部风险，调整优化业务结构：对公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方面，</w:t>
            </w:r>
            <w:r>
              <w:rPr>
                <w:rFonts w:ascii="楷体_GB2312" w:eastAsia="楷体_GB2312" w:hAnsi="华文细黑" w:hint="eastAsia"/>
                <w:szCs w:val="21"/>
              </w:rPr>
              <w:t>持续优化对公业务结构，聚焦重点行业、区域和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客户，选择弱周期、成长</w:t>
            </w:r>
            <w:r>
              <w:rPr>
                <w:rFonts w:ascii="楷体_GB2312" w:eastAsia="楷体_GB2312" w:hAnsi="华文细黑" w:hint="eastAsia"/>
                <w:szCs w:val="21"/>
              </w:rPr>
              <w:t>性稳定、资产质量好的行业，持续退出高风险行业；零售方面，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利用行业领先的科技实力和风控模型，提升客户资质及风险识别度，实施差异化的风险管理策略，同时</w:t>
            </w:r>
            <w:r>
              <w:rPr>
                <w:rFonts w:ascii="楷体_GB2312" w:eastAsia="楷体_GB2312" w:hAnsi="华文细黑" w:hint="eastAsia"/>
                <w:szCs w:val="21"/>
              </w:rPr>
              <w:t>不断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优化客群结构。</w:t>
            </w:r>
          </w:p>
          <w:p w:rsidR="0091735E" w:rsidRPr="00E5618B" w:rsidRDefault="00B24CFD" w:rsidP="00B24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，本行逾期60天以上贷款占比、逾期90天以上贷款占比、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lastRenderedPageBreak/>
              <w:t>关注贷款占比均较上年末下降，不良贷款率与上年末持平。</w:t>
            </w:r>
          </w:p>
          <w:p w:rsidR="0091735E" w:rsidRPr="00E5618B" w:rsidRDefault="0091735E" w:rsidP="00E5618B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C03E1A" w:rsidRPr="00E5618B" w:rsidRDefault="00C03E1A" w:rsidP="0081630D">
            <w:pPr>
              <w:pStyle w:val="3"/>
              <w:outlineLvl w:val="2"/>
              <w:rPr>
                <w:rFonts w:ascii="楷体_GB2312" w:eastAsia="楷体_GB2312"/>
                <w:color w:val="000000" w:themeColor="text1"/>
              </w:rPr>
            </w:pPr>
            <w:r w:rsidRPr="00E5618B">
              <w:rPr>
                <w:rFonts w:ascii="楷体_GB2312" w:eastAsia="楷体_GB2312" w:hint="eastAsia"/>
              </w:rPr>
              <w:t>疫情下</w:t>
            </w:r>
            <w:r w:rsidR="00EB393D" w:rsidRPr="00E5618B">
              <w:rPr>
                <w:rFonts w:ascii="楷体_GB2312" w:eastAsia="楷体_GB2312" w:hint="eastAsia"/>
              </w:rPr>
              <w:t>，</w:t>
            </w:r>
            <w:r w:rsidRPr="00E5618B">
              <w:rPr>
                <w:rFonts w:ascii="楷体_GB2312" w:eastAsia="楷体_GB2312" w:hint="eastAsia"/>
              </w:rPr>
              <w:t>获客影响</w:t>
            </w:r>
            <w:r w:rsidR="00E5618B">
              <w:rPr>
                <w:rFonts w:ascii="楷体_GB2312" w:eastAsia="楷体_GB2312" w:hint="eastAsia"/>
              </w:rPr>
              <w:t>程度情况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  <w:r w:rsidR="00E5618B">
              <w:rPr>
                <w:rFonts w:ascii="楷体_GB2312" w:eastAsia="楷体_GB2312" w:hint="eastAsia"/>
                <w:color w:val="000000" w:themeColor="text1"/>
              </w:rPr>
              <w:t>措施有哪些？</w:t>
            </w:r>
          </w:p>
          <w:p w:rsidR="00C03E1A" w:rsidRPr="00E5618B" w:rsidRDefault="00A42C40" w:rsidP="00A42C4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新增获客略受疫情影响，但我行通过口袋银行APP“在家办”系列专区，向客户提供线上化金融产品及便民惠民服务。</w:t>
            </w:r>
            <w:r w:rsidR="00B24CFD">
              <w:rPr>
                <w:rFonts w:ascii="楷体_GB2312" w:eastAsia="楷体_GB2312" w:hAnsi="华文细黑" w:hint="eastAsia"/>
                <w:sz w:val="21"/>
                <w:szCs w:val="21"/>
              </w:rPr>
              <w:t>一季度</w:t>
            </w: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末，“在家办”专区日均PV（页面被浏览的次数）超200万次，日均UV（页面访客人数）近60万人，互联网获客恢复率达143.2%。</w:t>
            </w:r>
          </w:p>
          <w:p w:rsidR="0081630D" w:rsidRPr="00E5618B" w:rsidRDefault="0081630D" w:rsidP="00EB393D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B393D" w:rsidRPr="00E5618B" w:rsidRDefault="00E5618B" w:rsidP="0081630D">
            <w:pPr>
              <w:pStyle w:val="3"/>
              <w:outlineLvl w:val="2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信用卡业务受疫情影响，目前恢复情况</w:t>
            </w:r>
            <w:r w:rsidR="00EB393D" w:rsidRPr="00E5618B">
              <w:rPr>
                <w:rFonts w:ascii="楷体_GB2312" w:eastAsia="楷体_GB2312" w:hint="eastAsia"/>
              </w:rPr>
              <w:t>？</w:t>
            </w:r>
          </w:p>
          <w:p w:rsidR="00B24CFD" w:rsidRDefault="00B24CFD" w:rsidP="00B24CF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bCs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，受疫情影响，本行信用卡流通卡量达6,048.10万张，较上年末增长0.3%；信用卡贷款余额5,158.63亿元，较上年末下降4.5%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。</w:t>
            </w:r>
          </w:p>
          <w:p w:rsidR="00EB393D" w:rsidRPr="00E5618B" w:rsidRDefault="00B24CFD" w:rsidP="00B24CF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bCs/>
                <w:szCs w:val="21"/>
              </w:rPr>
              <w:t>此外，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信用卡消费金额有所下滑，本行快速反应，积极布局线上化场景，为用户提供全周期、多方位的线上化、综合化服务，</w:t>
            </w:r>
            <w:r>
              <w:rPr>
                <w:rFonts w:ascii="楷体_GB2312" w:eastAsia="楷体_GB2312" w:hAnsi="华文细黑" w:hint="eastAsia"/>
                <w:szCs w:val="21"/>
              </w:rPr>
              <w:t>因此，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一季度</w:t>
            </w:r>
            <w:r>
              <w:rPr>
                <w:rFonts w:ascii="楷体_GB2312" w:eastAsia="楷体_GB2312" w:hAnsi="华文细黑" w:hint="eastAsia"/>
                <w:bCs/>
                <w:szCs w:val="21"/>
              </w:rPr>
              <w:t>末</w:t>
            </w:r>
            <w:r w:rsidRPr="001E570C">
              <w:rPr>
                <w:rFonts w:ascii="楷体_GB2312" w:eastAsia="楷体_GB2312" w:hAnsi="华文细黑" w:hint="eastAsia"/>
                <w:bCs/>
                <w:szCs w:val="21"/>
              </w:rPr>
              <w:t>信用卡日消费金额已恢复至疫情前水平，商城交易量同比增长13.4%。</w:t>
            </w:r>
          </w:p>
          <w:p w:rsidR="00EB393D" w:rsidRPr="00E5618B" w:rsidRDefault="00EB393D" w:rsidP="00C03E1A">
            <w:pPr>
              <w:pStyle w:val="a6"/>
              <w:snapToGrid w:val="0"/>
              <w:spacing w:afterLines="20" w:after="62"/>
              <w:ind w:left="360" w:firstLineChars="0" w:firstLine="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C03E1A" w:rsidRPr="00E5618B" w:rsidRDefault="00A42C40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疫情期间</w:t>
            </w:r>
            <w:r w:rsidR="00EA2CF3" w:rsidRPr="00E5618B">
              <w:rPr>
                <w:rFonts w:ascii="楷体_GB2312" w:eastAsia="楷体_GB2312" w:hint="eastAsia"/>
              </w:rPr>
              <w:t>，</w:t>
            </w:r>
            <w:r w:rsidRPr="00E5618B">
              <w:rPr>
                <w:rFonts w:ascii="楷体_GB2312" w:eastAsia="楷体_GB2312" w:hint="eastAsia"/>
              </w:rPr>
              <w:t>新一贷</w:t>
            </w:r>
            <w:r w:rsidR="00EB393D" w:rsidRPr="00E5618B">
              <w:rPr>
                <w:rFonts w:ascii="楷体_GB2312" w:eastAsia="楷体_GB2312" w:hint="eastAsia"/>
              </w:rPr>
              <w:t>情况？</w:t>
            </w:r>
          </w:p>
          <w:p w:rsidR="00A42C40" w:rsidRDefault="00B24CFD" w:rsidP="00A42C4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一季度，本行“新一贷”累计发放226.60亿元；</w:t>
            </w:r>
            <w:r>
              <w:rPr>
                <w:rFonts w:ascii="楷体_GB2312" w:eastAsia="楷体_GB2312" w:hAnsi="Arial" w:hint="eastAsia"/>
                <w:sz w:val="21"/>
                <w:szCs w:val="21"/>
              </w:rPr>
              <w:t>一季度</w:t>
            </w: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，“新一贷”余额1,537.50亿元，较上年末下降2.3%。</w:t>
            </w: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疫情发生后，本行迅速制定了“新一贷”延期还款方案，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灵活调整此类客户的还款安排。随着催收</w:t>
            </w: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复工率持续提升，3月新增逾期已经呈现下降趋势，预计未来不良率将保持可控水平。</w:t>
            </w:r>
          </w:p>
          <w:p w:rsidR="00E5618B" w:rsidRPr="00E5618B" w:rsidRDefault="00E5618B" w:rsidP="00A42C4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B393D" w:rsidRPr="00E5618B" w:rsidRDefault="00EB393D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目前房屋按揭及持证抵押贷款情况如何？</w:t>
            </w:r>
          </w:p>
          <w:p w:rsidR="00B24CFD" w:rsidRPr="000E05E7" w:rsidRDefault="00B24CFD" w:rsidP="00B24CFD">
            <w:pPr>
              <w:ind w:firstLineChars="200" w:firstLine="400"/>
              <w:rPr>
                <w:rFonts w:ascii="楷体_GB2312" w:eastAsia="楷体_GB2312" w:hAnsi="华文细黑"/>
                <w:color w:val="000000"/>
              </w:rPr>
            </w:pPr>
            <w:r w:rsidRPr="000E05E7">
              <w:rPr>
                <w:rFonts w:ascii="楷体_GB2312" w:eastAsia="楷体_GB2312" w:hAnsi="华文细黑" w:hint="eastAsia"/>
                <w:color w:val="000000"/>
              </w:rPr>
              <w:t>充分应用互联网技术，进一步满足疫情期间房屋抵押贷款客群的融资需求，为小微客户快速恢复生产和经营发展提供有效的金融支持。</w:t>
            </w:r>
          </w:p>
          <w:p w:rsidR="00EB393D" w:rsidRPr="00E5618B" w:rsidRDefault="00B24CFD" w:rsidP="00B24CFD">
            <w:pPr>
              <w:ind w:firstLineChars="200" w:firstLine="400"/>
              <w:rPr>
                <w:rFonts w:ascii="楷体_GB2312" w:eastAsia="楷体_GB2312"/>
                <w:color w:val="000000"/>
              </w:rPr>
            </w:pPr>
            <w:r w:rsidRPr="000E05E7">
              <w:rPr>
                <w:rFonts w:ascii="楷体_GB2312" w:eastAsia="楷体_GB2312" w:hAnsi="华文细黑" w:hint="eastAsia"/>
                <w:color w:val="000000"/>
              </w:rPr>
              <w:t>一季度，本行个人房屋按揭及持证抵押贷款累计发放437.32亿元，同比增长17.7%；个人房屋按揭及持证抵押贷款余额4,308.59亿元，较上年末增长4.8%。</w:t>
            </w:r>
          </w:p>
          <w:p w:rsidR="00327CCB" w:rsidRPr="00E5618B" w:rsidRDefault="00327CCB" w:rsidP="00EB393D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81630D" w:rsidRDefault="0081630D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私行财富业务目前</w:t>
            </w:r>
            <w:r w:rsidR="00E5618B">
              <w:rPr>
                <w:rFonts w:ascii="楷体_GB2312" w:eastAsia="楷体_GB2312" w:hint="eastAsia"/>
              </w:rPr>
              <w:t>发展情况</w:t>
            </w:r>
            <w:r w:rsidRPr="00E5618B">
              <w:rPr>
                <w:rFonts w:ascii="楷体_GB2312" w:eastAsia="楷体_GB2312" w:hint="eastAsia"/>
              </w:rPr>
              <w:t>？</w:t>
            </w:r>
          </w:p>
          <w:p w:rsidR="00B24CFD" w:rsidRPr="00B24CFD" w:rsidRDefault="00B24CFD" w:rsidP="00B24CFD">
            <w:pPr>
              <w:ind w:firstLineChars="200" w:firstLine="420"/>
              <w:rPr>
                <w:lang w:bidi="he-IL"/>
              </w:rPr>
            </w:pP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一季度，本行私人银行及财富管理板块全面提升综合金融、专业化及科技平台三大能力，强化私行品牌建设。</w:t>
            </w:r>
            <w:r>
              <w:rPr>
                <w:rFonts w:ascii="楷体_GB2312" w:eastAsia="楷体_GB2312" w:hAnsi="Arial" w:hint="eastAsia"/>
                <w:sz w:val="21"/>
                <w:szCs w:val="21"/>
              </w:rPr>
              <w:t>一季度</w:t>
            </w:r>
            <w:r w:rsidRPr="00E737A0">
              <w:rPr>
                <w:rFonts w:ascii="楷体_GB2312" w:eastAsia="楷体_GB2312" w:hAnsi="Arial" w:hint="eastAsia"/>
                <w:sz w:val="21"/>
                <w:szCs w:val="21"/>
              </w:rPr>
              <w:t>末，本行财富客户81.98万户，较上年末增长5.2%；私行达标客户 4.71万户，较上年末增长7.7%，其中私行达标客户AUM规模8,058.50亿元，较上年末增长9.8%。</w:t>
            </w:r>
          </w:p>
          <w:p w:rsidR="0081630D" w:rsidRPr="00E5618B" w:rsidRDefault="0081630D" w:rsidP="00EB393D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327CCB" w:rsidRPr="00E5618B" w:rsidRDefault="00327CCB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口袋银行活跃情况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</w:p>
          <w:p w:rsidR="00327CCB" w:rsidRPr="00E5618B" w:rsidRDefault="00327CCB" w:rsidP="00327C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平安口袋银行APP月活跃用户数（MAU）3,115.15万户，较上年末下降5.4%，主要是受春节及疫情影响，客户出行及本地生活服务场景需求减弱，APP月活跃用户数在1-2月出现下降，随着本行积极布局线上“在家办”服务，加强生活场景的建设，3月月活跃用户数得以恢复。</w:t>
            </w:r>
          </w:p>
          <w:p w:rsidR="00327CCB" w:rsidRDefault="00327CCB" w:rsidP="00EA2CF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B24CFD" w:rsidRPr="009561FA" w:rsidRDefault="00B24CFD" w:rsidP="00B24CFD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9561FA">
              <w:rPr>
                <w:rFonts w:ascii="楷体_GB2312" w:eastAsia="楷体_GB2312" w:hint="eastAsia"/>
                <w:sz w:val="21"/>
              </w:rPr>
              <w:t>理财业务</w:t>
            </w:r>
            <w:r>
              <w:rPr>
                <w:rFonts w:ascii="楷体_GB2312" w:eastAsia="楷体_GB2312" w:hint="eastAsia"/>
                <w:sz w:val="21"/>
              </w:rPr>
              <w:t>恢复情况？符合监管要求的产品占比？</w:t>
            </w:r>
          </w:p>
          <w:p w:rsidR="00B24CFD" w:rsidRPr="0091735E" w:rsidRDefault="00B24CFD" w:rsidP="00B24CFD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91735E">
              <w:rPr>
                <w:rFonts w:ascii="楷体_GB2312" w:eastAsia="楷体_GB2312" w:hAnsi="华文细黑" w:hint="eastAsia"/>
                <w:sz w:val="21"/>
                <w:szCs w:val="21"/>
              </w:rPr>
              <w:t>疫情期间，理财各项业务正常运营、有序开展，并取得了一系列工作成果：</w:t>
            </w:r>
            <w:r w:rsidRPr="009561FA">
              <w:rPr>
                <w:rFonts w:ascii="楷体_GB2312" w:eastAsia="楷体_GB2312" w:hAnsi="华文细黑" w:hint="eastAsia"/>
                <w:sz w:val="21"/>
                <w:szCs w:val="21"/>
              </w:rPr>
              <w:t>一季度末，本行保本理财产品余额613.33亿元，较上年末减少8.8%；结构性存款余额6,155.61亿元，较上年末增长</w:t>
            </w:r>
            <w:r w:rsidRPr="009561FA"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21.2%；非保本理财产品余额6,173.56亿元，较上年末增长4.5%，其中，本行符合资管新规净值管理要求的净值型产品规模3,250.77亿元，较上年末增长26.4%，占非保本理财产品余额的比例由43.6%提升至52.7%。</w:t>
            </w:r>
          </w:p>
          <w:p w:rsidR="00DE1E7B" w:rsidRPr="00E5618B" w:rsidRDefault="00DE1E7B" w:rsidP="00EA2CF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B393D" w:rsidRPr="00E5618B" w:rsidRDefault="00EB393D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小微客群</w:t>
            </w:r>
            <w:r w:rsidR="00E5618B">
              <w:rPr>
                <w:rFonts w:ascii="楷体_GB2312" w:eastAsia="楷体_GB2312" w:hint="eastAsia"/>
              </w:rPr>
              <w:t>的资产质量表现</w:t>
            </w:r>
            <w:r w:rsidRPr="00E5618B">
              <w:rPr>
                <w:rFonts w:ascii="楷体_GB2312" w:eastAsia="楷体_GB2312" w:hint="eastAsia"/>
              </w:rPr>
              <w:t>？</w:t>
            </w:r>
          </w:p>
          <w:p w:rsidR="00EB393D" w:rsidRPr="00E5618B" w:rsidRDefault="00B24CFD" w:rsidP="00EB393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小企业数字金融通过“数据+模型”还原企业真实经营状况，以标准化产品、借助科技手段，实现线上化、自动化、快速批量放款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 xml:space="preserve">。 </w:t>
            </w:r>
            <w:r w:rsidRPr="000E05E7">
              <w:rPr>
                <w:rFonts w:ascii="楷体_GB2312" w:eastAsia="楷体_GB2312" w:hAnsi="华文细黑" w:hint="eastAsia"/>
                <w:sz w:val="21"/>
                <w:szCs w:val="21"/>
              </w:rPr>
              <w:t>以定制化产品深入场景和产业链客户生态，与政府服务平台等场景数据方合作，构建风控模型，批量为小微企业提供融资服务，有效解决中小企业融资难、融资贵的问题，同时保证资产质量。</w:t>
            </w:r>
          </w:p>
          <w:p w:rsidR="00EB393D" w:rsidRPr="00E5618B" w:rsidRDefault="00EB393D" w:rsidP="00EA2CF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2A46D4" w:rsidRPr="00E5618B" w:rsidRDefault="002A46D4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代销基金业务目前情况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</w:p>
          <w:p w:rsidR="002A46D4" w:rsidRPr="00E5618B" w:rsidRDefault="002A46D4" w:rsidP="002A46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>本行高度重视基金产品销售能力的建设，重点打造公募基金“平安优选”品牌，强化线上化运营及科技赋能，基金销量显著增长，2020年一季度，代理基金业务销售规模  1,152.71亿元，同比增长53.3%。</w:t>
            </w:r>
          </w:p>
          <w:p w:rsidR="002A46D4" w:rsidRPr="00E5618B" w:rsidRDefault="002A46D4" w:rsidP="00C03E1A">
            <w:pPr>
              <w:pStyle w:val="a6"/>
              <w:snapToGrid w:val="0"/>
              <w:spacing w:afterLines="20" w:after="62"/>
              <w:ind w:left="360" w:firstLineChars="0" w:firstLine="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B393D" w:rsidRPr="00E5618B" w:rsidRDefault="00EB393D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目前拨备覆盖率情况如何</w:t>
            </w:r>
            <w:r w:rsidRPr="00E5618B">
              <w:rPr>
                <w:rFonts w:ascii="楷体_GB2312" w:eastAsia="楷体_GB2312" w:hint="eastAsia"/>
                <w:color w:val="000000" w:themeColor="text1"/>
              </w:rPr>
              <w:t>？</w:t>
            </w:r>
          </w:p>
          <w:p w:rsidR="00EB393D" w:rsidRPr="00E5618B" w:rsidRDefault="00B24CFD" w:rsidP="00B24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一季度末</w:t>
            </w:r>
            <w:r w:rsidRPr="000E05E7">
              <w:rPr>
                <w:rFonts w:ascii="楷体_GB2312" w:eastAsia="楷体_GB2312" w:hAnsi="华文细黑" w:hint="eastAsia"/>
                <w:szCs w:val="21"/>
              </w:rPr>
              <w:t>，本行贷款减值准备余额为808.23亿元，较上年末增长15.4%；拨贷比为3.31%，较上年末增加0.30个百分点；拨备覆盖率为200.35%，较上年末增加17.23个百分点；逾期60天以上贷款拨备覆盖率为218.90%，较上年末增加28.56个百分点；逾期90天以上贷款拨备覆盖率为257.77%，较上年末增加34.88个百分点，风险抵补能力持续增强。</w:t>
            </w:r>
          </w:p>
          <w:p w:rsidR="0077611E" w:rsidRPr="00E5618B" w:rsidRDefault="0077611E" w:rsidP="009173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77611E" w:rsidRPr="00E5618B" w:rsidRDefault="0077611E" w:rsidP="0081630D">
            <w:pPr>
              <w:pStyle w:val="3"/>
              <w:outlineLvl w:val="2"/>
              <w:rPr>
                <w:rFonts w:ascii="楷体_GB2312" w:eastAsia="楷体_GB2312"/>
              </w:rPr>
            </w:pPr>
            <w:r w:rsidRPr="00E5618B">
              <w:rPr>
                <w:rFonts w:ascii="楷体_GB2312" w:eastAsia="楷体_GB2312" w:hint="eastAsia"/>
              </w:rPr>
              <w:t>是否有计划增加董事会独立董事的数量？</w:t>
            </w:r>
          </w:p>
          <w:p w:rsidR="0077611E" w:rsidRPr="00E5618B" w:rsidRDefault="0077611E" w:rsidP="0077611E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  <w:r w:rsidRPr="00E5618B">
              <w:rPr>
                <w:rFonts w:ascii="楷体_GB2312" w:eastAsia="楷体_GB2312" w:hAnsi="华文细黑" w:hint="eastAsia"/>
                <w:sz w:val="21"/>
                <w:szCs w:val="21"/>
              </w:rPr>
              <w:tab/>
              <w:t>我行目前共有16位董事，其中6名股东董事、4名执行董事以及6位独立董事，因此独董数量已为同业很高的水平。</w:t>
            </w:r>
          </w:p>
          <w:p w:rsidR="0091735E" w:rsidRPr="0091735E" w:rsidRDefault="0091735E" w:rsidP="00EA2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Cs w:val="21"/>
              </w:rPr>
            </w:pPr>
          </w:p>
          <w:p w:rsidR="0091735E" w:rsidRDefault="0091735E" w:rsidP="00EA2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Cs w:val="21"/>
              </w:rPr>
            </w:pPr>
          </w:p>
          <w:p w:rsidR="00E5618B" w:rsidRPr="00E5618B" w:rsidRDefault="00E5618B" w:rsidP="00E561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Arial"/>
                <w:szCs w:val="21"/>
              </w:rPr>
            </w:pPr>
            <w:r w:rsidRPr="00E737A0">
              <w:rPr>
                <w:rStyle w:val="a8"/>
                <w:rFonts w:ascii="楷体_GB2312" w:eastAsia="楷体_GB2312" w:hAnsi="Arial" w:hint="eastAsia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E5618B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6350C6" w:rsidP="00A52A70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="00A52A70" w:rsidRPr="00E5618B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年</w:t>
            </w:r>
            <w:r w:rsidR="00A52A70" w:rsidRPr="00E5618B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一季度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业绩PPT</w:t>
            </w:r>
            <w:r w:rsidR="006B0B04" w:rsidRPr="00E5618B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（请参见bank.pingan.com投资者关系-公司推介栏目）</w:t>
            </w:r>
          </w:p>
        </w:tc>
      </w:tr>
      <w:tr w:rsidR="00EE1C10" w:rsidRPr="00E5618B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E5618B" w:rsidRDefault="006350C6" w:rsidP="00C03E1A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F64B5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C03E1A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6</w:t>
            </w:r>
            <w:r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C03E1A" w:rsidRPr="00E5618B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08</w:t>
            </w:r>
          </w:p>
        </w:tc>
      </w:tr>
    </w:tbl>
    <w:p w:rsidR="00941F1C" w:rsidRPr="00E5618B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E5618B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86" w:rsidRDefault="00671A86" w:rsidP="00D96584">
      <w:r>
        <w:separator/>
      </w:r>
    </w:p>
  </w:endnote>
  <w:endnote w:type="continuationSeparator" w:id="0">
    <w:p w:rsidR="00671A86" w:rsidRDefault="00671A86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86" w:rsidRDefault="00671A86" w:rsidP="00D96584">
      <w:r>
        <w:separator/>
      </w:r>
    </w:p>
  </w:footnote>
  <w:footnote w:type="continuationSeparator" w:id="0">
    <w:p w:rsidR="00671A86" w:rsidRDefault="00671A86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DB2CE1FC"/>
    <w:lvl w:ilvl="0" w:tplc="38104DB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B85C1C"/>
    <w:multiLevelType w:val="hybridMultilevel"/>
    <w:tmpl w:val="D6729330"/>
    <w:lvl w:ilvl="0" w:tplc="A266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9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43512"/>
    <w:rsid w:val="0005090F"/>
    <w:rsid w:val="00065AA6"/>
    <w:rsid w:val="00082013"/>
    <w:rsid w:val="00083D6A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10939"/>
    <w:rsid w:val="00217D1A"/>
    <w:rsid w:val="00227050"/>
    <w:rsid w:val="002515C0"/>
    <w:rsid w:val="002721F3"/>
    <w:rsid w:val="00276DAA"/>
    <w:rsid w:val="002A46D4"/>
    <w:rsid w:val="002B200E"/>
    <w:rsid w:val="002B4EAA"/>
    <w:rsid w:val="002B5D00"/>
    <w:rsid w:val="002F1CBE"/>
    <w:rsid w:val="003075A1"/>
    <w:rsid w:val="00327CCB"/>
    <w:rsid w:val="00331412"/>
    <w:rsid w:val="003317E5"/>
    <w:rsid w:val="0034241B"/>
    <w:rsid w:val="003450A0"/>
    <w:rsid w:val="00354883"/>
    <w:rsid w:val="00360EEC"/>
    <w:rsid w:val="00375010"/>
    <w:rsid w:val="003777D5"/>
    <w:rsid w:val="00381783"/>
    <w:rsid w:val="003B107D"/>
    <w:rsid w:val="003B323B"/>
    <w:rsid w:val="003B5748"/>
    <w:rsid w:val="003B721F"/>
    <w:rsid w:val="003C375D"/>
    <w:rsid w:val="003C42A4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4B5"/>
    <w:rsid w:val="004F6F03"/>
    <w:rsid w:val="00511122"/>
    <w:rsid w:val="0051123B"/>
    <w:rsid w:val="0051176B"/>
    <w:rsid w:val="00535D6F"/>
    <w:rsid w:val="005425DD"/>
    <w:rsid w:val="005435E0"/>
    <w:rsid w:val="005464C3"/>
    <w:rsid w:val="00550FD9"/>
    <w:rsid w:val="0055309B"/>
    <w:rsid w:val="005B3BAE"/>
    <w:rsid w:val="005C32E3"/>
    <w:rsid w:val="005E33CA"/>
    <w:rsid w:val="005E4299"/>
    <w:rsid w:val="00622C3A"/>
    <w:rsid w:val="00623A26"/>
    <w:rsid w:val="00631CC9"/>
    <w:rsid w:val="0063326E"/>
    <w:rsid w:val="006350C6"/>
    <w:rsid w:val="00671A86"/>
    <w:rsid w:val="00684A13"/>
    <w:rsid w:val="00693E35"/>
    <w:rsid w:val="006A1753"/>
    <w:rsid w:val="006A7B25"/>
    <w:rsid w:val="006B04AB"/>
    <w:rsid w:val="006B0B04"/>
    <w:rsid w:val="006C5210"/>
    <w:rsid w:val="006E4D55"/>
    <w:rsid w:val="006F64B3"/>
    <w:rsid w:val="007108C4"/>
    <w:rsid w:val="00740C1A"/>
    <w:rsid w:val="00761259"/>
    <w:rsid w:val="0077611E"/>
    <w:rsid w:val="00777BC7"/>
    <w:rsid w:val="00793203"/>
    <w:rsid w:val="007C213F"/>
    <w:rsid w:val="00803207"/>
    <w:rsid w:val="008132CB"/>
    <w:rsid w:val="0081630D"/>
    <w:rsid w:val="0082259D"/>
    <w:rsid w:val="008439B9"/>
    <w:rsid w:val="00845B88"/>
    <w:rsid w:val="0084646C"/>
    <w:rsid w:val="00853994"/>
    <w:rsid w:val="00862CF2"/>
    <w:rsid w:val="008710F9"/>
    <w:rsid w:val="00875F50"/>
    <w:rsid w:val="00880699"/>
    <w:rsid w:val="0089673B"/>
    <w:rsid w:val="008A3FD9"/>
    <w:rsid w:val="008A4E3E"/>
    <w:rsid w:val="008B3EDE"/>
    <w:rsid w:val="008B60BD"/>
    <w:rsid w:val="008C111F"/>
    <w:rsid w:val="008F16A2"/>
    <w:rsid w:val="008F22A3"/>
    <w:rsid w:val="0091735E"/>
    <w:rsid w:val="00921892"/>
    <w:rsid w:val="00930952"/>
    <w:rsid w:val="00941F1C"/>
    <w:rsid w:val="00951547"/>
    <w:rsid w:val="009C4894"/>
    <w:rsid w:val="009C5679"/>
    <w:rsid w:val="009E293D"/>
    <w:rsid w:val="009E71F2"/>
    <w:rsid w:val="009F13CD"/>
    <w:rsid w:val="00A06B39"/>
    <w:rsid w:val="00A115A1"/>
    <w:rsid w:val="00A12BD3"/>
    <w:rsid w:val="00A140B8"/>
    <w:rsid w:val="00A1521F"/>
    <w:rsid w:val="00A42C40"/>
    <w:rsid w:val="00A52A70"/>
    <w:rsid w:val="00A84DCD"/>
    <w:rsid w:val="00A87A56"/>
    <w:rsid w:val="00AA5A95"/>
    <w:rsid w:val="00AB47CE"/>
    <w:rsid w:val="00AB67BB"/>
    <w:rsid w:val="00AD4C28"/>
    <w:rsid w:val="00B17ECB"/>
    <w:rsid w:val="00B24CFD"/>
    <w:rsid w:val="00B31C4E"/>
    <w:rsid w:val="00B454CA"/>
    <w:rsid w:val="00B65391"/>
    <w:rsid w:val="00B708D6"/>
    <w:rsid w:val="00B71E2E"/>
    <w:rsid w:val="00B84A84"/>
    <w:rsid w:val="00B84C2E"/>
    <w:rsid w:val="00BB741D"/>
    <w:rsid w:val="00BE11BC"/>
    <w:rsid w:val="00BE3743"/>
    <w:rsid w:val="00C03E1A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26C5"/>
    <w:rsid w:val="00D92BD1"/>
    <w:rsid w:val="00D96584"/>
    <w:rsid w:val="00DB35CA"/>
    <w:rsid w:val="00DC7C3C"/>
    <w:rsid w:val="00DD1E65"/>
    <w:rsid w:val="00DD684A"/>
    <w:rsid w:val="00DD7DFF"/>
    <w:rsid w:val="00DE1E7B"/>
    <w:rsid w:val="00DE4B3F"/>
    <w:rsid w:val="00E00681"/>
    <w:rsid w:val="00E017C9"/>
    <w:rsid w:val="00E055AC"/>
    <w:rsid w:val="00E1525A"/>
    <w:rsid w:val="00E37317"/>
    <w:rsid w:val="00E43152"/>
    <w:rsid w:val="00E50C4A"/>
    <w:rsid w:val="00E5618B"/>
    <w:rsid w:val="00E724E3"/>
    <w:rsid w:val="00E733AB"/>
    <w:rsid w:val="00EA2CF3"/>
    <w:rsid w:val="00EB1DAC"/>
    <w:rsid w:val="00EB393D"/>
    <w:rsid w:val="00EC6B0A"/>
    <w:rsid w:val="00ED2A52"/>
    <w:rsid w:val="00EE1C10"/>
    <w:rsid w:val="00EE4F68"/>
    <w:rsid w:val="00EE7C01"/>
    <w:rsid w:val="00F0207E"/>
    <w:rsid w:val="00F0381B"/>
    <w:rsid w:val="00F16F75"/>
    <w:rsid w:val="00F628CA"/>
    <w:rsid w:val="00F66AD9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33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33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437</Words>
  <Characters>2494</Characters>
  <Application>Microsoft Office Word</Application>
  <DocSecurity>0</DocSecurity>
  <Lines>20</Lines>
  <Paragraphs>5</Paragraphs>
  <ScaleCrop>false</ScaleCrop>
  <Company>sdb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test</cp:lastModifiedBy>
  <cp:revision>11</cp:revision>
  <dcterms:created xsi:type="dcterms:W3CDTF">2020-07-01T08:18:00Z</dcterms:created>
  <dcterms:modified xsi:type="dcterms:W3CDTF">2020-08-27T05:57:00Z</dcterms:modified>
</cp:coreProperties>
</file>