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0A2833" w:rsidRDefault="00EE1C10" w:rsidP="00E055AC">
      <w:pPr>
        <w:spacing w:beforeLines="50" w:before="156" w:afterLines="50" w:after="156" w:line="400" w:lineRule="exact"/>
        <w:rPr>
          <w:rFonts w:ascii="楷体_GB2312" w:eastAsia="楷体_GB2312" w:hAnsi="Arial"/>
          <w:bCs/>
          <w:iCs/>
          <w:color w:val="000000"/>
          <w:szCs w:val="21"/>
        </w:rPr>
      </w:pPr>
      <w:r w:rsidRPr="000A2833">
        <w:rPr>
          <w:rFonts w:ascii="楷体_GB2312" w:eastAsia="楷体_GB2312" w:hAnsi="Arial" w:hint="eastAsia"/>
          <w:bCs/>
          <w:iCs/>
          <w:color w:val="000000"/>
          <w:szCs w:val="21"/>
        </w:rPr>
        <w:t xml:space="preserve">证券代码：000001                                  </w:t>
      </w:r>
      <w:r w:rsidR="000A2833">
        <w:rPr>
          <w:rFonts w:ascii="楷体_GB2312" w:eastAsia="楷体_GB2312" w:hAnsi="Arial" w:hint="eastAsia"/>
          <w:bCs/>
          <w:iCs/>
          <w:color w:val="000000"/>
          <w:szCs w:val="21"/>
        </w:rPr>
        <w:t xml:space="preserve">           </w:t>
      </w:r>
      <w:r w:rsidRPr="000A2833">
        <w:rPr>
          <w:rFonts w:ascii="楷体_GB2312" w:eastAsia="楷体_GB2312" w:hAnsi="Arial" w:hint="eastAsia"/>
          <w:bCs/>
          <w:iCs/>
          <w:color w:val="000000"/>
          <w:szCs w:val="21"/>
        </w:rPr>
        <w:t>证券简称：</w:t>
      </w:r>
      <w:r w:rsidR="00D96584" w:rsidRPr="000A2833">
        <w:rPr>
          <w:rFonts w:ascii="楷体_GB2312" w:eastAsia="楷体_GB2312" w:hAnsi="Arial" w:hint="eastAsia"/>
          <w:bCs/>
          <w:iCs/>
          <w:color w:val="000000"/>
          <w:szCs w:val="21"/>
        </w:rPr>
        <w:t>平安银行</w:t>
      </w:r>
    </w:p>
    <w:p w:rsidR="00EE1C10" w:rsidRPr="000A2833" w:rsidRDefault="003317E5" w:rsidP="00E055AC">
      <w:pPr>
        <w:spacing w:beforeLines="50" w:before="156" w:afterLines="50" w:after="156" w:line="400" w:lineRule="exact"/>
        <w:jc w:val="center"/>
        <w:rPr>
          <w:rFonts w:ascii="楷体_GB2312" w:eastAsia="楷体_GB2312" w:hAnsi="Arial"/>
          <w:b/>
          <w:bCs/>
          <w:iCs/>
          <w:color w:val="000000"/>
          <w:szCs w:val="21"/>
        </w:rPr>
      </w:pPr>
      <w:r w:rsidRPr="000A2833">
        <w:rPr>
          <w:rFonts w:ascii="楷体_GB2312" w:eastAsia="楷体_GB2312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0A2833">
        <w:rPr>
          <w:rFonts w:ascii="楷体_GB2312" w:eastAsia="楷体_GB2312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0A2833" w:rsidRDefault="00EE1C10" w:rsidP="00EE1C10">
      <w:pPr>
        <w:spacing w:line="400" w:lineRule="exact"/>
        <w:rPr>
          <w:rFonts w:ascii="楷体_GB2312" w:eastAsia="楷体_GB2312" w:hAnsi="Arial"/>
          <w:bCs/>
          <w:iCs/>
          <w:color w:val="000000"/>
          <w:szCs w:val="21"/>
        </w:rPr>
      </w:pPr>
      <w:r w:rsidRPr="000A2833">
        <w:rPr>
          <w:rFonts w:ascii="楷体_GB2312" w:eastAsia="楷体_GB2312" w:hAnsi="Arial" w:hint="eastAsia"/>
          <w:bCs/>
          <w:iCs/>
          <w:color w:val="000000"/>
          <w:szCs w:val="21"/>
        </w:rPr>
        <w:t xml:space="preserve">                                                         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0A2833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spacing w:line="480" w:lineRule="atLeast"/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9636A5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0A2833">
              <w:rPr>
                <w:rFonts w:ascii="楷体_GB2312" w:eastAsia="楷体_GB2312" w:hAnsi="Arial" w:hint="eastAsia"/>
                <w:sz w:val="21"/>
                <w:szCs w:val="21"/>
              </w:rPr>
              <w:t xml:space="preserve">特定对象调研        </w:t>
            </w:r>
            <w:r w:rsidR="00EE1C10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0A2833">
              <w:rPr>
                <w:rFonts w:ascii="楷体_GB2312" w:eastAsia="楷体_GB2312" w:hAnsi="Arial" w:hint="eastAsia"/>
                <w:sz w:val="21"/>
                <w:szCs w:val="21"/>
              </w:rPr>
              <w:t>分析师会议</w:t>
            </w:r>
          </w:p>
          <w:p w:rsidR="00EE1C10" w:rsidRPr="000A2833" w:rsidRDefault="00EE1C10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 xml:space="preserve">媒体采访            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>业绩说明会</w:t>
            </w:r>
          </w:p>
          <w:p w:rsidR="00EE1C10" w:rsidRPr="000A2833" w:rsidRDefault="00EE1C10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 xml:space="preserve">新闻发布会          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>路演活动</w:t>
            </w:r>
          </w:p>
          <w:p w:rsidR="00EE1C10" w:rsidRPr="000A2833" w:rsidRDefault="00EE1C10" w:rsidP="005B3BAE">
            <w:pPr>
              <w:tabs>
                <w:tab w:val="left" w:pos="3045"/>
                <w:tab w:val="center" w:pos="3199"/>
              </w:tabs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>现场参观</w:t>
            </w:r>
          </w:p>
          <w:p w:rsidR="00EE1C10" w:rsidRPr="000A2833" w:rsidRDefault="00C87159" w:rsidP="005B3BAE">
            <w:pPr>
              <w:tabs>
                <w:tab w:val="center" w:pos="3199"/>
              </w:tabs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0A2833">
              <w:rPr>
                <w:rFonts w:ascii="楷体_GB2312" w:eastAsia="楷体_GB2312" w:hAnsi="Arial" w:hint="eastAsia"/>
                <w:sz w:val="21"/>
                <w:szCs w:val="21"/>
              </w:rPr>
              <w:t>其他</w:t>
            </w:r>
            <w:r w:rsidR="002515C0" w:rsidRPr="000A2833">
              <w:rPr>
                <w:rFonts w:ascii="楷体_GB2312" w:eastAsia="楷体_GB2312" w:hAnsi="Arial" w:hint="eastAsia"/>
                <w:sz w:val="21"/>
                <w:szCs w:val="21"/>
              </w:rPr>
              <w:t xml:space="preserve"> （投行会议）</w:t>
            </w:r>
          </w:p>
        </w:tc>
      </w:tr>
      <w:tr w:rsidR="00EE1C10" w:rsidRPr="000A2833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33866" w:rsidP="00853994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个人、机构投资者</w:t>
            </w:r>
          </w:p>
        </w:tc>
      </w:tr>
      <w:tr w:rsidR="00EE1C10" w:rsidRPr="000A2833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43629D" w:rsidP="00B22718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2F3F16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6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9636A5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7-19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0A2833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5B3BAE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0A2833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33866" w:rsidP="00B22718">
            <w:pPr>
              <w:jc w:val="left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张小璐</w:t>
            </w:r>
            <w:r w:rsidR="005A0468" w:rsidRPr="005A0468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行长特别助理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9636A5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蔡新发</w:t>
            </w:r>
            <w:r w:rsidR="005A0468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行长特别助理</w:t>
            </w:r>
            <w:r w:rsidR="009636A5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朱培卿</w:t>
            </w:r>
            <w:bookmarkStart w:id="0" w:name="_GoBack"/>
            <w:bookmarkEnd w:id="0"/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张慎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、黄玉强、董办</w:t>
            </w:r>
          </w:p>
        </w:tc>
      </w:tr>
      <w:tr w:rsidR="00EE1C10" w:rsidRPr="000A2833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0A2833" w:rsidRDefault="00EE1C10" w:rsidP="005B3BAE">
            <w:pPr>
              <w:spacing w:line="480" w:lineRule="atLeast"/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0A2833" w:rsidRDefault="00EE1C10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475F49" w:rsidRPr="000A2833" w:rsidRDefault="00475F49" w:rsidP="00B22718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  <w:p w:rsidR="00475F49" w:rsidRPr="000A2833" w:rsidRDefault="000A2833" w:rsidP="00510F96">
            <w:pPr>
              <w:pStyle w:val="3"/>
              <w:outlineLvl w:val="2"/>
              <w:rPr>
                <w:rFonts w:ascii="楷体_GB2312" w:eastAsia="楷体_GB2312"/>
              </w:rPr>
            </w:pPr>
            <w:r w:rsidRPr="00E5618B">
              <w:rPr>
                <w:rFonts w:ascii="楷体_GB2312" w:eastAsia="楷体_GB2312" w:hint="eastAsia"/>
              </w:rPr>
              <w:t>平安银行零售已转型三年，</w:t>
            </w:r>
            <w:r>
              <w:rPr>
                <w:rFonts w:ascii="楷体_GB2312" w:eastAsia="楷体_GB2312" w:hint="eastAsia"/>
              </w:rPr>
              <w:t>未来如何规划</w:t>
            </w:r>
            <w:r w:rsidRPr="00E5618B">
              <w:rPr>
                <w:rFonts w:ascii="楷体_GB2312" w:eastAsia="楷体_GB2312" w:hint="eastAsia"/>
              </w:rPr>
              <w:t>？</w:t>
            </w:r>
          </w:p>
          <w:p w:rsidR="00192FD8" w:rsidRPr="000E05E7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 w:rsidRPr="000E05E7">
              <w:rPr>
                <w:rFonts w:ascii="楷体_GB2312" w:eastAsia="楷体_GB2312" w:hAnsi="华文细黑" w:hint="eastAsia"/>
                <w:szCs w:val="21"/>
              </w:rPr>
              <w:t>2020年是本行新三年战略的起步之年，本行始终以打造“中国最卓越、全球领先的智能化零售银行”为战略目标，继续坚持“科技引领、零售突破、对公做精”十二字策略方针不动摇，并在此基础上，全面升级了新三年战略，推动发展迈向新台阶。</w:t>
            </w:r>
          </w:p>
          <w:p w:rsidR="00192FD8" w:rsidRPr="00E5618B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 w:rsidRPr="000E05E7">
              <w:rPr>
                <w:rFonts w:ascii="楷体_GB2312" w:eastAsia="楷体_GB2312" w:hAnsi="华文细黑" w:hint="eastAsia"/>
                <w:szCs w:val="21"/>
              </w:rPr>
              <w:t>始终坚持“三不变”，即坚持零售转型方向不变，坚持“综合金融、科技赋能”两大核心优势不变，坚持均衡、协同发展思路不变；着力打造“数字银行、生态银行、平台银行”三张名片：全面构建零售业务、对公业务、资金同业业务“3+2+1”经营策略。</w:t>
            </w:r>
          </w:p>
          <w:p w:rsidR="006D636B" w:rsidRPr="000A2833" w:rsidRDefault="006D636B" w:rsidP="00B22718">
            <w:pPr>
              <w:widowControl/>
              <w:snapToGrid w:val="0"/>
              <w:spacing w:afterLines="20" w:after="62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</w:p>
          <w:p w:rsidR="00510F96" w:rsidRPr="000A2833" w:rsidRDefault="00510F96" w:rsidP="00510F96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拨备覆盖率情况如何？</w:t>
            </w:r>
          </w:p>
          <w:p w:rsidR="00510F96" w:rsidRDefault="00192FD8" w:rsidP="00510F96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一季度末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，本行贷款减值准备余额为808.23亿元，较上年末增长15.4%；拨贷比为3.31%，较上年末增加0.30个百分点；拨备覆盖率为200.35%，较上年末增加17.23个百分点；逾期60天以上贷款拨备覆盖率为218.90%，较上年末增加28.56个百分点；逾期90天以上贷款拨备覆盖率为257.77%，较上年末增加34.88个百分点，风险抵补能力持续增强。</w:t>
            </w:r>
          </w:p>
          <w:p w:rsidR="000A2833" w:rsidRDefault="000A2833" w:rsidP="00510F96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</w:p>
          <w:p w:rsidR="00192FD8" w:rsidRPr="000A2833" w:rsidRDefault="00192FD8" w:rsidP="00192FD8">
            <w:pPr>
              <w:pStyle w:val="3"/>
              <w:outlineLvl w:val="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成本收入比有一定程度</w:t>
            </w:r>
            <w:r w:rsidRPr="000A2833">
              <w:rPr>
                <w:rFonts w:ascii="楷体_GB2312" w:eastAsia="楷体_GB2312" w:hint="eastAsia"/>
              </w:rPr>
              <w:t>下降，主要原因是什么？</w:t>
            </w:r>
          </w:p>
          <w:p w:rsidR="00192FD8" w:rsidRPr="000A2833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 w:rsidRPr="000A2833">
              <w:rPr>
                <w:rFonts w:ascii="楷体_GB2312" w:eastAsia="楷体_GB2312" w:hAnsi="华文细黑" w:hint="eastAsia"/>
                <w:szCs w:val="21"/>
              </w:rPr>
              <w:t>一季度，本行成本收入比27.94%，同比下降1.68个百分点。主要原因是，一方面科技成果落地带来的产能及效率提升；另一方面，疫情期间费用投放进度有所放缓。</w:t>
            </w:r>
          </w:p>
          <w:p w:rsidR="00192FD8" w:rsidRPr="000A2833" w:rsidRDefault="00192FD8" w:rsidP="00510F96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</w:p>
          <w:p w:rsidR="000A2833" w:rsidRPr="000A2833" w:rsidRDefault="000A2833" w:rsidP="000A2833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我行目前零售客户增长情况？</w:t>
            </w:r>
          </w:p>
          <w:p w:rsidR="000A2833" w:rsidRPr="000A2833" w:rsidRDefault="000A2833" w:rsidP="000A2833">
            <w:pPr>
              <w:widowControl/>
              <w:snapToGrid w:val="0"/>
              <w:spacing w:afterLines="20" w:after="62"/>
              <w:ind w:firstLine="42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一季度</w:t>
            </w:r>
            <w:r w:rsidRPr="000A2833">
              <w:rPr>
                <w:rFonts w:ascii="楷体_GB2312" w:eastAsia="楷体_GB2312" w:hAnsi="华文细黑" w:hint="eastAsia"/>
                <w:szCs w:val="21"/>
              </w:rPr>
              <w:t>末，本行零售客户数9,864.05万户，较上年末增长1.6%；财富客户数81.98万户，较上年末增长5.2%；私行达标客户34.71万户，较上年末增长7.7%，其中私行达标客户AUM规模8,058.50亿元，较上年末增长9.8%。</w:t>
            </w:r>
          </w:p>
          <w:p w:rsidR="00510F96" w:rsidRDefault="00510F96" w:rsidP="00B22718">
            <w:pPr>
              <w:widowControl/>
              <w:snapToGrid w:val="0"/>
              <w:spacing w:afterLines="20" w:after="62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</w:p>
          <w:p w:rsidR="00192FD8" w:rsidRPr="000A2833" w:rsidRDefault="00192FD8" w:rsidP="00B22718">
            <w:pPr>
              <w:widowControl/>
              <w:snapToGrid w:val="0"/>
              <w:spacing w:afterLines="20" w:after="62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</w:p>
          <w:p w:rsidR="006D636B" w:rsidRPr="000A2833" w:rsidRDefault="006D636B" w:rsidP="00510F96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lastRenderedPageBreak/>
              <w:t>私行</w:t>
            </w:r>
            <w:r w:rsidR="00173F57" w:rsidRPr="000A2833">
              <w:rPr>
                <w:rFonts w:ascii="楷体_GB2312" w:eastAsia="楷体_GB2312" w:hint="eastAsia"/>
              </w:rPr>
              <w:t>财富</w:t>
            </w:r>
            <w:r w:rsidRPr="000A2833">
              <w:rPr>
                <w:rFonts w:ascii="楷体_GB2312" w:eastAsia="楷体_GB2312" w:hint="eastAsia"/>
              </w:rPr>
              <w:t>业务目前表现？</w:t>
            </w:r>
          </w:p>
          <w:p w:rsidR="006D636B" w:rsidRPr="000A2833" w:rsidRDefault="000A2833" w:rsidP="006D636B">
            <w:pPr>
              <w:widowControl/>
              <w:snapToGrid w:val="0"/>
              <w:spacing w:afterLines="20" w:after="62"/>
              <w:ind w:firstLine="420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华文细黑" w:hint="eastAsia"/>
                <w:szCs w:val="21"/>
              </w:rPr>
              <w:t>一季度</w:t>
            </w:r>
            <w:r w:rsidR="006D636B" w:rsidRPr="000A2833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末，本行财富客户81.98万户；私行达标客户 4.7万户，其中私行达标客户AUM规模8,059亿元，较上年末增长9.8%。</w:t>
            </w:r>
          </w:p>
          <w:p w:rsidR="000A2833" w:rsidRPr="000A2833" w:rsidRDefault="000A2833" w:rsidP="00B22718">
            <w:pPr>
              <w:widowControl/>
              <w:snapToGrid w:val="0"/>
              <w:spacing w:afterLines="20" w:after="62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</w:p>
          <w:p w:rsidR="00B22718" w:rsidRPr="000A2833" w:rsidRDefault="00192FD8" w:rsidP="00510F96">
            <w:pPr>
              <w:pStyle w:val="3"/>
              <w:outlineLvl w:val="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私行</w:t>
            </w:r>
            <w:r w:rsidR="00B22718" w:rsidRPr="000A2833">
              <w:rPr>
                <w:rFonts w:ascii="楷体_GB2312" w:eastAsia="楷体_GB2312" w:hint="eastAsia"/>
              </w:rPr>
              <w:t>财富管理</w:t>
            </w:r>
            <w:r w:rsidR="000A2833">
              <w:rPr>
                <w:rFonts w:ascii="楷体_GB2312" w:eastAsia="楷体_GB2312" w:hint="eastAsia"/>
              </w:rPr>
              <w:t>介绍</w:t>
            </w:r>
            <w:r w:rsidR="00B22718" w:rsidRPr="000A2833">
              <w:rPr>
                <w:rFonts w:ascii="楷体_GB2312" w:eastAsia="楷体_GB2312" w:hint="eastAsia"/>
              </w:rPr>
              <w:t>及</w:t>
            </w:r>
            <w:r w:rsidR="000A2833">
              <w:rPr>
                <w:rFonts w:ascii="楷体_GB2312" w:eastAsia="楷体_GB2312" w:hint="eastAsia"/>
              </w:rPr>
              <w:t>未来</w:t>
            </w:r>
            <w:r w:rsidR="00B22718" w:rsidRPr="000A2833">
              <w:rPr>
                <w:rFonts w:ascii="楷体_GB2312" w:eastAsia="楷体_GB2312" w:hint="eastAsia"/>
              </w:rPr>
              <w:t>发展重点？</w:t>
            </w:r>
          </w:p>
          <w:p w:rsidR="00192FD8" w:rsidRDefault="00425676" w:rsidP="00B22718">
            <w:pPr>
              <w:widowControl/>
              <w:snapToGrid w:val="0"/>
              <w:spacing w:afterLines="20" w:after="62"/>
              <w:ind w:firstLine="420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一季度，本行私人银行及财富管理板块全面提升综合金融、专业化及科技平台三大能力，强化私行品牌建设。</w:t>
            </w:r>
            <w:r w:rsidR="00192FD8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聚焦2大能力提升：</w:t>
            </w:r>
          </w:p>
          <w:p w:rsidR="00192FD8" w:rsidRDefault="00425676" w:rsidP="00B22718">
            <w:pPr>
              <w:widowControl/>
              <w:snapToGrid w:val="0"/>
              <w:spacing w:afterLines="20" w:after="62"/>
              <w:ind w:firstLine="420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专业化能力</w:t>
            </w:r>
            <w:r w:rsidR="00192FD8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：</w:t>
            </w:r>
            <w:r w:rsidRPr="000A2833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持续推动投研、投顾和家族办公室专业团队建设，聚焦资产配置工具运营，实现服务提升。</w:t>
            </w:r>
          </w:p>
          <w:p w:rsidR="00B22718" w:rsidRPr="000A2833" w:rsidRDefault="00192FD8" w:rsidP="00B22718">
            <w:pPr>
              <w:widowControl/>
              <w:snapToGrid w:val="0"/>
              <w:spacing w:afterLines="20" w:after="62"/>
              <w:ind w:firstLine="420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科技平台能力：私募投资、保险金信托、家族信托等业务均已实现线上化办理，并</w:t>
            </w:r>
            <w:r w:rsidR="00425676" w:rsidRPr="000A2833">
              <w:rPr>
                <w:rFonts w:ascii="楷体_GB2312" w:eastAsia="楷体_GB2312" w:hAnsi="华文细黑" w:cs="Arial" w:hint="eastAsia"/>
                <w:color w:val="000000"/>
                <w:sz w:val="21"/>
                <w:szCs w:val="21"/>
              </w:rPr>
              <w:t>在业内率先推出AI私募直通平台。</w:t>
            </w:r>
          </w:p>
          <w:p w:rsidR="00192FD8" w:rsidRPr="00192FD8" w:rsidRDefault="00192FD8" w:rsidP="00510F96">
            <w:pPr>
              <w:widowControl/>
              <w:snapToGrid w:val="0"/>
              <w:spacing w:afterLines="20" w:after="62"/>
              <w:rPr>
                <w:rFonts w:ascii="楷体_GB2312" w:eastAsia="楷体_GB2312" w:hAnsi="华文细黑" w:cs="Arial"/>
                <w:color w:val="000000"/>
                <w:sz w:val="21"/>
                <w:szCs w:val="21"/>
              </w:rPr>
            </w:pPr>
          </w:p>
          <w:p w:rsidR="00510F96" w:rsidRPr="000A2833" w:rsidRDefault="000A2833" w:rsidP="00510F96">
            <w:pPr>
              <w:pStyle w:val="3"/>
              <w:outlineLvl w:val="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疫情影响</w:t>
            </w:r>
            <w:r w:rsidR="00510F96" w:rsidRPr="000A2833">
              <w:rPr>
                <w:rFonts w:ascii="楷体_GB2312" w:eastAsia="楷体_GB2312" w:hint="eastAsia"/>
              </w:rPr>
              <w:t>，风险政策是否有调整？</w:t>
            </w:r>
          </w:p>
          <w:p w:rsidR="00192FD8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本行积极应对外部风险，调整优化业务结构：对公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方面，</w:t>
            </w:r>
            <w:r>
              <w:rPr>
                <w:rFonts w:ascii="楷体_GB2312" w:eastAsia="楷体_GB2312" w:hAnsi="华文细黑" w:hint="eastAsia"/>
                <w:szCs w:val="21"/>
              </w:rPr>
              <w:t>持续优化对公业务结构，聚焦重点行业、区域和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客户，选择弱周期、成长</w:t>
            </w:r>
            <w:r>
              <w:rPr>
                <w:rFonts w:ascii="楷体_GB2312" w:eastAsia="楷体_GB2312" w:hAnsi="华文细黑" w:hint="eastAsia"/>
                <w:szCs w:val="21"/>
              </w:rPr>
              <w:t>性稳定、资产质量好的行业，持续退出高风险行业；零售方面，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利用行业领先的科技实力和风控模型，提升客户资质及风险识别度，实施差异化的风险管理策略，同时</w:t>
            </w:r>
            <w:r>
              <w:rPr>
                <w:rFonts w:ascii="楷体_GB2312" w:eastAsia="楷体_GB2312" w:hAnsi="华文细黑" w:hint="eastAsia"/>
                <w:szCs w:val="21"/>
              </w:rPr>
              <w:t>不断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优化客群结构。</w:t>
            </w:r>
          </w:p>
          <w:p w:rsidR="00510F96" w:rsidRPr="00192FD8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一季度</w:t>
            </w:r>
            <w:r w:rsidRPr="000E05E7">
              <w:rPr>
                <w:rFonts w:ascii="楷体_GB2312" w:eastAsia="楷体_GB2312" w:hAnsi="华文细黑" w:hint="eastAsia"/>
                <w:szCs w:val="21"/>
              </w:rPr>
              <w:t>，本行逾期60天以上贷款占比、逾期90天以上贷款占比、关注贷款占比均较上年末下降，不良贷款率与上年末持平。</w:t>
            </w:r>
          </w:p>
          <w:p w:rsidR="00243350" w:rsidRPr="000A2833" w:rsidRDefault="00243350" w:rsidP="006D636B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475F49" w:rsidRPr="000A2833" w:rsidRDefault="00475F49" w:rsidP="00510F96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疫情期间</w:t>
            </w:r>
            <w:r w:rsidR="00510F96" w:rsidRPr="000A2833">
              <w:rPr>
                <w:rFonts w:ascii="楷体_GB2312" w:eastAsia="楷体_GB2312" w:hint="eastAsia"/>
              </w:rPr>
              <w:t>，</w:t>
            </w:r>
            <w:r w:rsidRPr="000A2833">
              <w:rPr>
                <w:rFonts w:ascii="楷体_GB2312" w:eastAsia="楷体_GB2312" w:hint="eastAsia"/>
              </w:rPr>
              <w:t>新一贷表现如何？</w:t>
            </w:r>
          </w:p>
          <w:p w:rsidR="00475F49" w:rsidRPr="00192FD8" w:rsidRDefault="00192FD8" w:rsidP="00192FD8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Arial"/>
                <w:sz w:val="21"/>
                <w:szCs w:val="21"/>
              </w:rPr>
            </w:pPr>
            <w:r w:rsidRPr="00E737A0">
              <w:rPr>
                <w:rFonts w:ascii="楷体_GB2312" w:eastAsia="楷体_GB2312" w:hAnsi="Arial" w:hint="eastAsia"/>
                <w:sz w:val="21"/>
                <w:szCs w:val="21"/>
              </w:rPr>
              <w:t>一季度，本行“新一贷”累计发放226.60亿元；</w:t>
            </w:r>
            <w:r>
              <w:rPr>
                <w:rFonts w:ascii="楷体_GB2312" w:eastAsia="楷体_GB2312" w:hAnsi="Arial" w:hint="eastAsia"/>
                <w:sz w:val="21"/>
                <w:szCs w:val="21"/>
              </w:rPr>
              <w:t>一季度</w:t>
            </w:r>
            <w:r w:rsidRPr="00E737A0">
              <w:rPr>
                <w:rFonts w:ascii="楷体_GB2312" w:eastAsia="楷体_GB2312" w:hAnsi="Arial" w:hint="eastAsia"/>
                <w:sz w:val="21"/>
                <w:szCs w:val="21"/>
              </w:rPr>
              <w:t>，“新一贷”余额1,537.50亿元，较上年末下降2.3%。</w:t>
            </w:r>
            <w:r w:rsidRPr="000E05E7">
              <w:rPr>
                <w:rFonts w:ascii="楷体_GB2312" w:eastAsia="楷体_GB2312" w:hAnsi="华文细黑" w:hint="eastAsia"/>
                <w:sz w:val="21"/>
                <w:szCs w:val="21"/>
              </w:rPr>
              <w:t>疫情发生后，本行迅速制定了“新一贷”延期还款方案，</w:t>
            </w:r>
            <w:r>
              <w:rPr>
                <w:rFonts w:ascii="楷体_GB2312" w:eastAsia="楷体_GB2312" w:hAnsi="华文细黑" w:hint="eastAsia"/>
                <w:sz w:val="21"/>
                <w:szCs w:val="21"/>
              </w:rPr>
              <w:t>灵活调整此类客户的还款安排。随着催收</w:t>
            </w:r>
            <w:r w:rsidRPr="000E05E7">
              <w:rPr>
                <w:rFonts w:ascii="楷体_GB2312" w:eastAsia="楷体_GB2312" w:hAnsi="华文细黑" w:hint="eastAsia"/>
                <w:sz w:val="21"/>
                <w:szCs w:val="21"/>
              </w:rPr>
              <w:t>复工率持续提升，3月新增逾期已经呈现下降趋势，预计未来不良率将保持可控水平。</w:t>
            </w:r>
          </w:p>
          <w:p w:rsidR="00475F49" w:rsidRDefault="00475F49" w:rsidP="006D636B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192FD8" w:rsidRPr="00E5618B" w:rsidRDefault="00192FD8" w:rsidP="00192FD8">
            <w:pPr>
              <w:pStyle w:val="3"/>
              <w:outlineLvl w:val="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信用卡业务受疫情影响，目前恢复情况</w:t>
            </w:r>
            <w:r w:rsidRPr="00E5618B">
              <w:rPr>
                <w:rFonts w:ascii="楷体_GB2312" w:eastAsia="楷体_GB2312" w:hint="eastAsia"/>
              </w:rPr>
              <w:t>？</w:t>
            </w:r>
          </w:p>
          <w:p w:rsidR="00192FD8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bCs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一季度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，受疫情影响，本行信用卡流通卡量达6,048.10万张，较上年末增长0.3%；信用卡贷款余额5,158.63亿元，较上年末下降4.5%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。</w:t>
            </w:r>
          </w:p>
          <w:p w:rsidR="00192FD8" w:rsidRPr="00E5618B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bCs/>
                <w:szCs w:val="21"/>
              </w:rPr>
              <w:t>此外，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信用卡消费金额有所下滑，本行快速反应，积极布局线上化场景，为用户提供全周期、多方位的线上化、综合化服务，</w:t>
            </w:r>
            <w:r>
              <w:rPr>
                <w:rFonts w:ascii="楷体_GB2312" w:eastAsia="楷体_GB2312" w:hAnsi="华文细黑" w:hint="eastAsia"/>
                <w:szCs w:val="21"/>
              </w:rPr>
              <w:t>因此，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一季度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末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信用卡日消费金额已恢复至疫情前水平，商城交易量同比增长13.4%。</w:t>
            </w:r>
          </w:p>
          <w:p w:rsidR="00B22718" w:rsidRPr="000A2833" w:rsidRDefault="00B22718" w:rsidP="00B22718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  <w:p w:rsidR="0035103E" w:rsidRPr="000A2833" w:rsidRDefault="00E34767" w:rsidP="00510F96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综合金融</w:t>
            </w:r>
            <w:r w:rsidR="0035103E" w:rsidRPr="000A2833">
              <w:rPr>
                <w:rFonts w:ascii="楷体_GB2312" w:eastAsia="楷体_GB2312" w:hint="eastAsia"/>
              </w:rPr>
              <w:t>恢复情况？</w:t>
            </w:r>
          </w:p>
          <w:p w:rsidR="00192FD8" w:rsidRPr="001E570C" w:rsidRDefault="00192FD8" w:rsidP="00192FD8">
            <w:pPr>
              <w:snapToGrid w:val="0"/>
              <w:spacing w:afterLines="20" w:after="62"/>
              <w:ind w:firstLineChars="200" w:firstLine="400"/>
              <w:rPr>
                <w:rFonts w:ascii="楷体_GB2312" w:eastAsia="楷体_GB2312" w:hAnsi="华文细黑"/>
                <w:bCs/>
                <w:szCs w:val="21"/>
              </w:rPr>
            </w:pP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面对疫情影响，本行积极推动MGM线上化运营模式创新升级，SAT分享转发量较2019年四季度提升164.8%，同时，累计举办线上客户沙龙4.3万场，参加人次79万，总体业务产能快速恢复。</w:t>
            </w:r>
          </w:p>
          <w:p w:rsidR="00192FD8" w:rsidRDefault="00192FD8" w:rsidP="00192FD8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bCs/>
                <w:szCs w:val="21"/>
              </w:rPr>
            </w:pP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一季度，本行通过MGM模式获客（不含信用卡）净增38.47万户，占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比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为21.4%，其中财富客户净增1.79万户，占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比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为44.1%；管理零售客户资产（AUM）余额净增684.87亿元，占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比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为44.4%。MGM模式发放“新一贷”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占比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为63.8%；发放汽融贷款占</w:t>
            </w:r>
            <w:r>
              <w:rPr>
                <w:rFonts w:ascii="楷体_GB2312" w:eastAsia="楷体_GB2312" w:hAnsi="华文细黑" w:hint="eastAsia"/>
                <w:bCs/>
                <w:szCs w:val="21"/>
              </w:rPr>
              <w:t>比</w:t>
            </w:r>
            <w:r w:rsidRPr="001E570C">
              <w:rPr>
                <w:rFonts w:ascii="楷体_GB2312" w:eastAsia="楷体_GB2312" w:hAnsi="华文细黑" w:hint="eastAsia"/>
                <w:bCs/>
                <w:szCs w:val="21"/>
              </w:rPr>
              <w:t>为36.5%；信用卡通过MGM模式发卡42.65万张，占比为28.5%。</w:t>
            </w:r>
          </w:p>
          <w:p w:rsidR="00192FD8" w:rsidRDefault="00192FD8" w:rsidP="00192FD8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bCs/>
                <w:szCs w:val="21"/>
              </w:rPr>
            </w:pPr>
          </w:p>
          <w:p w:rsidR="00192FD8" w:rsidRPr="000A2833" w:rsidRDefault="00192FD8" w:rsidP="00192FD8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对公战略方面有什么新进展？</w:t>
            </w:r>
          </w:p>
          <w:p w:rsidR="00192FD8" w:rsidRPr="000A2833" w:rsidRDefault="00192FD8" w:rsidP="00192FD8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  <w:r w:rsidRPr="000A2833">
              <w:rPr>
                <w:rFonts w:ascii="楷体_GB2312" w:eastAsia="楷体_GB2312" w:hAnsi="华文细黑" w:hint="eastAsia"/>
                <w:sz w:val="21"/>
                <w:szCs w:val="21"/>
              </w:rPr>
              <w:tab/>
            </w:r>
            <w:r w:rsidRPr="00E737A0">
              <w:rPr>
                <w:rFonts w:ascii="楷体_GB2312" w:eastAsia="楷体_GB2312" w:hAnsi="Arial" w:hint="eastAsia"/>
                <w:sz w:val="21"/>
                <w:szCs w:val="21"/>
              </w:rPr>
              <w:t>本行对公业务坚持践行“3+2+1”经营策略。从客户需求出发，构建“AUM+LUM+</w:t>
            </w:r>
            <w:r>
              <w:rPr>
                <w:rFonts w:ascii="楷体_GB2312" w:eastAsia="楷体_GB2312" w:hAnsi="Arial" w:hint="eastAsia"/>
                <w:sz w:val="21"/>
                <w:szCs w:val="21"/>
              </w:rPr>
              <w:t>经营平台”的对公业务经营思路，聚焦重点行业、</w:t>
            </w:r>
            <w:r>
              <w:rPr>
                <w:rFonts w:ascii="楷体_GB2312" w:eastAsia="楷体_GB2312" w:hAnsi="Arial" w:hint="eastAsia"/>
                <w:sz w:val="21"/>
                <w:szCs w:val="21"/>
              </w:rPr>
              <w:lastRenderedPageBreak/>
              <w:t>区域、</w:t>
            </w:r>
            <w:r w:rsidRPr="00E737A0">
              <w:rPr>
                <w:rFonts w:ascii="楷体_GB2312" w:eastAsia="楷体_GB2312" w:hAnsi="Arial" w:hint="eastAsia"/>
                <w:sz w:val="21"/>
                <w:szCs w:val="21"/>
              </w:rPr>
              <w:t>客户，实现AUM与LUM高效联动，提升客户钱包份额，建立统一获客平台和经营门户，夯实客户基础，成为团体综合金融业务的发动机。</w:t>
            </w:r>
          </w:p>
          <w:p w:rsidR="00192FD8" w:rsidRPr="00192FD8" w:rsidRDefault="00192FD8" w:rsidP="00192FD8">
            <w:pPr>
              <w:widowControl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192FD8" w:rsidRPr="000A2833" w:rsidRDefault="00192FD8" w:rsidP="00192FD8">
            <w:pPr>
              <w:pStyle w:val="3"/>
              <w:outlineLvl w:val="2"/>
              <w:rPr>
                <w:rFonts w:ascii="楷体_GB2312" w:eastAsia="楷体_GB2312"/>
              </w:rPr>
            </w:pPr>
            <w:r w:rsidRPr="000A2833">
              <w:rPr>
                <w:rFonts w:ascii="楷体_GB2312" w:eastAsia="楷体_GB2312" w:hint="eastAsia"/>
              </w:rPr>
              <w:t>平安理财子公司的筹建进展如何？</w:t>
            </w:r>
          </w:p>
          <w:p w:rsidR="00192FD8" w:rsidRPr="000A2833" w:rsidRDefault="00192FD8" w:rsidP="00192FD8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Arial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sz w:val="21"/>
                <w:szCs w:val="21"/>
              </w:rPr>
              <w:t>本行已于2019年12月31日获得中国银保监会关于本行筹建平安理财有限责任公司（以下简称“平安理财”）的批复，目前平安理财筹建工作正在全面推进，待监管批准后正式开业。</w:t>
            </w:r>
          </w:p>
          <w:p w:rsidR="0035103E" w:rsidRDefault="0035103E" w:rsidP="00B22718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  <w:p w:rsidR="00192FD8" w:rsidRPr="0091735E" w:rsidRDefault="00192FD8" w:rsidP="00192FD8">
            <w:pPr>
              <w:pStyle w:val="3"/>
              <w:outlineLvl w:val="2"/>
              <w:rPr>
                <w:rFonts w:ascii="楷体_GB2312" w:eastAsia="楷体_GB2312"/>
              </w:rPr>
            </w:pPr>
            <w:r w:rsidRPr="0091735E">
              <w:rPr>
                <w:rFonts w:ascii="楷体_GB2312" w:eastAsia="楷体_GB2312" w:hint="eastAsia"/>
              </w:rPr>
              <w:t>目前理财业务情况如何？</w:t>
            </w:r>
          </w:p>
          <w:p w:rsidR="00192FD8" w:rsidRPr="0091735E" w:rsidRDefault="00192FD8" w:rsidP="00192FD8">
            <w:pPr>
              <w:widowControl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91735E">
              <w:rPr>
                <w:rFonts w:ascii="楷体_GB2312" w:eastAsia="楷体_GB2312" w:hAnsi="华文细黑" w:hint="eastAsia"/>
                <w:sz w:val="21"/>
                <w:szCs w:val="21"/>
              </w:rPr>
              <w:t>疫情期间，理财各项业务正常运营、有序开展，并取得了一系列工作成果：</w:t>
            </w:r>
            <w:r w:rsidRPr="009561FA">
              <w:rPr>
                <w:rFonts w:ascii="楷体_GB2312" w:eastAsia="楷体_GB2312" w:hAnsi="华文细黑" w:hint="eastAsia"/>
                <w:sz w:val="21"/>
                <w:szCs w:val="21"/>
              </w:rPr>
              <w:t>一季度末，本行保本理财产品余额613.33亿元，较上年末减少8.8%；结构性存款余额6,155.61亿元，较上年末增长21.2%；非保本理财产品余额6,173.56亿元，较上年末增长4.5%，其中，本行符合资管新规净值管理要求的净值型产品规模3,250.77亿元，较上年末增长26.4%，占非保本理财产品余额的比例由43.6%提升至52.7%。</w:t>
            </w:r>
          </w:p>
          <w:p w:rsidR="00510F96" w:rsidRDefault="00510F96" w:rsidP="00B22718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  <w:p w:rsidR="00192FD8" w:rsidRPr="001E570C" w:rsidRDefault="00192FD8" w:rsidP="00192FD8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2"/>
              <w:rPr>
                <w:rFonts w:ascii="楷体_GB2312" w:eastAsia="楷体_GB2312"/>
                <w:sz w:val="21"/>
              </w:rPr>
            </w:pPr>
            <w:r w:rsidRPr="001E570C">
              <w:rPr>
                <w:rFonts w:ascii="楷体_GB2312" w:eastAsia="楷体_GB2312" w:hint="eastAsia"/>
                <w:sz w:val="21"/>
              </w:rPr>
              <w:t>目前网点布局</w:t>
            </w:r>
            <w:r>
              <w:rPr>
                <w:rFonts w:ascii="楷体_GB2312" w:eastAsia="楷体_GB2312" w:hint="eastAsia"/>
                <w:sz w:val="21"/>
              </w:rPr>
              <w:t>情况</w:t>
            </w:r>
            <w:r w:rsidRPr="001E570C">
              <w:rPr>
                <w:rFonts w:ascii="楷体_GB2312" w:eastAsia="楷体_GB2312" w:hint="eastAsia"/>
                <w:sz w:val="21"/>
              </w:rPr>
              <w:t>？</w:t>
            </w:r>
          </w:p>
          <w:p w:rsidR="00192FD8" w:rsidRPr="00192FD8" w:rsidRDefault="00192FD8" w:rsidP="00192F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1E570C">
              <w:rPr>
                <w:rFonts w:ascii="楷体_GB2312" w:eastAsia="楷体_GB2312" w:hAnsi="华文细黑" w:hint="eastAsia"/>
                <w:sz w:val="21"/>
                <w:szCs w:val="21"/>
              </w:rPr>
              <w:t>本行持续实施网点智能化建设，合理配置网点布局，</w:t>
            </w:r>
            <w:r>
              <w:rPr>
                <w:rFonts w:ascii="楷体_GB2312" w:eastAsia="楷体_GB2312" w:hAnsi="华文细黑" w:hint="eastAsia"/>
                <w:szCs w:val="21"/>
              </w:rPr>
              <w:t>一季度</w:t>
            </w:r>
            <w:r w:rsidRPr="001E570C">
              <w:rPr>
                <w:rFonts w:ascii="楷体_GB2312" w:eastAsia="楷体_GB2312" w:hAnsi="华文细黑" w:hint="eastAsia"/>
                <w:sz w:val="21"/>
                <w:szCs w:val="21"/>
              </w:rPr>
              <w:t>末，本行有92家分行（含香港分行）、共1,066家营业机构。</w:t>
            </w:r>
            <w:r>
              <w:rPr>
                <w:rFonts w:ascii="楷体_GB2312" w:eastAsia="楷体_GB2312" w:hAnsi="华文细黑" w:hint="eastAsia"/>
                <w:sz w:val="21"/>
                <w:szCs w:val="21"/>
              </w:rPr>
              <w:t>其中</w:t>
            </w:r>
            <w:r w:rsidRPr="001E570C">
              <w:rPr>
                <w:rFonts w:ascii="楷体_GB2312" w:eastAsia="楷体_GB2312" w:hAnsi="华文细黑" w:hint="eastAsia"/>
                <w:sz w:val="21"/>
                <w:szCs w:val="21"/>
              </w:rPr>
              <w:t>，全国已开业323家新门店。</w:t>
            </w:r>
          </w:p>
          <w:p w:rsidR="00B22718" w:rsidRPr="000A2833" w:rsidRDefault="00B22718" w:rsidP="005B3BAE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0A2833" w:rsidRDefault="009700B5" w:rsidP="009700B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Arial"/>
                <w:sz w:val="21"/>
                <w:szCs w:val="21"/>
                <w:lang w:val="zh-TW"/>
              </w:rPr>
            </w:pPr>
            <w:r w:rsidRPr="000A2833">
              <w:rPr>
                <w:rStyle w:val="a8"/>
                <w:rFonts w:ascii="楷体_GB2312" w:eastAsia="楷体_GB2312" w:hAnsi="Arial" w:hint="eastAsia"/>
                <w:sz w:val="21"/>
                <w:szCs w:val="21"/>
              </w:rPr>
              <w:t>会议</w:t>
            </w:r>
            <w:r w:rsidR="00A140B8" w:rsidRPr="000A2833">
              <w:rPr>
                <w:rStyle w:val="a8"/>
                <w:rFonts w:ascii="楷体_GB2312" w:eastAsia="楷体_GB2312" w:hAnsi="Arial" w:hint="eastAsia"/>
                <w:sz w:val="21"/>
                <w:szCs w:val="21"/>
              </w:rPr>
              <w:t>过程中，公司</w:t>
            </w:r>
            <w:r w:rsidRPr="000A2833">
              <w:rPr>
                <w:rStyle w:val="a8"/>
                <w:rFonts w:ascii="楷体_GB2312" w:eastAsia="楷体_GB2312" w:hAnsi="Arial" w:hint="eastAsia"/>
                <w:sz w:val="21"/>
                <w:szCs w:val="21"/>
              </w:rPr>
              <w:t>管理层</w:t>
            </w:r>
            <w:r w:rsidR="00A140B8" w:rsidRPr="000A2833">
              <w:rPr>
                <w:rStyle w:val="a8"/>
                <w:rFonts w:ascii="楷体_GB2312" w:eastAsia="楷体_GB2312" w:hAnsi="Arial" w:hint="eastAsia"/>
                <w:sz w:val="21"/>
                <w:szCs w:val="21"/>
              </w:rPr>
              <w:t>与投资者进行了充分的交流与沟通，严格按照有关制度规定，没有出现未公开重大信息泄露等情况。</w:t>
            </w:r>
          </w:p>
        </w:tc>
      </w:tr>
      <w:tr w:rsidR="00EE1C10" w:rsidRPr="000A2833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C21A8C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6350C6" w:rsidP="00B22718">
            <w:pPr>
              <w:jc w:val="left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20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20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年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一季度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业绩PPT</w:t>
            </w:r>
            <w:r w:rsidR="006B0B04" w:rsidRPr="000A2833">
              <w:rPr>
                <w:rFonts w:ascii="楷体_GB2312" w:eastAsia="楷体_GB2312" w:hAnsi="Arial" w:hint="eastAsia"/>
                <w:bCs/>
                <w:iCs/>
                <w:color w:val="000000"/>
                <w:szCs w:val="21"/>
              </w:rPr>
              <w:t>（请参见bank.pingan.com投资者关系-公司推介栏目）</w:t>
            </w:r>
          </w:p>
        </w:tc>
      </w:tr>
      <w:tr w:rsidR="00EE1C10" w:rsidRPr="000A2833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EE1C10" w:rsidP="00C21A8C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A2833" w:rsidRDefault="006350C6" w:rsidP="00B22718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91661B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91661B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0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6</w:t>
            </w:r>
            <w:r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0244EC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="00B22718" w:rsidRPr="000A2833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7-19</w:t>
            </w:r>
          </w:p>
        </w:tc>
      </w:tr>
    </w:tbl>
    <w:p w:rsidR="00941F1C" w:rsidRPr="000A2833" w:rsidRDefault="00941F1C" w:rsidP="00862CF2">
      <w:pPr>
        <w:rPr>
          <w:rFonts w:ascii="楷体_GB2312" w:eastAsia="楷体_GB2312" w:hAnsi="Arial"/>
          <w:szCs w:val="21"/>
        </w:rPr>
      </w:pPr>
    </w:p>
    <w:sectPr w:rsidR="00941F1C" w:rsidRPr="000A2833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F7" w:rsidRDefault="005617F7" w:rsidP="00D96584">
      <w:r>
        <w:separator/>
      </w:r>
    </w:p>
  </w:endnote>
  <w:endnote w:type="continuationSeparator" w:id="0">
    <w:p w:rsidR="005617F7" w:rsidRDefault="005617F7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F7" w:rsidRDefault="005617F7" w:rsidP="00D96584">
      <w:r>
        <w:separator/>
      </w:r>
    </w:p>
  </w:footnote>
  <w:footnote w:type="continuationSeparator" w:id="0">
    <w:p w:rsidR="005617F7" w:rsidRDefault="005617F7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07D"/>
    <w:multiLevelType w:val="hybridMultilevel"/>
    <w:tmpl w:val="1960BFDA"/>
    <w:lvl w:ilvl="0" w:tplc="A74ECF70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35D16322"/>
    <w:multiLevelType w:val="hybridMultilevel"/>
    <w:tmpl w:val="FBCEA6A2"/>
    <w:lvl w:ilvl="0" w:tplc="419EDC28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FB85C1C"/>
    <w:multiLevelType w:val="hybridMultilevel"/>
    <w:tmpl w:val="D6729330"/>
    <w:lvl w:ilvl="0" w:tplc="A266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244EC"/>
    <w:rsid w:val="00043512"/>
    <w:rsid w:val="0005090F"/>
    <w:rsid w:val="00083D6A"/>
    <w:rsid w:val="000A2833"/>
    <w:rsid w:val="000A2DF8"/>
    <w:rsid w:val="000B3693"/>
    <w:rsid w:val="000B41B6"/>
    <w:rsid w:val="000D7E54"/>
    <w:rsid w:val="00101C48"/>
    <w:rsid w:val="00105404"/>
    <w:rsid w:val="00130F3C"/>
    <w:rsid w:val="001434EB"/>
    <w:rsid w:val="001516B8"/>
    <w:rsid w:val="0015535F"/>
    <w:rsid w:val="00161A96"/>
    <w:rsid w:val="00173F57"/>
    <w:rsid w:val="00192FD8"/>
    <w:rsid w:val="00197FFA"/>
    <w:rsid w:val="001B33AC"/>
    <w:rsid w:val="001B72DE"/>
    <w:rsid w:val="001C10A8"/>
    <w:rsid w:val="001C4C8A"/>
    <w:rsid w:val="001D2529"/>
    <w:rsid w:val="001D5474"/>
    <w:rsid w:val="001E2C63"/>
    <w:rsid w:val="00210939"/>
    <w:rsid w:val="00217D1A"/>
    <w:rsid w:val="00227050"/>
    <w:rsid w:val="00243350"/>
    <w:rsid w:val="002515C0"/>
    <w:rsid w:val="002721F3"/>
    <w:rsid w:val="002969E7"/>
    <w:rsid w:val="002B200E"/>
    <w:rsid w:val="002B4EAA"/>
    <w:rsid w:val="002B5D00"/>
    <w:rsid w:val="002F3F16"/>
    <w:rsid w:val="003317E5"/>
    <w:rsid w:val="00340784"/>
    <w:rsid w:val="0035103E"/>
    <w:rsid w:val="00354883"/>
    <w:rsid w:val="00375010"/>
    <w:rsid w:val="003777D5"/>
    <w:rsid w:val="003B107D"/>
    <w:rsid w:val="003B721F"/>
    <w:rsid w:val="003C375D"/>
    <w:rsid w:val="003C42A4"/>
    <w:rsid w:val="003E3F79"/>
    <w:rsid w:val="003F144D"/>
    <w:rsid w:val="003F79D6"/>
    <w:rsid w:val="00413B4B"/>
    <w:rsid w:val="00425676"/>
    <w:rsid w:val="0043629D"/>
    <w:rsid w:val="00442349"/>
    <w:rsid w:val="0045059E"/>
    <w:rsid w:val="00461C9C"/>
    <w:rsid w:val="00471475"/>
    <w:rsid w:val="00475F49"/>
    <w:rsid w:val="0049405C"/>
    <w:rsid w:val="00497C7E"/>
    <w:rsid w:val="004B47B1"/>
    <w:rsid w:val="004B650E"/>
    <w:rsid w:val="004F6F03"/>
    <w:rsid w:val="00510F96"/>
    <w:rsid w:val="00511122"/>
    <w:rsid w:val="0051123B"/>
    <w:rsid w:val="00516DDC"/>
    <w:rsid w:val="0051765B"/>
    <w:rsid w:val="00535D6F"/>
    <w:rsid w:val="005464C3"/>
    <w:rsid w:val="00550FD9"/>
    <w:rsid w:val="005617F7"/>
    <w:rsid w:val="005A0468"/>
    <w:rsid w:val="005B3BAE"/>
    <w:rsid w:val="005E254B"/>
    <w:rsid w:val="005E33CA"/>
    <w:rsid w:val="006070AF"/>
    <w:rsid w:val="00622C3A"/>
    <w:rsid w:val="00623A26"/>
    <w:rsid w:val="0063326E"/>
    <w:rsid w:val="006350C6"/>
    <w:rsid w:val="00682A02"/>
    <w:rsid w:val="00684A13"/>
    <w:rsid w:val="006A1753"/>
    <w:rsid w:val="006A7B25"/>
    <w:rsid w:val="006B0B04"/>
    <w:rsid w:val="006C5210"/>
    <w:rsid w:val="006C696C"/>
    <w:rsid w:val="006D636B"/>
    <w:rsid w:val="006E1309"/>
    <w:rsid w:val="006E4D55"/>
    <w:rsid w:val="006F64B3"/>
    <w:rsid w:val="00731E3E"/>
    <w:rsid w:val="00740C1A"/>
    <w:rsid w:val="00761259"/>
    <w:rsid w:val="00777BC7"/>
    <w:rsid w:val="00793203"/>
    <w:rsid w:val="007C213F"/>
    <w:rsid w:val="00803207"/>
    <w:rsid w:val="0082259D"/>
    <w:rsid w:val="008439B9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F16A2"/>
    <w:rsid w:val="0091661B"/>
    <w:rsid w:val="00921892"/>
    <w:rsid w:val="00930952"/>
    <w:rsid w:val="00941F1C"/>
    <w:rsid w:val="00951547"/>
    <w:rsid w:val="009636A5"/>
    <w:rsid w:val="009669D0"/>
    <w:rsid w:val="009700B5"/>
    <w:rsid w:val="009C4894"/>
    <w:rsid w:val="009C5679"/>
    <w:rsid w:val="009E293D"/>
    <w:rsid w:val="009F13CD"/>
    <w:rsid w:val="009F7C07"/>
    <w:rsid w:val="00A06B39"/>
    <w:rsid w:val="00A115A1"/>
    <w:rsid w:val="00A140B8"/>
    <w:rsid w:val="00A1521F"/>
    <w:rsid w:val="00A87A56"/>
    <w:rsid w:val="00AA5A95"/>
    <w:rsid w:val="00AB47CE"/>
    <w:rsid w:val="00AB67BB"/>
    <w:rsid w:val="00B14E42"/>
    <w:rsid w:val="00B17ECB"/>
    <w:rsid w:val="00B22718"/>
    <w:rsid w:val="00B31C4E"/>
    <w:rsid w:val="00B454CA"/>
    <w:rsid w:val="00B65391"/>
    <w:rsid w:val="00B708D6"/>
    <w:rsid w:val="00B71E2E"/>
    <w:rsid w:val="00B84A84"/>
    <w:rsid w:val="00BB741D"/>
    <w:rsid w:val="00BD501F"/>
    <w:rsid w:val="00BE11BC"/>
    <w:rsid w:val="00BE3743"/>
    <w:rsid w:val="00C12E89"/>
    <w:rsid w:val="00C21A8C"/>
    <w:rsid w:val="00C30CA5"/>
    <w:rsid w:val="00C35BCB"/>
    <w:rsid w:val="00C51515"/>
    <w:rsid w:val="00C51768"/>
    <w:rsid w:val="00C81677"/>
    <w:rsid w:val="00C87159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57CD7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30E35"/>
    <w:rsid w:val="00E32350"/>
    <w:rsid w:val="00E33866"/>
    <w:rsid w:val="00E34767"/>
    <w:rsid w:val="00E37317"/>
    <w:rsid w:val="00E50C4A"/>
    <w:rsid w:val="00E733AB"/>
    <w:rsid w:val="00EB364F"/>
    <w:rsid w:val="00ED5C0B"/>
    <w:rsid w:val="00EE1C10"/>
    <w:rsid w:val="00EE4F68"/>
    <w:rsid w:val="00EE7C01"/>
    <w:rsid w:val="00F16F75"/>
    <w:rsid w:val="00F43453"/>
    <w:rsid w:val="00F50B59"/>
    <w:rsid w:val="00F628CA"/>
    <w:rsid w:val="00F66AD9"/>
    <w:rsid w:val="00FA1FC9"/>
    <w:rsid w:val="00FA7D26"/>
    <w:rsid w:val="00FC32FA"/>
    <w:rsid w:val="00FD0E95"/>
    <w:rsid w:val="00FD1A20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510F96"/>
    <w:pPr>
      <w:widowControl/>
      <w:numPr>
        <w:numId w:val="7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afterLines="20" w:after="62"/>
      <w:textAlignment w:val="baseline"/>
      <w:outlineLvl w:val="2"/>
    </w:pPr>
    <w:rPr>
      <w:rFonts w:ascii="华文细黑" w:eastAsia="华文细黑" w:hAnsi="华文细黑"/>
      <w:b/>
      <w:bCs/>
      <w:kern w:val="0"/>
      <w:sz w:val="2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510F96"/>
    <w:rPr>
      <w:rFonts w:ascii="华文细黑" w:eastAsia="华文细黑" w:hAnsi="华文细黑" w:cs="Times New Roman"/>
      <w:b/>
      <w:bCs/>
      <w:kern w:val="0"/>
      <w:sz w:val="2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eastAsia="华文细黑" w:hAnsiTheme="minorEastAsia" w:cs="Times New Roman"/>
      <w:b/>
      <w:bCs/>
      <w:kern w:val="0"/>
      <w:sz w:val="2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510F96"/>
    <w:pPr>
      <w:widowControl/>
      <w:numPr>
        <w:numId w:val="7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afterLines="20" w:after="62"/>
      <w:textAlignment w:val="baseline"/>
      <w:outlineLvl w:val="2"/>
    </w:pPr>
    <w:rPr>
      <w:rFonts w:ascii="华文细黑" w:eastAsia="华文细黑" w:hAnsi="华文细黑"/>
      <w:b/>
      <w:bCs/>
      <w:kern w:val="0"/>
      <w:sz w:val="2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510F96"/>
    <w:rPr>
      <w:rFonts w:ascii="华文细黑" w:eastAsia="华文细黑" w:hAnsi="华文细黑" w:cs="Times New Roman"/>
      <w:b/>
      <w:bCs/>
      <w:kern w:val="0"/>
      <w:sz w:val="2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eastAsia="华文细黑" w:hAnsiTheme="minorEastAsia" w:cs="Times New Roman"/>
      <w:b/>
      <w:bCs/>
      <w:kern w:val="0"/>
      <w:sz w:val="2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2395</Characters>
  <Application>Microsoft Office Word</Application>
  <DocSecurity>0</DocSecurity>
  <Lines>19</Lines>
  <Paragraphs>5</Paragraphs>
  <ScaleCrop>false</ScaleCrop>
  <Company>sdb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test</cp:lastModifiedBy>
  <cp:revision>2</cp:revision>
  <dcterms:created xsi:type="dcterms:W3CDTF">2020-08-27T05:58:00Z</dcterms:created>
  <dcterms:modified xsi:type="dcterms:W3CDTF">2020-08-27T05:58:00Z</dcterms:modified>
</cp:coreProperties>
</file>