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72F4" w14:textId="77777777" w:rsidR="005F4152" w:rsidRDefault="004077AE">
      <w:pPr>
        <w:spacing w:beforeLines="50" w:before="156" w:afterLines="50" w:after="156" w:line="400" w:lineRule="exact"/>
        <w:jc w:val="distribute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证券代码：</w:t>
      </w:r>
      <w:r w:rsidR="001B33D4">
        <w:rPr>
          <w:bCs/>
          <w:iCs/>
          <w:color w:val="000000"/>
          <w:sz w:val="24"/>
        </w:rPr>
        <w:t>300767</w:t>
      </w:r>
      <w:r>
        <w:rPr>
          <w:bCs/>
          <w:iCs/>
          <w:color w:val="000000"/>
          <w:sz w:val="24"/>
        </w:rPr>
        <w:t xml:space="preserve">                               </w:t>
      </w:r>
      <w:r>
        <w:rPr>
          <w:bCs/>
          <w:iCs/>
          <w:color w:val="000000"/>
          <w:sz w:val="24"/>
        </w:rPr>
        <w:t>证券简称：</w:t>
      </w:r>
      <w:proofErr w:type="gramStart"/>
      <w:r w:rsidR="001B33D4">
        <w:rPr>
          <w:rFonts w:hint="eastAsia"/>
          <w:bCs/>
          <w:iCs/>
          <w:color w:val="000000"/>
          <w:sz w:val="24"/>
        </w:rPr>
        <w:t>震安科技</w:t>
      </w:r>
      <w:proofErr w:type="gramEnd"/>
    </w:p>
    <w:p w14:paraId="28C2C63F" w14:textId="77777777" w:rsidR="005F4152" w:rsidRPr="00CD2CAD" w:rsidRDefault="001B33D4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0"/>
          <w:szCs w:val="30"/>
        </w:rPr>
      </w:pPr>
      <w:proofErr w:type="gramStart"/>
      <w:r w:rsidRPr="00CD2CAD">
        <w:rPr>
          <w:rFonts w:hint="eastAsia"/>
          <w:b/>
          <w:bCs/>
          <w:iCs/>
          <w:color w:val="000000"/>
          <w:sz w:val="30"/>
          <w:szCs w:val="30"/>
        </w:rPr>
        <w:t>震安科技</w:t>
      </w:r>
      <w:proofErr w:type="gramEnd"/>
      <w:r w:rsidR="004077AE" w:rsidRPr="00CD2CAD">
        <w:rPr>
          <w:b/>
          <w:bCs/>
          <w:iCs/>
          <w:color w:val="000000"/>
          <w:sz w:val="30"/>
          <w:szCs w:val="30"/>
        </w:rPr>
        <w:t>股份有限公司投资者关系活动记录表</w:t>
      </w:r>
    </w:p>
    <w:p w14:paraId="533C1CED" w14:textId="4520998A" w:rsidR="005F4152" w:rsidRDefault="004077AE" w:rsidP="001705F1">
      <w:pPr>
        <w:spacing w:line="400" w:lineRule="exact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</w:t>
      </w:r>
      <w:r w:rsidR="00E16188">
        <w:rPr>
          <w:bCs/>
          <w:iCs/>
          <w:color w:val="000000"/>
          <w:sz w:val="24"/>
        </w:rPr>
        <w:t>20</w:t>
      </w:r>
      <w:r>
        <w:rPr>
          <w:bCs/>
          <w:iCs/>
          <w:color w:val="000000"/>
          <w:sz w:val="24"/>
        </w:rPr>
        <w:t>-00</w:t>
      </w:r>
      <w:r w:rsidR="00472113">
        <w:rPr>
          <w:bCs/>
          <w:iCs/>
          <w:color w:val="000000"/>
          <w:sz w:val="24"/>
        </w:rPr>
        <w:t>5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42"/>
      </w:tblGrid>
      <w:tr w:rsidR="005F4152" w14:paraId="22AAA032" w14:textId="77777777" w:rsidTr="001705F1">
        <w:trPr>
          <w:jc w:val="center"/>
        </w:trPr>
        <w:tc>
          <w:tcPr>
            <w:tcW w:w="1980" w:type="dxa"/>
            <w:vAlign w:val="center"/>
          </w:tcPr>
          <w:p w14:paraId="442E9939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542" w:type="dxa"/>
            <w:vAlign w:val="center"/>
          </w:tcPr>
          <w:p w14:paraId="4AB8F37A" w14:textId="77777777" w:rsidR="005F4152" w:rsidRDefault="004077AE" w:rsidP="001705F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■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特定对象调研       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>分析师会议</w:t>
            </w:r>
          </w:p>
          <w:p w14:paraId="34616C02" w14:textId="77777777" w:rsidR="005F4152" w:rsidRDefault="004077AE" w:rsidP="001705F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媒体采访           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>业绩说明会</w:t>
            </w:r>
          </w:p>
          <w:p w14:paraId="187956A8" w14:textId="77777777" w:rsidR="005F4152" w:rsidRDefault="004077AE" w:rsidP="001705F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新闻发布会         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>路演活动</w:t>
            </w:r>
          </w:p>
          <w:p w14:paraId="01FE1AEA" w14:textId="15C8F659" w:rsidR="005F4152" w:rsidRDefault="003857F8" w:rsidP="001705F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■</w:t>
            </w:r>
            <w:r w:rsidR="004077AE">
              <w:rPr>
                <w:rFonts w:asciiTheme="minorEastAsia" w:eastAsiaTheme="minorEastAsia" w:hAnsiTheme="minorEastAsia"/>
                <w:sz w:val="24"/>
              </w:rPr>
              <w:t>现场参观</w:t>
            </w:r>
          </w:p>
          <w:p w14:paraId="0C5B391C" w14:textId="77777777" w:rsidR="005F4152" w:rsidRDefault="004077AE" w:rsidP="001705F1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>其他（</w:t>
            </w:r>
            <w:proofErr w:type="gramStart"/>
            <w:r w:rsidRPr="001B1613">
              <w:rPr>
                <w:rFonts w:asciiTheme="minorEastAsia" w:eastAsiaTheme="minorEastAsia" w:hAnsiTheme="minorEastAsia"/>
                <w:sz w:val="24"/>
              </w:rPr>
              <w:t>请文字</w:t>
            </w:r>
            <w:proofErr w:type="gramEnd"/>
            <w:r w:rsidRPr="001B1613">
              <w:rPr>
                <w:rFonts w:asciiTheme="minorEastAsia" w:eastAsiaTheme="minorEastAsia" w:hAnsiTheme="minorEastAsia"/>
                <w:sz w:val="24"/>
              </w:rPr>
              <w:t>说明其他活动内容）</w:t>
            </w:r>
          </w:p>
        </w:tc>
      </w:tr>
      <w:tr w:rsidR="005F4152" w:rsidRPr="00875511" w14:paraId="2FDDAB08" w14:textId="77777777" w:rsidTr="001705F1">
        <w:trPr>
          <w:jc w:val="center"/>
        </w:trPr>
        <w:tc>
          <w:tcPr>
            <w:tcW w:w="1980" w:type="dxa"/>
            <w:vAlign w:val="center"/>
          </w:tcPr>
          <w:p w14:paraId="06D07167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42" w:type="dxa"/>
            <w:vAlign w:val="center"/>
          </w:tcPr>
          <w:p w14:paraId="0A507F8F" w14:textId="77777777" w:rsidR="00875511" w:rsidRDefault="00EF508D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国金</w:t>
            </w:r>
            <w:r w:rsidR="00B8799D">
              <w:rPr>
                <w:rFonts w:hint="eastAsia"/>
                <w:bCs/>
                <w:iCs/>
                <w:color w:val="000000"/>
                <w:sz w:val="24"/>
              </w:rPr>
              <w:t>证券</w:t>
            </w:r>
            <w:r w:rsidR="00875511" w:rsidRPr="00EB3B19">
              <w:rPr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丁士涛</w:t>
            </w:r>
          </w:p>
          <w:p w14:paraId="14E5AEAF" w14:textId="77777777" w:rsidR="00EF508D" w:rsidRDefault="00EF508D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海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峰投资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王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泷皓</w:t>
            </w:r>
            <w:proofErr w:type="gramEnd"/>
          </w:p>
          <w:p w14:paraId="3FD1B09F" w14:textId="77777777" w:rsidR="00EF508D" w:rsidRDefault="00EF508D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中融信托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朱闽川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王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虔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>雅</w:t>
            </w:r>
          </w:p>
          <w:p w14:paraId="51627024" w14:textId="41A13671" w:rsidR="00EF508D" w:rsidRDefault="00EF508D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华泰证券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尹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>天水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刘娇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鲍荣富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>方晏荷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</w:p>
          <w:p w14:paraId="6D81239E" w14:textId="7134A42A" w:rsidR="00EF508D" w:rsidRDefault="00EF508D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华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宝基金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BB6A75"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陈怀逸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</w:p>
          <w:p w14:paraId="7DA7359B" w14:textId="0B8ACFE1" w:rsidR="00EF508D" w:rsidRDefault="00EF508D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鹏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举投资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BB6A75">
              <w:rPr>
                <w:bCs/>
                <w:iCs/>
                <w:color w:val="000000"/>
                <w:sz w:val="24"/>
              </w:rPr>
              <w:t xml:space="preserve"> 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>唐霄鹏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48367E">
              <w:rPr>
                <w:bCs/>
                <w:iCs/>
                <w:color w:val="000000"/>
                <w:sz w:val="24"/>
              </w:rPr>
              <w:t xml:space="preserve"> </w:t>
            </w:r>
          </w:p>
          <w:p w14:paraId="2E9D094A" w14:textId="3FD85F79" w:rsidR="0048367E" w:rsidRDefault="0048367E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华安基金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杨明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刘畅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畅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</w:p>
          <w:p w14:paraId="6AD36C10" w14:textId="27D37594" w:rsidR="0048367E" w:rsidRDefault="0048367E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广发基金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陈书炎</w:t>
            </w:r>
          </w:p>
          <w:p w14:paraId="76528288" w14:textId="2D7ED402" w:rsidR="0048367E" w:rsidRDefault="0048367E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浙商证券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 w:rsidR="00A26F9E">
              <w:rPr>
                <w:rFonts w:hint="eastAsia"/>
                <w:bCs/>
                <w:iCs/>
                <w:color w:val="000000"/>
                <w:sz w:val="24"/>
              </w:rPr>
              <w:t>王</w:t>
            </w:r>
            <w:r w:rsidR="00F74B2E">
              <w:rPr>
                <w:rFonts w:hint="eastAsia"/>
                <w:bCs/>
                <w:iCs/>
                <w:color w:val="000000"/>
                <w:sz w:val="24"/>
              </w:rPr>
              <w:t>凯</w:t>
            </w:r>
          </w:p>
          <w:p w14:paraId="4494E225" w14:textId="77777777" w:rsidR="0048367E" w:rsidRDefault="0048367E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太平洋证券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王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介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>超</w:t>
            </w:r>
          </w:p>
          <w:p w14:paraId="45C0BCE2" w14:textId="6AB4F298" w:rsidR="0048367E" w:rsidRDefault="0048367E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华夏基金</w:t>
            </w:r>
            <w:r w:rsidR="00A26F9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A26F9E">
              <w:rPr>
                <w:rFonts w:hint="eastAsia"/>
                <w:bCs/>
                <w:iCs/>
                <w:color w:val="000000"/>
                <w:sz w:val="24"/>
              </w:rPr>
              <w:t>张露</w:t>
            </w:r>
          </w:p>
          <w:p w14:paraId="059B3F72" w14:textId="21D13E7D" w:rsidR="0048367E" w:rsidRPr="00875511" w:rsidRDefault="0048367E" w:rsidP="00BA600B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拾贝投资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</w:rPr>
              <w:t>林轩宇</w:t>
            </w:r>
            <w:proofErr w:type="gramEnd"/>
          </w:p>
        </w:tc>
      </w:tr>
      <w:tr w:rsidR="005F4152" w14:paraId="6ACA1CAF" w14:textId="77777777" w:rsidTr="001705F1">
        <w:trPr>
          <w:jc w:val="center"/>
        </w:trPr>
        <w:tc>
          <w:tcPr>
            <w:tcW w:w="1980" w:type="dxa"/>
            <w:vAlign w:val="center"/>
          </w:tcPr>
          <w:p w14:paraId="65F70CFC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42" w:type="dxa"/>
            <w:vAlign w:val="center"/>
          </w:tcPr>
          <w:p w14:paraId="51BA1525" w14:textId="2013907A" w:rsidR="005F4152" w:rsidRDefault="004077AE" w:rsidP="001705F1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</w:t>
            </w:r>
            <w:r w:rsidR="00E16188"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48367E">
              <w:rPr>
                <w:bCs/>
                <w:iCs/>
                <w:color w:val="000000"/>
                <w:sz w:val="24"/>
              </w:rPr>
              <w:t>8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48367E">
              <w:rPr>
                <w:bCs/>
                <w:iCs/>
                <w:color w:val="000000"/>
                <w:sz w:val="24"/>
              </w:rPr>
              <w:t>27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>-</w:t>
            </w:r>
            <w:r w:rsidR="0048367E">
              <w:rPr>
                <w:bCs/>
                <w:iCs/>
                <w:color w:val="000000"/>
                <w:sz w:val="24"/>
              </w:rPr>
              <w:t>28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5F4152" w14:paraId="28842782" w14:textId="77777777" w:rsidTr="001705F1">
        <w:trPr>
          <w:jc w:val="center"/>
        </w:trPr>
        <w:tc>
          <w:tcPr>
            <w:tcW w:w="1980" w:type="dxa"/>
            <w:vAlign w:val="center"/>
          </w:tcPr>
          <w:p w14:paraId="66BB4328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42" w:type="dxa"/>
            <w:vAlign w:val="center"/>
          </w:tcPr>
          <w:p w14:paraId="390C50CA" w14:textId="77777777" w:rsidR="005F4152" w:rsidRDefault="004077AE" w:rsidP="001705F1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公司</w:t>
            </w:r>
            <w:r w:rsidR="001B33D4">
              <w:rPr>
                <w:rFonts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5F4152" w14:paraId="29ED6AFB" w14:textId="77777777" w:rsidTr="001705F1">
        <w:trPr>
          <w:jc w:val="center"/>
        </w:trPr>
        <w:tc>
          <w:tcPr>
            <w:tcW w:w="1980" w:type="dxa"/>
            <w:vAlign w:val="center"/>
          </w:tcPr>
          <w:p w14:paraId="70EC5CB2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542" w:type="dxa"/>
            <w:vAlign w:val="center"/>
          </w:tcPr>
          <w:p w14:paraId="44AEEAAD" w14:textId="2D505C85" w:rsidR="005F4152" w:rsidRDefault="00972E3D" w:rsidP="00ED3F10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副总经理、财务总监、</w:t>
            </w:r>
            <w:r w:rsidR="004077AE">
              <w:rPr>
                <w:bCs/>
                <w:iCs/>
                <w:color w:val="000000"/>
                <w:sz w:val="24"/>
              </w:rPr>
              <w:t>董事会秘书</w:t>
            </w:r>
            <w:r w:rsidR="001705F1">
              <w:rPr>
                <w:bCs/>
                <w:iCs/>
                <w:color w:val="000000"/>
                <w:sz w:val="24"/>
              </w:rPr>
              <w:t xml:space="preserve">  </w:t>
            </w:r>
            <w:r w:rsidR="001B33D4">
              <w:rPr>
                <w:rFonts w:hint="eastAsia"/>
                <w:bCs/>
                <w:iCs/>
                <w:color w:val="000000"/>
                <w:sz w:val="24"/>
              </w:rPr>
              <w:t>龙云刚</w:t>
            </w:r>
          </w:p>
          <w:p w14:paraId="36AD1AE4" w14:textId="77BE33F5" w:rsidR="00972E3D" w:rsidRDefault="00972E3D" w:rsidP="00ED3F10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证券事务代表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张雪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48367E">
              <w:rPr>
                <w:bCs/>
                <w:iCs/>
                <w:color w:val="000000"/>
                <w:sz w:val="24"/>
              </w:rPr>
              <w:t xml:space="preserve">  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>证券经理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48367E">
              <w:rPr>
                <w:bCs/>
                <w:iCs/>
                <w:color w:val="000000"/>
                <w:sz w:val="24"/>
              </w:rPr>
              <w:t xml:space="preserve"> </w:t>
            </w:r>
            <w:r w:rsidR="0048367E">
              <w:rPr>
                <w:rFonts w:hint="eastAsia"/>
                <w:bCs/>
                <w:iCs/>
                <w:color w:val="000000"/>
                <w:sz w:val="24"/>
              </w:rPr>
              <w:t>刘芳</w:t>
            </w:r>
          </w:p>
        </w:tc>
      </w:tr>
      <w:tr w:rsidR="005F4152" w14:paraId="5A17CDBB" w14:textId="77777777" w:rsidTr="001705F1">
        <w:trPr>
          <w:trHeight w:val="472"/>
          <w:jc w:val="center"/>
        </w:trPr>
        <w:tc>
          <w:tcPr>
            <w:tcW w:w="1980" w:type="dxa"/>
            <w:vAlign w:val="center"/>
          </w:tcPr>
          <w:p w14:paraId="142DE3F9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542" w:type="dxa"/>
            <w:vAlign w:val="center"/>
          </w:tcPr>
          <w:p w14:paraId="478BBBE0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请问一下贵公司，如果建筑是本身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位于低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烈度地区的，且本身建筑结构已满足相关抗震法规要求，像这样的建筑是否还需要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采用减隔震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，是否有相关的强制性法规？</w:t>
            </w:r>
          </w:p>
          <w:p w14:paraId="56B365C0" w14:textId="3431D707" w:rsidR="00DA1FFA" w:rsidRDefault="00DA1FFA" w:rsidP="00DA1F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答：我们平常所知的建筑结构，以及它所满足的抗震强度，</w:t>
            </w:r>
            <w:r>
              <w:rPr>
                <w:rFonts w:hint="eastAsia"/>
                <w:sz w:val="24"/>
              </w:rPr>
              <w:lastRenderedPageBreak/>
              <w:t>与是否使用建筑</w:t>
            </w:r>
            <w:proofErr w:type="gramStart"/>
            <w:r>
              <w:rPr>
                <w:rFonts w:hint="eastAsia"/>
                <w:sz w:val="24"/>
              </w:rPr>
              <w:t>减隔震产品</w:t>
            </w:r>
            <w:proofErr w:type="gramEnd"/>
            <w:r>
              <w:rPr>
                <w:rFonts w:hint="eastAsia"/>
                <w:sz w:val="24"/>
              </w:rPr>
              <w:t>是两个不同的概念。目前来说，国家对于这块并没有强制性的要求，但作为房屋本身的使用而言，例如博物馆、医院、飞机场这类有特定使用功能需求的建筑，</w:t>
            </w:r>
            <w:proofErr w:type="gramStart"/>
            <w:r>
              <w:rPr>
                <w:rFonts w:hint="eastAsia"/>
                <w:sz w:val="24"/>
              </w:rPr>
              <w:t>减隔震产品</w:t>
            </w:r>
            <w:proofErr w:type="gramEnd"/>
            <w:r>
              <w:rPr>
                <w:rFonts w:hint="eastAsia"/>
                <w:sz w:val="24"/>
              </w:rPr>
              <w:t>也是有一定市场空间的。举个例子，像云南省博物馆新馆</w:t>
            </w:r>
            <w:proofErr w:type="gramStart"/>
            <w:r>
              <w:rPr>
                <w:rFonts w:hint="eastAsia"/>
                <w:sz w:val="24"/>
              </w:rPr>
              <w:t>采用减隔震</w:t>
            </w:r>
            <w:proofErr w:type="gramEnd"/>
            <w:r>
              <w:rPr>
                <w:rFonts w:hint="eastAsia"/>
                <w:sz w:val="24"/>
              </w:rPr>
              <w:t>技术进行</w:t>
            </w:r>
            <w:r w:rsidR="006A6CB6">
              <w:rPr>
                <w:rFonts w:hint="eastAsia"/>
                <w:sz w:val="24"/>
              </w:rPr>
              <w:t>建设</w:t>
            </w:r>
            <w:r>
              <w:rPr>
                <w:rFonts w:hint="eastAsia"/>
                <w:sz w:val="24"/>
              </w:rPr>
              <w:t>，因为博物馆本身陈列的大多是较为珍贵的展品，这类物品即使是微小的震动，也可能造成不可估量的损失。医院也是相同的道理，像美国洛杉矶地震时，</w:t>
            </w:r>
            <w:proofErr w:type="gramStart"/>
            <w:r>
              <w:rPr>
                <w:rFonts w:hint="eastAsia"/>
                <w:sz w:val="24"/>
              </w:rPr>
              <w:t>使用减隔震</w:t>
            </w:r>
            <w:proofErr w:type="gramEnd"/>
            <w:r>
              <w:rPr>
                <w:rFonts w:hint="eastAsia"/>
                <w:sz w:val="24"/>
              </w:rPr>
              <w:t>技术的建筑物毫发无伤，而另一家未使用该技术的医院由于地震造成的医疗器械损失较严重。</w:t>
            </w:r>
          </w:p>
          <w:p w14:paraId="3B536DBD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</w:p>
          <w:p w14:paraId="0AA5B039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目前对于公司什么类型的项目会比较有优势？在什么类型的项目会面临较大的竞争？</w:t>
            </w:r>
          </w:p>
          <w:p w14:paraId="116635E7" w14:textId="77777777" w:rsidR="00DA1FFA" w:rsidRDefault="00DA1FFA" w:rsidP="00DA1F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对于公司而言，像机场等重大、创新性的项目公司会比较有竞争优势。因为这类项目通常体量很大，而且主体建筑构造较为复杂，技术要求较高，公司拥有专业的研发团队和设计团队能配合项目的咨询设计，同时公司在重大创新性项目方面的工程业绩较多，公司具有较强的研发优势、技术优势和品牌优势，竞争优势较明显。相对地，对于一些小项目，本身主体建筑施工不太复杂，因此技术门槛也较低，这类小的项目相对而言会面临更多的竞争。</w:t>
            </w:r>
          </w:p>
          <w:p w14:paraId="192EA56E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</w:p>
          <w:p w14:paraId="2D8D1D84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想请问一下贵公司产品维护方面的问题。像公司产品这块后续会对产品进行跟踪检测吗？一般会如何进行？以及，如果发生了地震，公司是否会对此采取一定措施？</w:t>
            </w:r>
          </w:p>
          <w:p w14:paraId="19B21F68" w14:textId="77777777" w:rsidR="00DA1FFA" w:rsidRDefault="00DA1FFA" w:rsidP="00DA1F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答：目前公司出售的产品都会进行定期巡检，一般巡检周期为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年等。公司拥有专业的售后团队，除了这样的定期巡检，在发生地震后我们也会采取相应</w:t>
            </w:r>
            <w:proofErr w:type="gramStart"/>
            <w:r>
              <w:rPr>
                <w:rFonts w:hint="eastAsia"/>
                <w:sz w:val="24"/>
              </w:rPr>
              <w:t>地措施</w:t>
            </w:r>
            <w:proofErr w:type="gramEnd"/>
            <w:r>
              <w:rPr>
                <w:rFonts w:hint="eastAsia"/>
                <w:sz w:val="24"/>
              </w:rPr>
              <w:t>进行跟踪巡检。一般而言，在地震发生时，我们会首先对受到影响</w:t>
            </w:r>
            <w:r>
              <w:rPr>
                <w:rFonts w:hint="eastAsia"/>
                <w:sz w:val="24"/>
              </w:rPr>
              <w:lastRenderedPageBreak/>
              <w:t>的区域，根据距离震中的远近等指标，进行专业的区域划分，并根据不同级别划分推断可能受到影响的程度。同时，我们会联系当地的相关部门和业主，向他们询问实际受影响状况，让他们进行实地拍摄</w:t>
            </w:r>
            <w:proofErr w:type="gramStart"/>
            <w:r>
              <w:rPr>
                <w:rFonts w:hint="eastAsia"/>
                <w:sz w:val="24"/>
              </w:rPr>
              <w:t>并返图</w:t>
            </w:r>
            <w:proofErr w:type="gramEnd"/>
            <w:r>
              <w:rPr>
                <w:rFonts w:hint="eastAsia"/>
                <w:sz w:val="24"/>
              </w:rPr>
              <w:t>，我们再根据照片情况进行评估，并指导他们进行维护，如有需要我们也会派遣专业的团队去现场查看。</w:t>
            </w:r>
          </w:p>
          <w:p w14:paraId="616B9313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</w:p>
          <w:p w14:paraId="76F625E0" w14:textId="77777777" w:rsidR="00DA1FFA" w:rsidRDefault="00DA1FFA" w:rsidP="00DA1FF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我想请问下，公司的隔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震产品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作为直接安装在建筑物底部的装置，是否会存在一些潜在的风险（比如螺栓断裂），从而对建筑物造成一定威胁？</w:t>
            </w:r>
          </w:p>
          <w:p w14:paraId="60272DE0" w14:textId="5C230E97" w:rsidR="00F74B2E" w:rsidRPr="00DA1FFA" w:rsidRDefault="00DA1FFA" w:rsidP="006E7839">
            <w:pPr>
              <w:pStyle w:val="1"/>
              <w:spacing w:line="360" w:lineRule="auto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答：我们公司的隔</w:t>
            </w:r>
            <w:proofErr w:type="gramStart"/>
            <w:r>
              <w:rPr>
                <w:rFonts w:hint="eastAsia"/>
                <w:sz w:val="24"/>
              </w:rPr>
              <w:t>震产品</w:t>
            </w:r>
            <w:proofErr w:type="gramEnd"/>
            <w:r>
              <w:rPr>
                <w:rFonts w:hint="eastAsia"/>
                <w:sz w:val="24"/>
              </w:rPr>
              <w:t>一般都安装在建筑物底部，荷载较重，因此具有极大的静摩擦力。所以即使螺栓有断裂情况也不会发生大的位移。此外，我们公司还有专业的售后团队进行巡检，检查螺栓断裂等问题也是巡检工作的一部分。而真正可能造成危险的是构造措施这块：一般而言使用隔</w:t>
            </w:r>
            <w:proofErr w:type="gramStart"/>
            <w:r>
              <w:rPr>
                <w:rFonts w:hint="eastAsia"/>
                <w:sz w:val="24"/>
              </w:rPr>
              <w:t>震产品</w:t>
            </w:r>
            <w:proofErr w:type="gramEnd"/>
            <w:r>
              <w:rPr>
                <w:rFonts w:hint="eastAsia"/>
                <w:sz w:val="24"/>
              </w:rPr>
              <w:t>的建筑都需要在房屋周围留足足够的隔震沟，以保证地震来临时房屋能够通过左右平移对地震能量进行消减；而一些不懂上述措施的施工单位或使用单位可能会未预留足够的</w:t>
            </w:r>
            <w:proofErr w:type="gramStart"/>
            <w:r>
              <w:rPr>
                <w:rFonts w:hint="eastAsia"/>
                <w:sz w:val="24"/>
              </w:rPr>
              <w:t>隔震沟等</w:t>
            </w:r>
            <w:proofErr w:type="gramEnd"/>
            <w:r>
              <w:rPr>
                <w:rFonts w:hint="eastAsia"/>
                <w:sz w:val="24"/>
              </w:rPr>
              <w:t>构造措施，这会造成地震来临</w:t>
            </w:r>
            <w:proofErr w:type="gramStart"/>
            <w:r>
              <w:rPr>
                <w:rFonts w:hint="eastAsia"/>
                <w:sz w:val="24"/>
              </w:rPr>
              <w:t>时减隔</w:t>
            </w:r>
            <w:proofErr w:type="gramEnd"/>
            <w:r>
              <w:rPr>
                <w:rFonts w:hint="eastAsia"/>
                <w:sz w:val="24"/>
              </w:rPr>
              <w:t>震装置无法发挥效用，造成建筑物的损坏。</w:t>
            </w:r>
          </w:p>
        </w:tc>
      </w:tr>
      <w:tr w:rsidR="005F4152" w14:paraId="1A1FD26E" w14:textId="77777777" w:rsidTr="001705F1">
        <w:trPr>
          <w:jc w:val="center"/>
        </w:trPr>
        <w:tc>
          <w:tcPr>
            <w:tcW w:w="1980" w:type="dxa"/>
            <w:vAlign w:val="center"/>
          </w:tcPr>
          <w:p w14:paraId="5E3C533A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542" w:type="dxa"/>
            <w:vAlign w:val="center"/>
          </w:tcPr>
          <w:p w14:paraId="4B51BF2C" w14:textId="77777777" w:rsidR="005F4152" w:rsidRDefault="004077AE" w:rsidP="001705F1">
            <w:pPr>
              <w:pStyle w:val="1"/>
              <w:spacing w:line="360" w:lineRule="auto"/>
              <w:ind w:firstLineChars="0" w:firstLine="0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5F4152" w14:paraId="1B70353C" w14:textId="77777777" w:rsidTr="001705F1">
        <w:trPr>
          <w:jc w:val="center"/>
        </w:trPr>
        <w:tc>
          <w:tcPr>
            <w:tcW w:w="1980" w:type="dxa"/>
            <w:vAlign w:val="center"/>
          </w:tcPr>
          <w:p w14:paraId="51D87876" w14:textId="77777777" w:rsidR="005F4152" w:rsidRDefault="004077AE" w:rsidP="001705F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542" w:type="dxa"/>
            <w:vAlign w:val="center"/>
          </w:tcPr>
          <w:p w14:paraId="7892310A" w14:textId="6907BA74" w:rsidR="005F4152" w:rsidRDefault="004077AE" w:rsidP="001705F1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</w:t>
            </w:r>
            <w:r w:rsidR="00E16188"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6E7839">
              <w:rPr>
                <w:bCs/>
                <w:iCs/>
                <w:color w:val="000000"/>
                <w:sz w:val="24"/>
              </w:rPr>
              <w:t>8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6E7839">
              <w:rPr>
                <w:bCs/>
                <w:iCs/>
                <w:color w:val="000000"/>
                <w:sz w:val="24"/>
              </w:rPr>
              <w:t>28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AB70827" w14:textId="77777777" w:rsidR="005F4152" w:rsidRDefault="005F4152" w:rsidP="007C02F5"/>
    <w:sectPr w:rsidR="005F415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2BEB" w14:textId="77777777" w:rsidR="005E203A" w:rsidRDefault="005E203A">
      <w:r>
        <w:separator/>
      </w:r>
    </w:p>
  </w:endnote>
  <w:endnote w:type="continuationSeparator" w:id="0">
    <w:p w14:paraId="14983AC5" w14:textId="77777777" w:rsidR="005E203A" w:rsidRDefault="005E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747414"/>
    </w:sdtPr>
    <w:sdtEndPr/>
    <w:sdtContent>
      <w:p w14:paraId="13836BAE" w14:textId="77777777" w:rsidR="005F4152" w:rsidRDefault="004077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C6A158" w14:textId="77777777" w:rsidR="005F4152" w:rsidRDefault="005F4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149FC" w14:textId="77777777" w:rsidR="005E203A" w:rsidRDefault="005E203A">
      <w:r>
        <w:separator/>
      </w:r>
    </w:p>
  </w:footnote>
  <w:footnote w:type="continuationSeparator" w:id="0">
    <w:p w14:paraId="28675FCA" w14:textId="77777777" w:rsidR="005E203A" w:rsidRDefault="005E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F88"/>
    <w:rsid w:val="00026FAB"/>
    <w:rsid w:val="00043FE7"/>
    <w:rsid w:val="000658D3"/>
    <w:rsid w:val="00095892"/>
    <w:rsid w:val="00097939"/>
    <w:rsid w:val="000A1918"/>
    <w:rsid w:val="000A59F0"/>
    <w:rsid w:val="000B35E8"/>
    <w:rsid w:val="000E488E"/>
    <w:rsid w:val="00127AD7"/>
    <w:rsid w:val="001705F1"/>
    <w:rsid w:val="00183F06"/>
    <w:rsid w:val="001848BC"/>
    <w:rsid w:val="001A3AC1"/>
    <w:rsid w:val="001B1613"/>
    <w:rsid w:val="001B33D4"/>
    <w:rsid w:val="001E4C47"/>
    <w:rsid w:val="00275409"/>
    <w:rsid w:val="002B7F1A"/>
    <w:rsid w:val="002D6222"/>
    <w:rsid w:val="002F3D2C"/>
    <w:rsid w:val="003037BA"/>
    <w:rsid w:val="00307908"/>
    <w:rsid w:val="00322613"/>
    <w:rsid w:val="003857F8"/>
    <w:rsid w:val="003A76C8"/>
    <w:rsid w:val="003C5708"/>
    <w:rsid w:val="003E686B"/>
    <w:rsid w:val="004077AE"/>
    <w:rsid w:val="00422C58"/>
    <w:rsid w:val="00425368"/>
    <w:rsid w:val="004256C3"/>
    <w:rsid w:val="00432EE9"/>
    <w:rsid w:val="00447104"/>
    <w:rsid w:val="004675B0"/>
    <w:rsid w:val="004718F2"/>
    <w:rsid w:val="00472113"/>
    <w:rsid w:val="00481B0F"/>
    <w:rsid w:val="0048367E"/>
    <w:rsid w:val="00494BCF"/>
    <w:rsid w:val="004954EF"/>
    <w:rsid w:val="004A25E1"/>
    <w:rsid w:val="004A5354"/>
    <w:rsid w:val="004A7CC0"/>
    <w:rsid w:val="004C3501"/>
    <w:rsid w:val="004D2FB5"/>
    <w:rsid w:val="004D622B"/>
    <w:rsid w:val="004E6326"/>
    <w:rsid w:val="004F7A8C"/>
    <w:rsid w:val="005029D9"/>
    <w:rsid w:val="00515714"/>
    <w:rsid w:val="00566621"/>
    <w:rsid w:val="005E203A"/>
    <w:rsid w:val="005E2E67"/>
    <w:rsid w:val="005E690F"/>
    <w:rsid w:val="005F4152"/>
    <w:rsid w:val="00635106"/>
    <w:rsid w:val="00644AF1"/>
    <w:rsid w:val="006A1EC0"/>
    <w:rsid w:val="006A45BF"/>
    <w:rsid w:val="006A6CB6"/>
    <w:rsid w:val="006E7839"/>
    <w:rsid w:val="007122AF"/>
    <w:rsid w:val="00720812"/>
    <w:rsid w:val="00745C17"/>
    <w:rsid w:val="00760725"/>
    <w:rsid w:val="00785994"/>
    <w:rsid w:val="0078798A"/>
    <w:rsid w:val="00790557"/>
    <w:rsid w:val="00797619"/>
    <w:rsid w:val="007A21D1"/>
    <w:rsid w:val="007C02F5"/>
    <w:rsid w:val="007F17D1"/>
    <w:rsid w:val="007F551D"/>
    <w:rsid w:val="008057BC"/>
    <w:rsid w:val="00814DC9"/>
    <w:rsid w:val="00816336"/>
    <w:rsid w:val="008449BA"/>
    <w:rsid w:val="008520EF"/>
    <w:rsid w:val="00852529"/>
    <w:rsid w:val="00853BEF"/>
    <w:rsid w:val="008569B6"/>
    <w:rsid w:val="00875511"/>
    <w:rsid w:val="00891419"/>
    <w:rsid w:val="008A2C88"/>
    <w:rsid w:val="008A544D"/>
    <w:rsid w:val="008B0C58"/>
    <w:rsid w:val="008B3270"/>
    <w:rsid w:val="008D5355"/>
    <w:rsid w:val="008F2C20"/>
    <w:rsid w:val="0091142C"/>
    <w:rsid w:val="0091766A"/>
    <w:rsid w:val="009349D0"/>
    <w:rsid w:val="00943F10"/>
    <w:rsid w:val="00963BFC"/>
    <w:rsid w:val="00972E3D"/>
    <w:rsid w:val="009936BE"/>
    <w:rsid w:val="009D4088"/>
    <w:rsid w:val="009E504E"/>
    <w:rsid w:val="009F1C8D"/>
    <w:rsid w:val="009F67D0"/>
    <w:rsid w:val="00A01C32"/>
    <w:rsid w:val="00A14E10"/>
    <w:rsid w:val="00A26F9E"/>
    <w:rsid w:val="00A360D1"/>
    <w:rsid w:val="00A4700F"/>
    <w:rsid w:val="00A741CA"/>
    <w:rsid w:val="00A93A9A"/>
    <w:rsid w:val="00A94290"/>
    <w:rsid w:val="00AA3890"/>
    <w:rsid w:val="00AC3329"/>
    <w:rsid w:val="00AC4CBD"/>
    <w:rsid w:val="00AC69A7"/>
    <w:rsid w:val="00AC6FC0"/>
    <w:rsid w:val="00AE70D7"/>
    <w:rsid w:val="00AF4D59"/>
    <w:rsid w:val="00B22D6A"/>
    <w:rsid w:val="00B63924"/>
    <w:rsid w:val="00B8799D"/>
    <w:rsid w:val="00BA600B"/>
    <w:rsid w:val="00BA6297"/>
    <w:rsid w:val="00BB6A75"/>
    <w:rsid w:val="00BC5A45"/>
    <w:rsid w:val="00C30A75"/>
    <w:rsid w:val="00C33152"/>
    <w:rsid w:val="00C732D1"/>
    <w:rsid w:val="00CA1627"/>
    <w:rsid w:val="00CB2595"/>
    <w:rsid w:val="00CB6366"/>
    <w:rsid w:val="00CD19C2"/>
    <w:rsid w:val="00CD2CAD"/>
    <w:rsid w:val="00CD403C"/>
    <w:rsid w:val="00D4096F"/>
    <w:rsid w:val="00D534C9"/>
    <w:rsid w:val="00D62C85"/>
    <w:rsid w:val="00D73F88"/>
    <w:rsid w:val="00D76232"/>
    <w:rsid w:val="00D8725E"/>
    <w:rsid w:val="00DA1FFA"/>
    <w:rsid w:val="00DA4F1F"/>
    <w:rsid w:val="00DB44EF"/>
    <w:rsid w:val="00DB58B2"/>
    <w:rsid w:val="00DF5E5F"/>
    <w:rsid w:val="00E00A4D"/>
    <w:rsid w:val="00E16188"/>
    <w:rsid w:val="00E238EE"/>
    <w:rsid w:val="00E33971"/>
    <w:rsid w:val="00E44DA3"/>
    <w:rsid w:val="00E639AD"/>
    <w:rsid w:val="00E82C96"/>
    <w:rsid w:val="00EB3B19"/>
    <w:rsid w:val="00ED3F10"/>
    <w:rsid w:val="00EF359E"/>
    <w:rsid w:val="00EF508D"/>
    <w:rsid w:val="00EF6D70"/>
    <w:rsid w:val="00F042BE"/>
    <w:rsid w:val="00F05CD6"/>
    <w:rsid w:val="00F26C06"/>
    <w:rsid w:val="00F74B2E"/>
    <w:rsid w:val="00F8516A"/>
    <w:rsid w:val="00F86792"/>
    <w:rsid w:val="00F94AF4"/>
    <w:rsid w:val="00F971FD"/>
    <w:rsid w:val="00FA4608"/>
    <w:rsid w:val="00FA5D39"/>
    <w:rsid w:val="12D6207C"/>
    <w:rsid w:val="17771A8F"/>
    <w:rsid w:val="25A74942"/>
    <w:rsid w:val="349E5654"/>
    <w:rsid w:val="36FF0937"/>
    <w:rsid w:val="4543181B"/>
    <w:rsid w:val="4917556B"/>
    <w:rsid w:val="4A2E7B49"/>
    <w:rsid w:val="4E95725E"/>
    <w:rsid w:val="516415FB"/>
    <w:rsid w:val="5A912E0D"/>
    <w:rsid w:val="5DBE3B40"/>
    <w:rsid w:val="5F562845"/>
    <w:rsid w:val="675C3085"/>
    <w:rsid w:val="6E4D3803"/>
    <w:rsid w:val="6EEE4AF6"/>
    <w:rsid w:val="70851933"/>
    <w:rsid w:val="751E1775"/>
    <w:rsid w:val="786C4A13"/>
    <w:rsid w:val="78E55147"/>
    <w:rsid w:val="7D3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A97FB"/>
  <w15:docId w15:val="{FB735A4C-DAE0-4513-B679-330BFF6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8AE59-A963-422D-A63F-AF597828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251</Words>
  <Characters>1436</Characters>
  <Application>Microsoft Office Word</Application>
  <DocSecurity>0</DocSecurity>
  <Lines>11</Lines>
  <Paragraphs>3</Paragraphs>
  <ScaleCrop>false</ScaleCrop>
  <Company>longjin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雪</cp:lastModifiedBy>
  <cp:revision>59</cp:revision>
  <cp:lastPrinted>2017-05-08T02:02:00Z</cp:lastPrinted>
  <dcterms:created xsi:type="dcterms:W3CDTF">2019-03-22T06:41:00Z</dcterms:created>
  <dcterms:modified xsi:type="dcterms:W3CDTF">2020-08-28T08:43:00Z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