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42D77" w14:textId="77777777" w:rsidR="00FA2AF1" w:rsidRPr="00C97C02" w:rsidRDefault="0083241B" w:rsidP="008C1548">
      <w:pPr>
        <w:spacing w:after="0" w:line="360" w:lineRule="auto"/>
        <w:jc w:val="center"/>
        <w:rPr>
          <w:rFonts w:ascii="Times New Roman" w:eastAsia="宋体" w:hAnsi="Times New Roman"/>
          <w:b/>
          <w:bCs/>
          <w:iCs/>
          <w:sz w:val="21"/>
        </w:rPr>
      </w:pPr>
      <w:r w:rsidRPr="00C97C02">
        <w:rPr>
          <w:rFonts w:ascii="Times New Roman" w:eastAsia="宋体" w:hAnsi="Times New Roman"/>
          <w:b/>
          <w:bCs/>
          <w:iCs/>
          <w:sz w:val="21"/>
        </w:rPr>
        <w:t>证券代码：</w:t>
      </w:r>
      <w:r w:rsidRPr="00C97C02">
        <w:rPr>
          <w:rFonts w:ascii="Times New Roman" w:eastAsia="宋体" w:hAnsi="Times New Roman"/>
          <w:b/>
          <w:bCs/>
          <w:iCs/>
          <w:sz w:val="21"/>
        </w:rPr>
        <w:t xml:space="preserve">300529                                             </w:t>
      </w:r>
      <w:r w:rsidRPr="00C97C02">
        <w:rPr>
          <w:rFonts w:ascii="Times New Roman" w:eastAsia="宋体" w:hAnsi="Times New Roman"/>
          <w:b/>
          <w:bCs/>
          <w:iCs/>
          <w:sz w:val="21"/>
        </w:rPr>
        <w:t>证券简称：</w:t>
      </w:r>
      <w:proofErr w:type="gramStart"/>
      <w:r w:rsidRPr="00C97C02">
        <w:rPr>
          <w:rFonts w:ascii="Times New Roman" w:eastAsia="宋体" w:hAnsi="Times New Roman"/>
          <w:b/>
          <w:bCs/>
          <w:iCs/>
          <w:sz w:val="21"/>
        </w:rPr>
        <w:t>健帆生物</w:t>
      </w:r>
      <w:proofErr w:type="gramEnd"/>
    </w:p>
    <w:p w14:paraId="7FB101D9" w14:textId="77777777" w:rsidR="00FA2AF1" w:rsidRPr="00C97C02" w:rsidRDefault="0083241B" w:rsidP="008C1548">
      <w:pPr>
        <w:spacing w:after="0" w:line="360" w:lineRule="auto"/>
        <w:jc w:val="center"/>
        <w:rPr>
          <w:rFonts w:ascii="Times New Roman" w:eastAsia="宋体" w:hAnsi="Times New Roman"/>
          <w:b/>
          <w:bCs/>
          <w:iCs/>
          <w:sz w:val="32"/>
          <w:szCs w:val="32"/>
        </w:rPr>
      </w:pPr>
      <w:proofErr w:type="gramStart"/>
      <w:r w:rsidRPr="00C97C02">
        <w:rPr>
          <w:rFonts w:ascii="Times New Roman" w:eastAsia="宋体" w:hAnsi="Times New Roman"/>
          <w:b/>
          <w:bCs/>
          <w:iCs/>
          <w:sz w:val="32"/>
          <w:szCs w:val="32"/>
        </w:rPr>
        <w:t>健帆生物</w:t>
      </w:r>
      <w:proofErr w:type="gramEnd"/>
      <w:r w:rsidRPr="00C97C02">
        <w:rPr>
          <w:rFonts w:ascii="Times New Roman" w:eastAsia="宋体" w:hAnsi="Times New Roman"/>
          <w:b/>
          <w:bCs/>
          <w:iCs/>
          <w:sz w:val="32"/>
          <w:szCs w:val="32"/>
        </w:rPr>
        <w:t>科技集团股份有限公司</w:t>
      </w:r>
    </w:p>
    <w:p w14:paraId="44A0D6F2" w14:textId="77777777" w:rsidR="00FA2AF1" w:rsidRPr="00C97C02" w:rsidRDefault="0083241B" w:rsidP="008C1548">
      <w:pPr>
        <w:spacing w:after="0" w:line="360" w:lineRule="auto"/>
        <w:jc w:val="center"/>
        <w:rPr>
          <w:rFonts w:ascii="Times New Roman" w:eastAsia="宋体" w:hAnsi="Times New Roman"/>
          <w:b/>
          <w:bCs/>
          <w:iCs/>
          <w:sz w:val="32"/>
          <w:szCs w:val="32"/>
        </w:rPr>
      </w:pPr>
      <w:r w:rsidRPr="00C97C02">
        <w:rPr>
          <w:rFonts w:ascii="Times New Roman" w:eastAsia="宋体" w:hAnsi="Times New Roman"/>
          <w:b/>
          <w:bCs/>
          <w:iCs/>
          <w:sz w:val="32"/>
          <w:szCs w:val="32"/>
        </w:rPr>
        <w:t>投资者关系活动记录表</w:t>
      </w:r>
    </w:p>
    <w:p w14:paraId="6962D828" w14:textId="6A9524C5" w:rsidR="00FA2AF1" w:rsidRPr="00C97C02" w:rsidRDefault="0083241B" w:rsidP="008C1548">
      <w:pPr>
        <w:spacing w:after="0" w:line="360" w:lineRule="auto"/>
        <w:jc w:val="right"/>
        <w:rPr>
          <w:rFonts w:ascii="Times New Roman" w:eastAsia="宋体" w:hAnsi="Times New Roman"/>
          <w:bCs/>
          <w:iCs/>
          <w:sz w:val="21"/>
          <w:szCs w:val="24"/>
        </w:rPr>
      </w:pPr>
      <w:r w:rsidRPr="00C97C02">
        <w:rPr>
          <w:rFonts w:ascii="Times New Roman" w:eastAsia="宋体" w:hAnsi="Times New Roman"/>
          <w:bCs/>
          <w:iCs/>
          <w:sz w:val="24"/>
          <w:szCs w:val="24"/>
        </w:rPr>
        <w:t xml:space="preserve">                                                </w:t>
      </w:r>
      <w:r w:rsidRPr="00C97C02">
        <w:rPr>
          <w:rFonts w:ascii="Times New Roman" w:eastAsia="宋体" w:hAnsi="Times New Roman"/>
          <w:bCs/>
          <w:iCs/>
          <w:sz w:val="21"/>
          <w:szCs w:val="24"/>
        </w:rPr>
        <w:t xml:space="preserve">      </w:t>
      </w:r>
      <w:r w:rsidRPr="00C97C02">
        <w:rPr>
          <w:rFonts w:ascii="Times New Roman" w:eastAsia="宋体" w:hAnsi="Times New Roman"/>
          <w:bCs/>
          <w:iCs/>
          <w:sz w:val="21"/>
          <w:szCs w:val="24"/>
        </w:rPr>
        <w:t>编号：</w:t>
      </w:r>
      <w:r w:rsidRPr="00C97C02">
        <w:rPr>
          <w:rFonts w:ascii="Times New Roman" w:eastAsia="宋体" w:hAnsi="Times New Roman"/>
          <w:bCs/>
          <w:iCs/>
          <w:sz w:val="21"/>
          <w:szCs w:val="24"/>
        </w:rPr>
        <w:t>2020-00</w:t>
      </w:r>
      <w:r w:rsidR="0070145D">
        <w:rPr>
          <w:rFonts w:ascii="Times New Roman" w:eastAsia="宋体" w:hAnsi="Times New Roman" w:hint="eastAsia"/>
          <w:bCs/>
          <w:iCs/>
          <w:sz w:val="21"/>
          <w:szCs w:val="24"/>
        </w:rPr>
        <w:t>5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3559"/>
      </w:tblGrid>
      <w:tr w:rsidR="00FA2AF1" w:rsidRPr="00C97C02" w14:paraId="376C56EE" w14:textId="77777777" w:rsidTr="0090712A">
        <w:trPr>
          <w:trHeight w:val="19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52FF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B9A9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 xml:space="preserve">□ 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>特定对象调研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 xml:space="preserve">        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 xml:space="preserve">□ 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>分析师会议</w:t>
            </w:r>
          </w:p>
          <w:p w14:paraId="2E8E44A3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 xml:space="preserve">□ 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>媒体采访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 xml:space="preserve">            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 xml:space="preserve">□ 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>业绩说明会</w:t>
            </w:r>
          </w:p>
          <w:p w14:paraId="22EBFC8E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 xml:space="preserve">□ 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>新闻发布会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 xml:space="preserve">          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 xml:space="preserve">□ 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>路演活动</w:t>
            </w:r>
          </w:p>
          <w:p w14:paraId="2C6846AE" w14:textId="32F629C4" w:rsidR="00FA2AF1" w:rsidRPr="00C97C02" w:rsidRDefault="0083241B" w:rsidP="0090712A">
            <w:pPr>
              <w:tabs>
                <w:tab w:val="left" w:pos="3045"/>
                <w:tab w:val="center" w:pos="3199"/>
              </w:tabs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 xml:space="preserve">□ 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>现场参观</w:t>
            </w:r>
            <w:r w:rsidR="0090712A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</w:t>
            </w:r>
            <w:r w:rsidRPr="00472BB9">
              <w:rPr>
                <w:rFonts w:ascii="Times New Roman" w:eastAsia="宋体" w:hAnsi="Times New Roman"/>
                <w:sz w:val="24"/>
                <w:szCs w:val="24"/>
              </w:rPr>
              <w:t>√</w:t>
            </w:r>
            <w:r w:rsidR="00472BB9" w:rsidRPr="00472BB9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C97C02">
              <w:rPr>
                <w:rFonts w:ascii="Times New Roman" w:eastAsia="宋体" w:hAnsi="Times New Roman"/>
                <w:sz w:val="24"/>
                <w:szCs w:val="24"/>
              </w:rPr>
              <w:t>其他（电话会议）</w:t>
            </w:r>
          </w:p>
        </w:tc>
      </w:tr>
      <w:tr w:rsidR="00FA2AF1" w:rsidRPr="00C97C02" w14:paraId="57AE3405" w14:textId="77777777" w:rsidTr="007B6E3D">
        <w:trPr>
          <w:trHeight w:val="7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BA82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C783" w14:textId="090D90AB" w:rsidR="00E35FED" w:rsidRPr="003D6847" w:rsidRDefault="00E35FED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3D6847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华泰证券：代</w:t>
            </w:r>
            <w:proofErr w:type="gramStart"/>
            <w:r w:rsidRPr="003D6847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雯</w:t>
            </w:r>
            <w:proofErr w:type="gramEnd"/>
            <w:r w:rsidRPr="003D6847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、高鹏</w:t>
            </w:r>
          </w:p>
          <w:p w14:paraId="09D456F9" w14:textId="3346C0A2" w:rsidR="001955DC" w:rsidRPr="003D6847" w:rsidRDefault="001955DC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3D6847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安信证券</w:t>
            </w:r>
            <w:r w:rsidR="001C18CE" w:rsidRPr="003D6847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：马帅</w:t>
            </w:r>
            <w:r w:rsidR="00E35FED" w:rsidRPr="003D6847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、李奔</w:t>
            </w:r>
          </w:p>
          <w:p w14:paraId="04BEEFB5" w14:textId="22504293" w:rsidR="00FA2AF1" w:rsidRPr="0070145D" w:rsidRDefault="003D6847" w:rsidP="00926719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  <w:highlight w:val="yellow"/>
              </w:rPr>
            </w:pPr>
            <w:r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富国基金、东吴基金、</w:t>
            </w:r>
            <w:proofErr w:type="gramStart"/>
            <w:r w:rsidR="003B3CAD"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中融基金</w:t>
            </w:r>
            <w:proofErr w:type="gramEnd"/>
            <w:r w:rsidR="003B3CAD"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、华夏基金、</w:t>
            </w:r>
            <w:r w:rsidR="003B3CAD" w:rsidRPr="003B3CA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华泰柏瑞、南方基金、</w:t>
            </w:r>
            <w:proofErr w:type="gramStart"/>
            <w:r w:rsidR="003B3CAD" w:rsidRPr="003B3CA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国投瑞银</w:t>
            </w:r>
            <w:proofErr w:type="gramEnd"/>
            <w:r w:rsidR="003B3CAD" w:rsidRPr="003B3CA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、华商基金、大成基金、</w:t>
            </w:r>
            <w:proofErr w:type="gramStart"/>
            <w:r w:rsidR="003B3CAD" w:rsidRPr="003B3CA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天弘基金</w:t>
            </w:r>
            <w:proofErr w:type="gramEnd"/>
            <w:r w:rsidR="003B3CAD" w:rsidRPr="003B3CA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、工银安盛、融通基金、宝盈基金、平安基金、恒生前海、明达资产、</w:t>
            </w:r>
            <w:proofErr w:type="gramStart"/>
            <w:r w:rsidR="003B3CAD"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九泰基金</w:t>
            </w:r>
            <w:proofErr w:type="gramEnd"/>
            <w:r w:rsidR="003B3CAD"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、人保养老、</w:t>
            </w:r>
            <w:r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东海证券、中信证券、</w:t>
            </w:r>
            <w:proofErr w:type="gramStart"/>
            <w:r w:rsidR="003B3CAD" w:rsidRPr="003B3CA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盘京投资</w:t>
            </w:r>
            <w:proofErr w:type="gramEnd"/>
            <w:r w:rsidR="003B3CAD" w:rsidRPr="003B3CA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中加基金、通用技术投资、</w:t>
            </w:r>
            <w:r w:rsidR="003B3CAD"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CMS ASSET MANAGEMENT HK</w:t>
            </w:r>
            <w:r w:rsidR="003B3CAD"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、</w:t>
            </w:r>
            <w:r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Ivy Capital</w:t>
            </w:r>
            <w:r w:rsidR="0083241B"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等</w:t>
            </w:r>
            <w:r w:rsidR="003B3CA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13</w:t>
            </w:r>
            <w:r w:rsidR="0092671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</w:t>
            </w:r>
            <w:r w:rsidR="0083241B" w:rsidRPr="003B3CA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名投资者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8ED6" w14:textId="4B0F1230" w:rsidR="001955DC" w:rsidRPr="00C83078" w:rsidRDefault="00425F6E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C83078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国盛证券</w:t>
            </w:r>
            <w:r w:rsidR="00D740B8" w:rsidRPr="00C83078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：</w:t>
            </w:r>
            <w:r w:rsidR="00A42393" w:rsidRPr="00C83078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张金洋</w:t>
            </w:r>
            <w:r w:rsidR="00D740B8" w:rsidRPr="00C83078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、</w:t>
            </w:r>
            <w:r w:rsidR="00961DBE" w:rsidRPr="00C83078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邓云龙</w:t>
            </w:r>
          </w:p>
          <w:p w14:paraId="12B734D2" w14:textId="1EB8265C" w:rsidR="007F6300" w:rsidRDefault="00425F6E" w:rsidP="007F6300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C83078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兴业证券</w:t>
            </w:r>
            <w:r w:rsidR="0083241B" w:rsidRPr="00C83078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：</w:t>
            </w:r>
            <w:r w:rsidR="007F6300" w:rsidRPr="00C83078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徐佳熹、</w:t>
            </w:r>
            <w:r w:rsidR="00A42393" w:rsidRPr="00C83078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孙媛媛</w:t>
            </w:r>
          </w:p>
          <w:p w14:paraId="61676C2F" w14:textId="4E644A49" w:rsidR="00FA2AF1" w:rsidRPr="0070145D" w:rsidRDefault="00DB5345" w:rsidP="00DB5345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  <w:highlight w:val="yellow"/>
              </w:rPr>
            </w:pPr>
            <w:r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高</w:t>
            </w:r>
            <w:proofErr w:type="gramStart"/>
            <w:r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瓴</w:t>
            </w:r>
            <w:proofErr w:type="gramEnd"/>
            <w:r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资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本、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鹏华基金、光大证券、国金基金、</w:t>
            </w:r>
            <w:proofErr w:type="gramStart"/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汇安基金</w:t>
            </w:r>
            <w:proofErr w:type="gramEnd"/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光大保德信基金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、人保资管、</w:t>
            </w:r>
            <w:proofErr w:type="gramStart"/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国投瑞银</w:t>
            </w:r>
            <w:proofErr w:type="gramEnd"/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诺安基金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泓德基金</w:t>
            </w:r>
            <w:proofErr w:type="gramEnd"/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国海富兰克林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盘京投资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嘉实基金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中航基金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中植集团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安邦资管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聆</w:t>
            </w:r>
            <w:proofErr w:type="gramEnd"/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泽投资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和</w:t>
            </w:r>
            <w:proofErr w:type="gramStart"/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沣</w:t>
            </w:r>
            <w:proofErr w:type="gramEnd"/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资本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朗辉投资</w:t>
            </w:r>
            <w:r w:rsid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4C0A3A" w:rsidRPr="004C0A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施诺德基金</w:t>
            </w:r>
            <w:r w:rsidR="004C0A3A" w:rsidRPr="0060786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、香港鲍尔太平投资、台湾人寿保险、亚太投资、中荷人寿等</w:t>
            </w:r>
            <w:r w:rsidR="0092671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94</w:t>
            </w:r>
            <w:r w:rsidR="0083241B" w:rsidRPr="00607867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名投资者</w:t>
            </w:r>
          </w:p>
        </w:tc>
      </w:tr>
      <w:tr w:rsidR="00FA2AF1" w:rsidRPr="00C97C02" w14:paraId="782C93DF" w14:textId="77777777" w:rsidTr="007B6E3D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81B3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A0B8" w14:textId="22A8440F" w:rsidR="00FA2AF1" w:rsidRPr="00C97C02" w:rsidRDefault="0083241B" w:rsidP="0070145D">
            <w:pPr>
              <w:spacing w:after="0" w:line="360" w:lineRule="auto"/>
              <w:jc w:val="both"/>
              <w:rPr>
                <w:rFonts w:ascii="Times New Roman" w:eastAsia="黑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2020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年</w:t>
            </w:r>
            <w:r w:rsidR="0070145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8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月</w:t>
            </w:r>
            <w:r w:rsidR="0070145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</w:t>
            </w:r>
            <w:r w:rsidR="00D740B8"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6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日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~2020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年</w:t>
            </w:r>
            <w:r w:rsidR="0070145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8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月</w:t>
            </w:r>
            <w:r w:rsidR="0070145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</w:t>
            </w:r>
            <w:r w:rsidR="00D740B8"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7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日</w:t>
            </w:r>
          </w:p>
        </w:tc>
      </w:tr>
      <w:tr w:rsidR="00FA2AF1" w:rsidRPr="00C97C02" w14:paraId="61D58639" w14:textId="77777777" w:rsidTr="007B6E3D">
        <w:trPr>
          <w:trHeight w:val="5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DAD4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AEE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电话会议</w:t>
            </w:r>
          </w:p>
        </w:tc>
      </w:tr>
      <w:tr w:rsidR="00FA2AF1" w:rsidRPr="00C97C02" w14:paraId="5DB7F59C" w14:textId="77777777" w:rsidTr="007B6E3D">
        <w:trPr>
          <w:trHeight w:val="7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29C6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6E72" w14:textId="77777777" w:rsidR="00480975" w:rsidRPr="00C97C02" w:rsidRDefault="001A3ABF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董事长、总经理：董凡先生</w:t>
            </w:r>
          </w:p>
          <w:p w14:paraId="5A6FB2E6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董事、副总经理：唐先敏女士</w:t>
            </w:r>
          </w:p>
          <w:p w14:paraId="0A2F1732" w14:textId="77777777" w:rsidR="00480975" w:rsidRPr="00C97C02" w:rsidRDefault="001A3ABF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董事会秘书：</w:t>
            </w:r>
            <w:proofErr w:type="gramStart"/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张明渊先生</w:t>
            </w:r>
            <w:proofErr w:type="gramEnd"/>
          </w:p>
          <w:p w14:paraId="4B999362" w14:textId="02FD9D78" w:rsidR="00FA2AF1" w:rsidRPr="00C97C02" w:rsidRDefault="0083241B" w:rsidP="0070145D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财务</w:t>
            </w:r>
            <w:r w:rsidR="0070145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总监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：何小莲先生</w:t>
            </w:r>
          </w:p>
        </w:tc>
      </w:tr>
      <w:tr w:rsidR="00FA2AF1" w:rsidRPr="00C97C02" w14:paraId="3ECF8E46" w14:textId="77777777" w:rsidTr="007B6E3D">
        <w:trPr>
          <w:trHeight w:val="17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47CC" w14:textId="77777777" w:rsidR="00FA2AF1" w:rsidRPr="00C97C02" w:rsidRDefault="0083241B" w:rsidP="008C1548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16DF" w14:textId="112C4013" w:rsidR="00CA7A5B" w:rsidRPr="001277D9" w:rsidRDefault="00CA7A5B" w:rsidP="001277D9">
            <w:pPr>
              <w:spacing w:after="0" w:line="360" w:lineRule="auto"/>
              <w:ind w:firstLineChars="200" w:firstLine="482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一、公司董事长、总经理董凡先生简要介绍</w:t>
            </w:r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2020</w:t>
            </w:r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上半年的经营亮点。</w:t>
            </w:r>
          </w:p>
          <w:p w14:paraId="4C8434A6" w14:textId="578FE1A0" w:rsidR="00CA7A5B" w:rsidRPr="00CA7A5B" w:rsidRDefault="00CA7A5B" w:rsidP="00FD731B">
            <w:pPr>
              <w:spacing w:after="0" w:line="360" w:lineRule="auto"/>
              <w:ind w:firstLine="482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2020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年上半年，公司实现营业收入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8.7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亿元，同比增长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32%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；经营活动产生的现金流量净额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3.4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亿，同比增长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33%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；</w:t>
            </w:r>
            <w:proofErr w:type="gramStart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归母净利润</w:t>
            </w:r>
            <w:proofErr w:type="gramEnd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4.4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亿元，同比增长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44%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；</w:t>
            </w:r>
            <w:proofErr w:type="gramStart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扣非后</w:t>
            </w:r>
            <w:proofErr w:type="gramEnd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净利润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4.17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亿元，同比增长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53%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；综合毛利率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85.60%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，保持稳定。加权净资产收益率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19.09%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，增加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1.69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个百分点；每股收益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0.55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元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/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股，同比增长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41.03%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。实施了每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股派息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9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元、转增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9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股的利润分配方案，现金分红比例达到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66%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，公司自上市以来现金分红累计达到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8.57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亿元。</w:t>
            </w:r>
          </w:p>
          <w:p w14:paraId="460A5CE4" w14:textId="2CE7C134" w:rsidR="00CA7A5B" w:rsidRPr="00CA7A5B" w:rsidRDefault="00CA7A5B" w:rsidP="00FD731B">
            <w:pPr>
              <w:spacing w:after="0" w:line="360" w:lineRule="auto"/>
              <w:ind w:firstLine="482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2020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年上半年，新冠疫情肆虐全球。为了防疫抗</w:t>
            </w:r>
            <w:proofErr w:type="gramStart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疫</w:t>
            </w:r>
            <w:proofErr w:type="gramEnd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的胜利，国家抽调大量医护资源支援湖北，各地政府也抽调大量医护资源专门应对辖区疫情。公司产品只能在医院由有经验</w:t>
            </w:r>
            <w:r w:rsidR="00D05DD4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医护人员操作使用，而疫情期间，各地医院的医生、护士、患者都明显减少，这使公司面临着巨大压力。面对困难，公司积极应对，快速安全科学复工，坚定有序开展各项工作，探寻疫情下新的推广模式等。由于公司的产品在重型、危重型新冠肺炎上有显著疗效，因此公司的技术或产品不断写入了国内外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新型冠状病毒肺炎诊疗方案或指南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，公司借此之机，持续扩大对产品的推广，不断提升品牌形象，取得了靓丽的业绩。公司上半年取得的靓丽业绩是战胜疫情负面影响而取得的成绩，来之不易。</w:t>
            </w:r>
          </w:p>
          <w:p w14:paraId="169A6030" w14:textId="77777777" w:rsidR="00CA7A5B" w:rsidRPr="00CA7A5B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上半年公司的主要经营亮点有：</w:t>
            </w:r>
          </w:p>
          <w:p w14:paraId="3B68BE3F" w14:textId="77777777" w:rsidR="00CA7A5B" w:rsidRPr="001277D9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（一）聚焦主业，主营业务增长良好</w:t>
            </w:r>
          </w:p>
          <w:p w14:paraId="3C574231" w14:textId="77777777" w:rsidR="00CA7A5B" w:rsidRPr="00CA7A5B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、肾病领域：产品覆盖全国超过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5300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余家大中型医院，报告期内线上活动</w:t>
            </w:r>
            <w:proofErr w:type="gramStart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推广共</w:t>
            </w:r>
            <w:proofErr w:type="gramEnd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400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余场，其中</w:t>
            </w:r>
            <w:proofErr w:type="gramStart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通过健帆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吸附学院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proofErr w:type="gramEnd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开展的线上推广活动累计浏览次数已达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46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万人次；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月正式启动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疗程化推广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的项目，目前已累计开发疗程</w:t>
            </w:r>
            <w:proofErr w:type="gramStart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化灌流患者</w:t>
            </w:r>
            <w:proofErr w:type="gramEnd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1000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多名。主要肾病产品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HA130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血液灌流器销售收入为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59,370.84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万元，同比增长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33.49%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</w:t>
            </w:r>
          </w:p>
          <w:p w14:paraId="7A931A54" w14:textId="77777777" w:rsidR="00CA7A5B" w:rsidRPr="00CA7A5B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、肝病领域：产品覆盖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900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余家三级医院，通过线上开展全国性人工肝技术空中课堂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12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期，观看人数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2.3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万，累计访问量达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13.5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万人次；区域性云课堂共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33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场，观看人数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1.2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万人，累计访问量超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7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万人次。主要肝病产品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BS330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血液灌流器销售收入为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3,363.58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万元，同比增长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14.82%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</w:t>
            </w:r>
          </w:p>
          <w:p w14:paraId="7866021F" w14:textId="77777777" w:rsidR="00CA7A5B" w:rsidRPr="001D5D26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、新冠领域：公司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HA330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HA380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在抗击重型、危重型新冠肺炎上有显著疗效。李兰娟院士联合多名专家发布了《人工肝血液净化系统应用于重型、危重型新型冠状病毒肺炎治疗的专家共识》、国家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卫健委发布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的《新型冠状病毒肺炎诊疗方案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(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试行第六版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)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》都将血液灌流纳入治疗方案。国际重症联盟主席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Vincent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教授和国际肾病研究院主席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Ronco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教授联名在《柳叶刀》上提出使用血液灌流器可清除由新冠肺炎引起的炎症因子。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Ronco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教授与武汉大学中南医院彭志勇教授联合组织了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新冠体外脏器支持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中意在线国际研讨会，共有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69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个国家超过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5000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名专家参加会议，会议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明确健帆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HA330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HA380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等血液吸附可以控制新冠重症患者炎症因子风暴，改善脏器功能。报告期内公司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HA330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HA380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血液灌流器分别实现销售收入为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5,356.30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230.84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万元，同比增长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31.17%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123.23%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DX-10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血液净化机实现销售收入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1,018.69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万元，同比增长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145.29%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</w:t>
            </w:r>
          </w:p>
          <w:p w14:paraId="7C6C57F8" w14:textId="10982E4F" w:rsidR="00CA7A5B" w:rsidRPr="001D5D26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、海外市场：公司产品实现了海外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多个国家的销售，并进入德国、越南、伊朗、土耳其、泰国、拉脱维亚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个国家的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医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保。英国卫生与临床优化研究所（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NICE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）发布新冠指南医疗创新简报，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健帆的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HA330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和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HA380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灌流器作为全球重症新冠抗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疫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新武器被纳入其中。公司的灌流技术和产品也被</w:t>
            </w:r>
            <w:r w:rsidR="00997DFE" w:rsidRPr="001D5D26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摩洛哥、伊朗、泰国、印度、俄罗斯、英国、哥伦比亚、菲律宾</w:t>
            </w:r>
            <w:r w:rsidR="00997DFE" w:rsidRPr="001D5D26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8</w:t>
            </w:r>
            <w:r w:rsidR="00997DFE" w:rsidRPr="001D5D26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国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纳入新冠治疗指南及临床运用中。报告期内境外市场实现销售收入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1,770.34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万元，同比增长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105.96%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；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2020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7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月更是实现海外销售收入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681.67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万元，同比增长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160.33%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</w:t>
            </w:r>
          </w:p>
          <w:p w14:paraId="6377B6E8" w14:textId="77777777" w:rsidR="00CA7A5B" w:rsidRPr="001277D9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（二）研发效率提升、新品快速上市</w:t>
            </w:r>
          </w:p>
          <w:p w14:paraId="02B0DF31" w14:textId="77777777" w:rsidR="00CA7A5B" w:rsidRPr="001D5D26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报告期内公司取得多项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III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类医疗器械注册证：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2019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12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月取得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一次性使用血液灌流器（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KHA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系列）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注册证、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2020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月取得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一次性使用动静脉穿刺针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注册证、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2020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月取得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“Future F20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血液净化设备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注册证。上述注册证的取得进一步丰富了公司的产品种类，与公司现有产品形成差异化市场定位，有利于公司进一步满足血液净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化治疗的临床需求，增强公司的整体竞争力。</w:t>
            </w:r>
          </w:p>
          <w:p w14:paraId="566F0668" w14:textId="77777777" w:rsidR="00CA7A5B" w:rsidRPr="001277D9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（三）质量大提升、生产大扩建</w:t>
            </w:r>
          </w:p>
          <w:p w14:paraId="7C55B90B" w14:textId="4BF94655" w:rsidR="00CA7A5B" w:rsidRPr="001D5D26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公司自主研发并拥有完全自主知识产权的自动化设备，其中磁悬浮输送线、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固液混合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灌装等多项先进技术为首次在国内药械业应用。今年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月公司签订协议，在珠海高新区投资约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15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亿元建设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健帆集团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医疗器械产业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(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血液净化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)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项目，进一步扩充公司现有血液灌流器产能，丰富血液净化产品线，目前已完成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135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亩土地的购置，项目建设已启动。同时，公司拟公开发行不超过人民币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亿元</w:t>
            </w:r>
            <w:r w:rsidR="0018267A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的可转换公司债</w:t>
            </w:r>
            <w:proofErr w:type="gramStart"/>
            <w:r w:rsidR="0018267A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券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，募集资金用于血液净化产品产能扩建项目、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湖北健帆血液透析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粉液产品生产基地项目、学术推广及营销升级项目等三个项目，进一步扩增产能，增强公司整体竞争力。</w:t>
            </w:r>
          </w:p>
          <w:p w14:paraId="7FA8D61A" w14:textId="77777777" w:rsidR="00CA7A5B" w:rsidRPr="001277D9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（四）大力吸收优秀人才</w:t>
            </w:r>
          </w:p>
          <w:p w14:paraId="0B2A8E12" w14:textId="77777777" w:rsidR="00CA7A5B" w:rsidRPr="001D5D26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2020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年上半年公司新引入各类优秀人才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510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余人，其中新引入营销人员约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270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余人。截至目前，公司总员工已超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2200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人，其中营销人员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1100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余人，研发人员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余人。</w:t>
            </w:r>
          </w:p>
          <w:p w14:paraId="7A990E4B" w14:textId="77777777" w:rsidR="00CA7A5B" w:rsidRPr="001277D9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（五）积极</w:t>
            </w:r>
            <w:proofErr w:type="gramStart"/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践行</w:t>
            </w:r>
            <w:proofErr w:type="gramEnd"/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社会责任</w:t>
            </w:r>
          </w:p>
          <w:p w14:paraId="5CC65791" w14:textId="24882080" w:rsidR="00CA7A5B" w:rsidRPr="001D5D26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今年公司累计捐赠近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1900</w:t>
            </w:r>
            <w:r w:rsidR="00875F94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用于助力一线抗击新冠疫情工作，其中包括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200</w:t>
            </w:r>
            <w:r w:rsidR="00875F94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现金和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689</w:t>
            </w:r>
            <w:r w:rsidR="00875F94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医疗物资，以及捐款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1000</w:t>
            </w:r>
            <w:r w:rsidR="00875F94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多万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专项用于为医护人员购置特别定制的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医护人员特定传染病保险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，守护一线抗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疫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医护人员安危，体现了健帆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喝水不忘挖井人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的感恩之心。</w:t>
            </w:r>
          </w:p>
          <w:p w14:paraId="401A4D7D" w14:textId="77777777" w:rsidR="00CA7A5B" w:rsidRPr="001277D9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1277D9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（六）拓展保险版图</w:t>
            </w:r>
          </w:p>
          <w:p w14:paraId="4C1B78E5" w14:textId="77777777" w:rsidR="00CA7A5B" w:rsidRPr="001D5D26" w:rsidRDefault="00CA7A5B" w:rsidP="00FD731B">
            <w:pPr>
              <w:spacing w:after="0" w:line="360" w:lineRule="auto"/>
              <w:ind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公司去年联合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众惠推出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的针对肾病患者的保险产品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肾爱保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凭借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带病投保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+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健康管理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+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保险保障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+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普惠公益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的特点，获得了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“2020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中国保险行业创新方舟奖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。今年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月公司再次推出两款全新保险产品：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灌爱宝、周灌宝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灌爱宝主要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为了打消患者对疗效和治疗风险的顾虑，是血液灌流治疗专属的意外津贴保险，每年只需交纳保费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100-500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元不等，可获保额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1-5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万元。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周灌宝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是血液灌流治疗的专属保险，相当于血液灌流治疗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次卡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，灌流治疗费用赔付可达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次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/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年，能为患者减轻支付压力；若发生治疗意外事故，最高可赔付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万元。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公司将继续在肾病领域打造形成以保险产品为驱动的全产业链，全面地为肾病患者提供保险保障、慢病管理、医疗治疗服务及产品等系列服务和产品。</w:t>
            </w:r>
          </w:p>
          <w:p w14:paraId="15539190" w14:textId="77777777" w:rsidR="00875F94" w:rsidRDefault="00875F94" w:rsidP="00FD731B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  <w:p w14:paraId="42040A98" w14:textId="0ABC6E7A" w:rsidR="00875F94" w:rsidRPr="001277D9" w:rsidRDefault="00875F94" w:rsidP="001277D9">
            <w:pPr>
              <w:spacing w:after="0" w:line="360" w:lineRule="auto"/>
              <w:ind w:firstLineChars="200" w:firstLine="482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1277D9">
              <w:rPr>
                <w:rFonts w:ascii="Times New Roman" w:eastAsiaTheme="minorEastAsia" w:hAnsi="Times New Roman" w:hint="eastAsia"/>
                <w:b/>
                <w:bCs/>
                <w:iCs/>
                <w:sz w:val="24"/>
                <w:szCs w:val="24"/>
              </w:rPr>
              <w:t>二、互动</w:t>
            </w:r>
            <w:r w:rsidR="0094035C" w:rsidRPr="001277D9">
              <w:rPr>
                <w:rFonts w:ascii="Times New Roman" w:eastAsiaTheme="minorEastAsia" w:hAnsi="Times New Roman" w:hint="eastAsia"/>
                <w:b/>
                <w:bCs/>
                <w:iCs/>
                <w:sz w:val="24"/>
                <w:szCs w:val="24"/>
              </w:rPr>
              <w:t>交流</w:t>
            </w:r>
            <w:r w:rsidRPr="001277D9">
              <w:rPr>
                <w:rFonts w:ascii="Times New Roman" w:eastAsiaTheme="minorEastAsia" w:hAnsi="Times New Roman" w:hint="eastAsia"/>
                <w:b/>
                <w:bCs/>
                <w:iCs/>
                <w:sz w:val="24"/>
                <w:szCs w:val="24"/>
              </w:rPr>
              <w:t>环节</w:t>
            </w:r>
          </w:p>
          <w:p w14:paraId="61AD4A8A" w14:textId="77777777" w:rsidR="00CA7A5B" w:rsidRPr="001277D9" w:rsidRDefault="00CA7A5B" w:rsidP="001277D9">
            <w:pPr>
              <w:pStyle w:val="1"/>
              <w:ind w:firstLine="482"/>
              <w:jc w:val="both"/>
              <w:rPr>
                <w:rFonts w:ascii="Times New Roman" w:eastAsiaTheme="minorEastAsia" w:hAnsi="Times New Roman"/>
                <w:iCs/>
                <w:kern w:val="0"/>
                <w:szCs w:val="24"/>
              </w:rPr>
            </w:pP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问题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1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：公司前十大股东中新进的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UBS  AG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股东的基本情况？</w:t>
            </w:r>
          </w:p>
          <w:p w14:paraId="5011864B" w14:textId="2E6AF821" w:rsidR="00CA7A5B" w:rsidRPr="001D5D26" w:rsidRDefault="00CA7A5B" w:rsidP="001D5D26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答：公司新进的第五大股东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UBS AG 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主要是通过大宗交易受让方式成为公司的第五大股东、流通股的第三大股东：今年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日，高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瓴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资本</w:t>
            </w:r>
            <w:r w:rsidR="00DB5345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通过两个账户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承接了公司实际控制人董凡先生通过大宗交易减持的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419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万股股份（除权后为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796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万股，占当时公司总股本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1%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），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日，高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瓴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资本再次承接了董凡先生通过大宗交易减持的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790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万股股份（占公司总股本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0.99%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），至此，高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瓴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资本通过大宗交易受让的方式共计取得公司股份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1586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万股，占公司总股本的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1.99%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，其中高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瓴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资本通过其在境外的瑞银账户（即第五大股东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UBS AG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）持有公司股份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1323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万股，持股比例为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1.6</w:t>
            </w:r>
            <w:r w:rsidR="004F0104" w:rsidRPr="001D5D26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6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%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，其余股份则由高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瓴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资本的境内账户天津礼仁投资持有，而该账户未显示在公司的前十大股东中。</w:t>
            </w:r>
          </w:p>
          <w:p w14:paraId="4B59D63E" w14:textId="330DD6A2" w:rsidR="00CA7A5B" w:rsidRPr="001D5D26" w:rsidRDefault="00CA7A5B" w:rsidP="007271CF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公司实际控制人于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2019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11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月发布了减持股份的预披露公告，高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瓴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资本</w:t>
            </w:r>
            <w:r w:rsidR="00E34A37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对公司进行了充分的调研后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，对公司的经营发展表示高度认可，并看好公司的未来发展前景，因此通过大宗交易受让方式入股了公司。</w:t>
            </w:r>
          </w:p>
          <w:p w14:paraId="507CF10C" w14:textId="77777777" w:rsidR="00CA7A5B" w:rsidRPr="001D5D26" w:rsidRDefault="00CA7A5B" w:rsidP="00CA7A5B">
            <w:pPr>
              <w:spacing w:after="0" w:line="360" w:lineRule="auto"/>
              <w:ind w:firstLineChars="200" w:firstLine="480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  <w:p w14:paraId="6438421B" w14:textId="77777777" w:rsidR="00CA7A5B" w:rsidRPr="001277D9" w:rsidRDefault="00CA7A5B" w:rsidP="001277D9">
            <w:pPr>
              <w:pStyle w:val="1"/>
              <w:ind w:firstLine="482"/>
              <w:jc w:val="both"/>
              <w:rPr>
                <w:rFonts w:ascii="Times New Roman" w:eastAsiaTheme="minorEastAsia" w:hAnsi="Times New Roman"/>
                <w:iCs/>
                <w:kern w:val="0"/>
                <w:szCs w:val="24"/>
              </w:rPr>
            </w:pP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问题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2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：疫情对于公司肝病和肾病业务的影响如何？</w:t>
            </w:r>
          </w:p>
          <w:p w14:paraId="5D4D0376" w14:textId="054F4458" w:rsidR="00CA7A5B" w:rsidRPr="001D5D26" w:rsidRDefault="00CA7A5B" w:rsidP="001D5D26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答：新冠疫情目前对公司仍有一定负面影响，因为公司的产品只能在二级及以上</w:t>
            </w:r>
            <w:r w:rsidR="00FE1385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医院</w:t>
            </w:r>
            <w:bookmarkStart w:id="0" w:name="_GoBack"/>
            <w:bookmarkEnd w:id="0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由医生、护士操作使用，而各医院的医生护士均不同程度地被调派到新冠肺炎的抗击</w:t>
            </w:r>
            <w:r w:rsidR="00F53FE6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防治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中，那血液透析和灌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流业务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肯定受到一定影响。整体来看，对公司肾科业务的影响有限，因为血液透析和灌流对血透患者是刚需，上半年肾科业务在疫情影响下仍实现了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33%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以上的增长，也证明了肾科业务在疫情下的刚性需求。而疫情对肝科的影响要大很多，像北京、辽宁、新疆等地由于近期疫情反复，部分医院的传染科到现在仍未开科，没办法收治病人。</w:t>
            </w:r>
            <w:r w:rsidR="00482F35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即使困难</w:t>
            </w:r>
            <w:r w:rsidR="00482F35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重重，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公司营销团队还是</w:t>
            </w:r>
            <w:r w:rsidR="00482F35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全力以赴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推进各项工作，上半年</w:t>
            </w:r>
            <w:r w:rsidR="006A67CE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取得了靓丽的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业绩</w:t>
            </w:r>
            <w:r w:rsidR="00DE7BBA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随着国内疫情的逐渐控制，公司也有信心在下半年实现</w:t>
            </w:r>
            <w:r w:rsidR="00482F35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快速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增长。</w:t>
            </w:r>
          </w:p>
          <w:p w14:paraId="6E8AB728" w14:textId="77777777" w:rsidR="00CA7A5B" w:rsidRPr="001277D9" w:rsidRDefault="00CA7A5B" w:rsidP="001277D9">
            <w:pPr>
              <w:spacing w:after="0" w:line="360" w:lineRule="auto"/>
              <w:ind w:firstLineChars="200" w:firstLine="482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</w:p>
          <w:p w14:paraId="5AA16BF2" w14:textId="77777777" w:rsidR="00CA7A5B" w:rsidRPr="001277D9" w:rsidRDefault="00CA7A5B" w:rsidP="001277D9">
            <w:pPr>
              <w:pStyle w:val="1"/>
              <w:ind w:firstLine="482"/>
              <w:jc w:val="both"/>
              <w:rPr>
                <w:rFonts w:ascii="Times New Roman" w:eastAsiaTheme="minorEastAsia" w:hAnsi="Times New Roman"/>
                <w:iCs/>
                <w:kern w:val="0"/>
                <w:szCs w:val="24"/>
              </w:rPr>
            </w:pP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问题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3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：公司海外增速较快的原因？</w:t>
            </w:r>
          </w:p>
          <w:p w14:paraId="7DB70AD6" w14:textId="1608E6FA" w:rsidR="00CA7A5B" w:rsidRPr="00CA7A5B" w:rsidRDefault="00CA7A5B" w:rsidP="001D5D26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答：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今年疫情对海外业绩的增长有较大的促进作用，但也离不开公司多年在海外的推广和积累。</w:t>
            </w:r>
            <w:r w:rsidR="00E621F0"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目前公司技术</w:t>
            </w:r>
            <w:r w:rsidR="0073665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与产品</w:t>
            </w:r>
            <w:r w:rsidR="00E621F0"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已得到世界顶级的行业专家教授的认可</w:t>
            </w:r>
            <w:r w:rsidR="00E621F0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</w:t>
            </w:r>
            <w:r w:rsidR="00E621F0" w:rsidRPr="00E621F0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国际重症联盟主席</w:t>
            </w:r>
            <w:r w:rsidR="00E621F0" w:rsidRPr="00E621F0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Vincent</w:t>
            </w:r>
            <w:r w:rsidR="00E621F0" w:rsidRPr="00E621F0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教授和国际肾病研究院主席</w:t>
            </w:r>
            <w:proofErr w:type="spellStart"/>
            <w:r w:rsidR="00E621F0" w:rsidRPr="00E621F0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Ronco</w:t>
            </w:r>
            <w:proofErr w:type="spellEnd"/>
            <w:r w:rsidR="00E621F0" w:rsidRPr="00E621F0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教授联名在《柳叶刀》上提出使用血液灌流器可清除由新冠肺炎引起的炎症因子。</w:t>
            </w:r>
            <w:r w:rsidR="00DE7BBA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公司</w:t>
            </w:r>
            <w:r w:rsidR="00E621F0" w:rsidRPr="00E621F0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的血液灌流技术已</w:t>
            </w:r>
            <w:r w:rsidR="00E621F0" w:rsidRPr="006107F3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纳入</w:t>
            </w:r>
            <w:r w:rsidR="006107F3" w:rsidRPr="006107F3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摩洛哥、伊朗、泰国、印度、俄罗斯、英国、哥伦比亚、菲律宾</w:t>
            </w:r>
            <w:r w:rsidR="00175138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等</w:t>
            </w:r>
            <w:r w:rsidR="00E621F0" w:rsidRPr="006107F3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8</w:t>
            </w:r>
            <w:r w:rsidR="00E621F0" w:rsidRPr="006107F3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个国家的新冠治疗技术应用指南。</w:t>
            </w:r>
            <w:r w:rsidRPr="006107F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目前公司产品已经在</w:t>
            </w:r>
            <w:r w:rsidRPr="006107F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60</w:t>
            </w:r>
            <w:r w:rsidRPr="006107F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多个国家实现了销售，并在</w:t>
            </w:r>
            <w:r w:rsidR="003D4A2A" w:rsidRPr="003D4A2A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德国、越南、伊朗、土耳其、泰国、拉脱维亚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个国家进入</w:t>
            </w:r>
            <w:proofErr w:type="gramStart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医</w:t>
            </w:r>
            <w:proofErr w:type="gramEnd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保。近几年公司在海外市场进行了</w:t>
            </w:r>
            <w:r w:rsidR="00E621F0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很多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的探索</w:t>
            </w:r>
            <w:r w:rsidR="0098359E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，由于疫情影响无法出国，上半年公司主要通过以线</w:t>
            </w:r>
            <w:proofErr w:type="gramStart"/>
            <w:r w:rsidR="0098359E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上方式</w:t>
            </w:r>
            <w:proofErr w:type="gramEnd"/>
            <w:r w:rsidR="0098359E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推广，把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搜集的海外治疗病例发送给经销商和医院的客户，通过互相学习和借鉴，也取得了不错的推广效果，预计海外市场未来会继续保持较快的增速。</w:t>
            </w:r>
          </w:p>
          <w:p w14:paraId="7227B178" w14:textId="77777777" w:rsidR="00CA7A5B" w:rsidRPr="001277D9" w:rsidRDefault="00CA7A5B" w:rsidP="001277D9">
            <w:pPr>
              <w:spacing w:after="0" w:line="360" w:lineRule="auto"/>
              <w:ind w:firstLineChars="200" w:firstLine="482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</w:p>
          <w:p w14:paraId="77D04100" w14:textId="77777777" w:rsidR="00CA7A5B" w:rsidRPr="001D5D26" w:rsidRDefault="00CA7A5B" w:rsidP="007271CF">
            <w:pPr>
              <w:pStyle w:val="1"/>
              <w:ind w:leftChars="230" w:left="506" w:firstLineChars="0" w:firstLine="0"/>
              <w:jc w:val="both"/>
              <w:rPr>
                <w:rFonts w:ascii="Times New Roman" w:eastAsiaTheme="minorEastAsia" w:hAnsi="Times New Roman"/>
                <w:b w:val="0"/>
                <w:iCs/>
                <w:kern w:val="0"/>
                <w:szCs w:val="24"/>
              </w:rPr>
            </w:pP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问题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4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：公司海外市场的主要产品、推广模式和未来推广计划？</w:t>
            </w:r>
          </w:p>
          <w:p w14:paraId="0B5A994F" w14:textId="45D35588" w:rsidR="00CA7A5B" w:rsidRPr="00CA7A5B" w:rsidRDefault="00CA7A5B" w:rsidP="001D5D26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答：</w:t>
            </w:r>
            <w:r w:rsidR="00BE2374" w:rsidRPr="00BE2374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公司海外销售的产品主要是</w:t>
            </w:r>
            <w:r w:rsidR="00BE2374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重症产品</w:t>
            </w:r>
            <w:r w:rsidR="00E20DBB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HA330</w:t>
            </w:r>
            <w:r w:rsidR="00E20DBB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、</w:t>
            </w:r>
            <w:r w:rsidR="00E20DBB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HA380</w:t>
            </w:r>
            <w:r w:rsidR="00E20DBB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、</w:t>
            </w:r>
            <w:r w:rsidR="00E20DBB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DPMAS</w:t>
            </w:r>
            <w:r w:rsidR="00BE2374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与肾病产品</w:t>
            </w:r>
            <w:r w:rsidR="00E20DBB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HA130</w:t>
            </w:r>
            <w:r w:rsidR="00C07B04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等</w:t>
            </w:r>
            <w:r w:rsidR="00BE2374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，</w:t>
            </w:r>
            <w:r w:rsidR="00E20DBB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两者</w:t>
            </w:r>
            <w:r w:rsidR="00BE2374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销售收入</w:t>
            </w:r>
            <w:r w:rsidR="00F6030C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约</w:t>
            </w:r>
            <w:r w:rsidR="00BE2374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各占</w:t>
            </w:r>
            <w:r w:rsidR="00E32378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一半</w:t>
            </w:r>
            <w:r w:rsidR="00767E7A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。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公司产品在不同国家主销的种类会有一定的差异，</w:t>
            </w:r>
            <w:r w:rsidR="00251083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其中重症产品主要在欧洲国家使用，</w:t>
            </w:r>
            <w:r w:rsidR="00052E29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肾病</w:t>
            </w:r>
            <w:r w:rsidR="00251083">
              <w:rPr>
                <w:rFonts w:ascii="Times New Roman" w:eastAsiaTheme="minorEastAsia" w:hAnsi="Times New Roman" w:hint="eastAsia"/>
                <w:bCs/>
                <w:iCs/>
                <w:sz w:val="24"/>
                <w:szCs w:val="24"/>
              </w:rPr>
              <w:t>产品主要在东南亚国家使用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</w:t>
            </w:r>
          </w:p>
          <w:p w14:paraId="2DB82C5D" w14:textId="6F872CDC" w:rsidR="00CA7A5B" w:rsidRPr="00CA7A5B" w:rsidRDefault="00CA7A5B" w:rsidP="007271CF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近几年来公司在海外市场进行了</w:t>
            </w:r>
            <w:r w:rsidR="00142BA9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很多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的探索。在推广方面，公司借鉴国内成功的学术推广</w:t>
            </w:r>
            <w:r w:rsidR="003E503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模式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，继续坚持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高举高打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</w:t>
            </w:r>
            <w:r w:rsidR="00A96AF2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策略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，自上而下推广公司</w:t>
            </w:r>
            <w:r w:rsidR="00767E7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的血液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灌流技术和产品。另一方面，公司未来也会将加大人力资源的投入，加强与各地经销商的合作。目前与外国经销商合作方式有两种，一种是合作模式，即公司前期对经销商进行培训后，再由当地经销商承担主要的市场开发工作；另一种则是本土化培养，公司在部分地区（如越南）则开发本土化的销售团队进行推广工作，也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取得了不错的效果。</w:t>
            </w:r>
          </w:p>
          <w:p w14:paraId="0D8ABC43" w14:textId="6ED44F18" w:rsidR="00CA7A5B" w:rsidRPr="00CA7A5B" w:rsidRDefault="00CA7A5B" w:rsidP="007271CF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2020</w:t>
            </w:r>
            <w:r w:rsidR="006B3A40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年将是公司海外推广的大年，未来公司海外推广将继续保持重症与肾病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齐头并进的策略。公司有信心未来海外市场一直保持高速发展。</w:t>
            </w:r>
          </w:p>
          <w:p w14:paraId="1E650CF7" w14:textId="77777777" w:rsidR="00CA7A5B" w:rsidRPr="001D5D26" w:rsidRDefault="00CA7A5B" w:rsidP="00CA7A5B">
            <w:pPr>
              <w:spacing w:after="0" w:line="360" w:lineRule="auto"/>
              <w:ind w:firstLineChars="200" w:firstLine="480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  <w:p w14:paraId="25AF232B" w14:textId="18A2B4EE" w:rsidR="00CA7A5B" w:rsidRPr="001277D9" w:rsidRDefault="00CA7A5B" w:rsidP="001277D9">
            <w:pPr>
              <w:pStyle w:val="1"/>
              <w:ind w:firstLine="482"/>
              <w:jc w:val="both"/>
              <w:rPr>
                <w:rFonts w:ascii="Times New Roman" w:eastAsiaTheme="minorEastAsia" w:hAnsi="Times New Roman"/>
                <w:iCs/>
                <w:kern w:val="0"/>
                <w:szCs w:val="24"/>
              </w:rPr>
            </w:pP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问题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5</w:t>
            </w:r>
            <w:r w:rsidR="004B1903"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：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在湖北建设血液透析粉液生产基地是出于何种考虑？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 xml:space="preserve"> </w:t>
            </w:r>
          </w:p>
          <w:p w14:paraId="4AE4EE61" w14:textId="539C6931" w:rsidR="00CA7A5B" w:rsidRPr="001D5D26" w:rsidRDefault="00CA7A5B" w:rsidP="001D5D26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答：公司始终坚持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以客户为导向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，不断完善血液净化全产业链。公司的客户主要是</w:t>
            </w:r>
            <w:r w:rsidR="000C26F6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尿毒症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患者，透析粉液是</w:t>
            </w:r>
            <w:r w:rsidR="000C26F6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尿毒症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患者血液透析治疗中的主要产品，为进一步满足</w:t>
            </w:r>
            <w:r w:rsidR="00474708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尿毒症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患者的治疗需求，公司也会补齐透析粉液及其他</w:t>
            </w:r>
            <w:r w:rsidR="006B6E51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肾科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产品，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完善全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产业链。目前公司血液透析粉液产品主要是通过子公司天津标准生产，由于产能限制，目前仍处于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以产定销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的状态。由于血液透析粉液产品具有一定的运输半径，行业内运输半径一般是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800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公里以内。出于此考虑，公司在湖北黄冈投资建设了血液透析粉液生产基地，也在天津投资建设透析粉液生产基地，形成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华中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+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华北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的产能布局，能更好地满足客户的治疗需求，达产后预计可实现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亿元销售规模。</w:t>
            </w:r>
          </w:p>
          <w:p w14:paraId="4B99DD33" w14:textId="77777777" w:rsidR="00CA7A5B" w:rsidRPr="001D5D26" w:rsidRDefault="00CA7A5B" w:rsidP="007271CF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透析粉液产品的技术门槛不高，公司完全有能力为市场提供高质量的透析粉液产品。透析粉液的市场竞争比较激烈，但是公司具有独特的竞争优势：一方面，公司具有独特的市场推广优势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——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透析粉液产品的客户与公司现有客户是重叠的，公司可以利用现有的销售网络来进行推广，在销售费用方面具有很大的竞争优势。另一方面，透析粉液产品能与公司的血液灌流相关产品产生协同作用，通过为客户提供高质量的产品和完善的服务，不断增强血液净化领域客户的粘性。</w:t>
            </w:r>
          </w:p>
          <w:p w14:paraId="68C7BED3" w14:textId="77777777" w:rsidR="00CA7A5B" w:rsidRPr="00CA7A5B" w:rsidRDefault="00CA7A5B" w:rsidP="00CA7A5B">
            <w:pPr>
              <w:spacing w:after="0" w:line="360" w:lineRule="auto"/>
              <w:ind w:firstLine="482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  <w:p w14:paraId="51F08190" w14:textId="77777777" w:rsidR="00CA7A5B" w:rsidRPr="001277D9" w:rsidRDefault="00CA7A5B" w:rsidP="001277D9">
            <w:pPr>
              <w:pStyle w:val="1"/>
              <w:ind w:firstLine="482"/>
              <w:jc w:val="both"/>
              <w:rPr>
                <w:rFonts w:ascii="Times New Roman" w:eastAsiaTheme="minorEastAsia" w:hAnsi="Times New Roman"/>
                <w:iCs/>
                <w:kern w:val="0"/>
                <w:szCs w:val="24"/>
              </w:rPr>
            </w:pP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问题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6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：肝病产品除了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BS330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还有哪些产品？肝病领域上半年受疫情影响程度有多大？下半年的发展展望？</w:t>
            </w:r>
          </w:p>
          <w:p w14:paraId="12A75425" w14:textId="2ED1D21D" w:rsidR="00CA7A5B" w:rsidRPr="001D5D26" w:rsidRDefault="00CA7A5B" w:rsidP="007271C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   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答：公司的肝病产品主要有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HA330-II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、血浆分离器、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BS330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等，上半年整体有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8000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多万的</w:t>
            </w:r>
            <w:r w:rsidR="00D94CD1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销售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收入，其中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BS330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的销售收入有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3300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多万。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BS300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是公司肝病的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标志性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产品，其增长基本上代表着肝病业务的增长情况。值得强调的是，上半年公司肝病领域的增长非常不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具有代表性，是今年疫情影响下的特殊情况，</w:t>
            </w:r>
            <w:r w:rsidR="00415E4B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例如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目前</w:t>
            </w:r>
            <w:r w:rsidR="00415E4B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仍有部分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医院的传染科仍未开科。随着疫情防控和医院门诊的逐渐恢复，公司对肝科的未来发展非常有信心，</w:t>
            </w:r>
            <w:r w:rsidR="001131E8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未来肝科业务将与肾科业务并驾齐驱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</w:t>
            </w:r>
          </w:p>
          <w:p w14:paraId="3853D952" w14:textId="77777777" w:rsidR="00CA7A5B" w:rsidRPr="001D5D26" w:rsidRDefault="00CA7A5B" w:rsidP="00CA7A5B">
            <w:pPr>
              <w:spacing w:after="0" w:line="360" w:lineRule="auto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  <w:p w14:paraId="03C4FC61" w14:textId="77777777" w:rsidR="00CA7A5B" w:rsidRPr="001277D9" w:rsidRDefault="00CA7A5B" w:rsidP="001277D9">
            <w:pPr>
              <w:pStyle w:val="1"/>
              <w:ind w:firstLine="482"/>
              <w:jc w:val="both"/>
              <w:rPr>
                <w:rFonts w:ascii="Times New Roman" w:eastAsiaTheme="minorEastAsia" w:hAnsi="Times New Roman"/>
                <w:iCs/>
                <w:kern w:val="0"/>
                <w:szCs w:val="24"/>
              </w:rPr>
            </w:pP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问题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7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：公司将采取怎样的措施推进疗程化项目？</w:t>
            </w:r>
          </w:p>
          <w:p w14:paraId="3712C3B2" w14:textId="32108429" w:rsidR="00CA7A5B" w:rsidRPr="001D5D26" w:rsidRDefault="00CA7A5B" w:rsidP="001D5D26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答：公司于今年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月正式启动肾科的疗程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化推广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项目，前期已有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1000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余名患者接受疗程化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每周一次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的血液灌流治疗。本次疗程化项目是基于公司已取得的两个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HA130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RCT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研究成果来开展的，部分患者是从两个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RCT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研究的入组患者中直接导入到公司的疗程化项目，而这些患者的治疗效果直接可以形成示范作用，吸收更多的患者来接受每周一次的规范化治疗。公司也筛选了部分大省的大医院作为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COE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（即疗程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化治疗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卓越治疗中心），通过技术指导、真实</w:t>
            </w:r>
            <w:r w:rsidR="004C2DE1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事件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研究等方案培养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COE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中心，由点及面，形成更大覆盖面的示范作用，从而取得更好的推广效果。公司已成立了专门推广组，并将推广指标具体落实到各个省区负责人及</w:t>
            </w:r>
            <w:r w:rsidR="00086BBA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推广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人员的考核指标中。</w:t>
            </w:r>
          </w:p>
          <w:p w14:paraId="65EA4ED1" w14:textId="7F66FE87" w:rsidR="00CA7A5B" w:rsidRPr="001D5D26" w:rsidRDefault="00CA7A5B" w:rsidP="007271CF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另一方面，公司新推出的保险产品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灌爱宝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周灌宝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也是本次肾科疗程化项目中的有力推广工具，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灌爱宝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是为了打消患者对疗效和治疗风险的顾虑，患者每年只需支付不超过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500</w:t>
            </w:r>
            <w:r w:rsidR="00580FC2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元保费，若每周一次接受血液灌流治疗后基准值未下降</w:t>
            </w:r>
            <w:r w:rsidR="00CD0F37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</w:t>
            </w:r>
            <w:r w:rsidR="00580FC2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未达到</w:t>
            </w:r>
            <w:r w:rsidR="00CD0F37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应有治疗效果</w:t>
            </w:r>
            <w:r w:rsidR="00580FC2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，则可获得前期血液灌流治疗</w:t>
            </w:r>
            <w:r w:rsidR="001854F3"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费用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的赔付，最高可获赔付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万元。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周灌宝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相当于血液灌流治疗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次卡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，灌流治疗费用赔付可达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次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/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年，能为患者减轻支付压力；若发生治疗意外事故，最高可赔付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万元。公司于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月初正式推出这两款保险产品，已经在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月下旬分别实现</w:t>
            </w:r>
            <w:proofErr w:type="gramStart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了首单销售</w:t>
            </w:r>
            <w:proofErr w:type="gramEnd"/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。公司有信心肾科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疗程化推广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项目和公司新保险产品相辅相成、会有更快速的发展。</w:t>
            </w:r>
          </w:p>
          <w:p w14:paraId="68DE88E1" w14:textId="77777777" w:rsidR="00CA7A5B" w:rsidRPr="001D5D26" w:rsidRDefault="00CA7A5B" w:rsidP="001D5D26">
            <w:pPr>
              <w:pStyle w:val="1"/>
              <w:ind w:firstLine="480"/>
              <w:jc w:val="both"/>
              <w:rPr>
                <w:rFonts w:ascii="Times New Roman" w:eastAsiaTheme="minorEastAsia" w:hAnsi="Times New Roman"/>
                <w:b w:val="0"/>
                <w:iCs/>
                <w:kern w:val="0"/>
                <w:szCs w:val="24"/>
              </w:rPr>
            </w:pPr>
          </w:p>
          <w:p w14:paraId="3C362197" w14:textId="77777777" w:rsidR="00CA7A5B" w:rsidRPr="001277D9" w:rsidRDefault="00CA7A5B" w:rsidP="001277D9">
            <w:pPr>
              <w:pStyle w:val="1"/>
              <w:ind w:firstLine="482"/>
              <w:jc w:val="both"/>
              <w:rPr>
                <w:rFonts w:ascii="Times New Roman" w:eastAsiaTheme="minorEastAsia" w:hAnsi="Times New Roman"/>
                <w:iCs/>
                <w:kern w:val="0"/>
                <w:szCs w:val="24"/>
              </w:rPr>
            </w:pP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问题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8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：公司销售团队的建设情况如何？</w:t>
            </w:r>
          </w:p>
          <w:p w14:paraId="03B36F62" w14:textId="77777777" w:rsidR="00CA7A5B" w:rsidRPr="00CA7A5B" w:rsidRDefault="00CA7A5B" w:rsidP="007271CF">
            <w:pPr>
              <w:spacing w:after="0" w:line="360" w:lineRule="auto"/>
              <w:ind w:firstLine="482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答：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2020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年上半年，公司新引入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210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余名销售人员，同时公司对销售人员有严格的考核体系，在吸收新鲜血液加入团队的同时也保持一定的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新陈代谢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，以保持销售团队的活力。上半年公司销售人员净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增加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140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余名，目前销售团队共有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1100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余人。公司将坚持深耕政策，增大人员投入，不断壮大公司肾科、肝科、重症等团队，让公司的产品救助更多的患者。</w:t>
            </w:r>
          </w:p>
          <w:p w14:paraId="15C4A7B2" w14:textId="77777777" w:rsidR="00CA7A5B" w:rsidRPr="001D5D26" w:rsidRDefault="00CA7A5B" w:rsidP="007271CF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  <w:p w14:paraId="346207C5" w14:textId="77777777" w:rsidR="00CA7A5B" w:rsidRPr="001277D9" w:rsidRDefault="00CA7A5B" w:rsidP="001277D9">
            <w:pPr>
              <w:pStyle w:val="1"/>
              <w:ind w:firstLine="482"/>
              <w:jc w:val="both"/>
              <w:rPr>
                <w:rFonts w:ascii="Times New Roman" w:eastAsiaTheme="minorEastAsia" w:hAnsi="Times New Roman"/>
                <w:iCs/>
                <w:kern w:val="0"/>
                <w:szCs w:val="24"/>
              </w:rPr>
            </w:pP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问题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9</w:t>
            </w:r>
            <w:r w:rsidRPr="001277D9">
              <w:rPr>
                <w:rFonts w:ascii="Times New Roman" w:eastAsiaTheme="minorEastAsia" w:hAnsi="Times New Roman"/>
                <w:iCs/>
                <w:kern w:val="0"/>
                <w:szCs w:val="24"/>
              </w:rPr>
              <w:t>：公司未来的发展规划具体是怎样的？</w:t>
            </w:r>
          </w:p>
          <w:p w14:paraId="616F9253" w14:textId="77777777" w:rsidR="00CA7A5B" w:rsidRPr="001D5D26" w:rsidRDefault="00CA7A5B" w:rsidP="001D5D26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答：未来五年公司将继续聚焦肾病和肝病这两大领域，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继续把产品做深做透，</w:t>
            </w: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优先在肾病和肝病领域内探索和打造血液净化全产业链，涵盖包括医疗设备、耗材、医疗服务，慢病管理到保险支付等。</w:t>
            </w:r>
          </w:p>
          <w:p w14:paraId="7A84430E" w14:textId="1D2B4FE8" w:rsidR="00CA7A5B" w:rsidRPr="00CA7A5B" w:rsidRDefault="00CA7A5B" w:rsidP="007271CF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首先，在产品研发制造方面，公司现有产品仍有很大发展空间。目前公司产品的渗透率还很低，不断研发制造更多的产品，继续把产品做深做透仍是未来最主要的增长点。第二，在医疗服务方面，公司将持续关注</w:t>
            </w:r>
            <w:r w:rsidR="00E06A42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相关机会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</w:t>
            </w:r>
            <w:r w:rsidR="00B86484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可以在业务上</w:t>
            </w:r>
            <w:r w:rsidR="00873DE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进行</w:t>
            </w:r>
            <w:r w:rsidR="00B86484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紧密合作，也可以在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遇到好机会</w:t>
            </w:r>
            <w:r w:rsidR="00B86484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时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进入</w:t>
            </w:r>
            <w:r w:rsidR="00197112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相关医疗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服务领域。第三，在慢病管理方面，通过子公司爱多多为肾病患者提供慢病管理服务</w:t>
            </w:r>
            <w:r w:rsidR="00E7797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，增强客户粘性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。目前慢病管理服务主要面向肾病领域患者，未来其成功模式可复制到肝病等其他领域。第四是金融支付领域，即保险支付。公司两年前就开始积极布局肾病保险领域，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2019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7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月成功发布了全国首个带病投保保险产品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肾爱保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、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2020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年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月再次推出两个新保险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“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灌爱宝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”“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周灌宝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”</w:t>
            </w: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。未来公司将在肾病领域形成以保险产品为驱动的全产业链，全面地为肾病患者提供保险保障、慢病管理、医疗治疗服务及产品等系列服务和产品。并且该模式在将来也可复制到肝病及其他病种领域，未来大有可为。</w:t>
            </w:r>
          </w:p>
          <w:p w14:paraId="39E23AAF" w14:textId="03150790" w:rsidR="00642B1C" w:rsidRDefault="00CA7A5B" w:rsidP="007271CF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同时，公司也会利用好上市公司平台，借助资本市场力量，并通过外延并购方式，不断完善公司产业链，打造具有</w:t>
            </w:r>
            <w:proofErr w:type="gramStart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健帆特色</w:t>
            </w:r>
            <w:proofErr w:type="gramEnd"/>
            <w:r w:rsidRPr="00CA7A5B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的多位一体的血液净化产业链。</w:t>
            </w:r>
          </w:p>
          <w:p w14:paraId="4FD0AC44" w14:textId="77777777" w:rsidR="001D5D26" w:rsidRPr="001D5D26" w:rsidRDefault="001D5D26" w:rsidP="001D5D26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  <w:p w14:paraId="375B260D" w14:textId="77777777" w:rsidR="00FA2AF1" w:rsidRPr="001D5D26" w:rsidRDefault="0083241B" w:rsidP="001D5D26">
            <w:pPr>
              <w:spacing w:after="0" w:line="360" w:lineRule="auto"/>
              <w:ind w:firstLineChars="200" w:firstLine="480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1D5D2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接待过程中，公司相关领导与投资者进行了充分的交流与沟通，严格按照《信息披露管理制度》等规定，保证信息披露的真实、准确、完整、及时、公平，未出现未公开重大信息泄露等情况。</w:t>
            </w:r>
          </w:p>
        </w:tc>
      </w:tr>
      <w:tr w:rsidR="00FA2AF1" w:rsidRPr="00C97C02" w14:paraId="2F3306FA" w14:textId="77777777" w:rsidTr="001D5D26">
        <w:trPr>
          <w:trHeight w:val="2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75BF" w14:textId="77777777" w:rsidR="00FA2AF1" w:rsidRPr="00C97C02" w:rsidRDefault="0083241B" w:rsidP="008C1548">
            <w:pPr>
              <w:spacing w:after="0" w:line="360" w:lineRule="auto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EFA9" w14:textId="530DD244" w:rsidR="00FA2AF1" w:rsidRPr="00C97C02" w:rsidRDefault="0083241B" w:rsidP="0016681A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2020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年</w:t>
            </w:r>
            <w:r w:rsidR="0016681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8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月</w:t>
            </w:r>
            <w:r w:rsidR="0016681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28</w:t>
            </w:r>
            <w:r w:rsidRPr="00C97C02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日</w:t>
            </w:r>
          </w:p>
        </w:tc>
      </w:tr>
    </w:tbl>
    <w:p w14:paraId="29914225" w14:textId="77777777" w:rsidR="00FA2AF1" w:rsidRPr="0016681A" w:rsidRDefault="00FA2AF1" w:rsidP="003C7EDD"/>
    <w:sectPr w:rsidR="00FA2AF1" w:rsidRPr="0016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0947" w14:textId="77777777" w:rsidR="00CE78F0" w:rsidRDefault="00CE78F0" w:rsidP="00FE3CD0">
      <w:pPr>
        <w:spacing w:after="0"/>
      </w:pPr>
      <w:r>
        <w:separator/>
      </w:r>
    </w:p>
  </w:endnote>
  <w:endnote w:type="continuationSeparator" w:id="0">
    <w:p w14:paraId="246B2BE0" w14:textId="77777777" w:rsidR="00CE78F0" w:rsidRDefault="00CE78F0" w:rsidP="00FE3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CF815" w14:textId="77777777" w:rsidR="00CE78F0" w:rsidRDefault="00CE78F0" w:rsidP="00FE3CD0">
      <w:pPr>
        <w:spacing w:after="0"/>
      </w:pPr>
      <w:r>
        <w:separator/>
      </w:r>
    </w:p>
  </w:footnote>
  <w:footnote w:type="continuationSeparator" w:id="0">
    <w:p w14:paraId="03C818C0" w14:textId="77777777" w:rsidR="00CE78F0" w:rsidRDefault="00CE78F0" w:rsidP="00FE3C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F1"/>
    <w:rsid w:val="00007DC2"/>
    <w:rsid w:val="000151B1"/>
    <w:rsid w:val="000200C6"/>
    <w:rsid w:val="00023351"/>
    <w:rsid w:val="000264DE"/>
    <w:rsid w:val="0005074A"/>
    <w:rsid w:val="00052E29"/>
    <w:rsid w:val="000531A8"/>
    <w:rsid w:val="000533DA"/>
    <w:rsid w:val="00054574"/>
    <w:rsid w:val="0007090F"/>
    <w:rsid w:val="00085DFE"/>
    <w:rsid w:val="00086BBA"/>
    <w:rsid w:val="000A0ACB"/>
    <w:rsid w:val="000A6804"/>
    <w:rsid w:val="000C048D"/>
    <w:rsid w:val="000C26F6"/>
    <w:rsid w:val="000C6020"/>
    <w:rsid w:val="000D3D1D"/>
    <w:rsid w:val="000E05CD"/>
    <w:rsid w:val="000E0F8D"/>
    <w:rsid w:val="000E230A"/>
    <w:rsid w:val="000E7059"/>
    <w:rsid w:val="000E7707"/>
    <w:rsid w:val="00111999"/>
    <w:rsid w:val="00111D04"/>
    <w:rsid w:val="001131E8"/>
    <w:rsid w:val="001277D9"/>
    <w:rsid w:val="0014275F"/>
    <w:rsid w:val="00142BA9"/>
    <w:rsid w:val="00146A53"/>
    <w:rsid w:val="00150559"/>
    <w:rsid w:val="00154716"/>
    <w:rsid w:val="0015479B"/>
    <w:rsid w:val="0015639D"/>
    <w:rsid w:val="00160E8C"/>
    <w:rsid w:val="001636C7"/>
    <w:rsid w:val="00165AD4"/>
    <w:rsid w:val="0016681A"/>
    <w:rsid w:val="001679B5"/>
    <w:rsid w:val="00174EA5"/>
    <w:rsid w:val="00175138"/>
    <w:rsid w:val="00175FB2"/>
    <w:rsid w:val="00176215"/>
    <w:rsid w:val="00176E27"/>
    <w:rsid w:val="001815C9"/>
    <w:rsid w:val="0018267A"/>
    <w:rsid w:val="001838E4"/>
    <w:rsid w:val="00184E5B"/>
    <w:rsid w:val="001854F3"/>
    <w:rsid w:val="001859EF"/>
    <w:rsid w:val="00194530"/>
    <w:rsid w:val="001955DC"/>
    <w:rsid w:val="00195922"/>
    <w:rsid w:val="00196A6C"/>
    <w:rsid w:val="00197112"/>
    <w:rsid w:val="001A1304"/>
    <w:rsid w:val="001A3ABF"/>
    <w:rsid w:val="001C18CE"/>
    <w:rsid w:val="001C4706"/>
    <w:rsid w:val="001D1A15"/>
    <w:rsid w:val="001D3EB9"/>
    <w:rsid w:val="001D51DF"/>
    <w:rsid w:val="001D5D26"/>
    <w:rsid w:val="001D5D34"/>
    <w:rsid w:val="001E2342"/>
    <w:rsid w:val="001F1D21"/>
    <w:rsid w:val="001F36BC"/>
    <w:rsid w:val="001F5877"/>
    <w:rsid w:val="00200C08"/>
    <w:rsid w:val="002037E1"/>
    <w:rsid w:val="00207130"/>
    <w:rsid w:val="002074B1"/>
    <w:rsid w:val="002106FD"/>
    <w:rsid w:val="00212600"/>
    <w:rsid w:val="00221FE6"/>
    <w:rsid w:val="00227AA3"/>
    <w:rsid w:val="002346EA"/>
    <w:rsid w:val="0024456D"/>
    <w:rsid w:val="00251083"/>
    <w:rsid w:val="00252DC7"/>
    <w:rsid w:val="00254994"/>
    <w:rsid w:val="002865FE"/>
    <w:rsid w:val="00293C0C"/>
    <w:rsid w:val="002A29AC"/>
    <w:rsid w:val="002B184D"/>
    <w:rsid w:val="002B2269"/>
    <w:rsid w:val="002C2383"/>
    <w:rsid w:val="002C2C86"/>
    <w:rsid w:val="002D0237"/>
    <w:rsid w:val="002D0F4F"/>
    <w:rsid w:val="002E2EB5"/>
    <w:rsid w:val="002E6733"/>
    <w:rsid w:val="00300475"/>
    <w:rsid w:val="00304021"/>
    <w:rsid w:val="003100BA"/>
    <w:rsid w:val="003108DE"/>
    <w:rsid w:val="00312A20"/>
    <w:rsid w:val="003139D2"/>
    <w:rsid w:val="003167E2"/>
    <w:rsid w:val="003241A9"/>
    <w:rsid w:val="00334C5F"/>
    <w:rsid w:val="003522B5"/>
    <w:rsid w:val="00352972"/>
    <w:rsid w:val="00352A18"/>
    <w:rsid w:val="00362DEB"/>
    <w:rsid w:val="0036653F"/>
    <w:rsid w:val="003700EC"/>
    <w:rsid w:val="00380403"/>
    <w:rsid w:val="0039187F"/>
    <w:rsid w:val="00393677"/>
    <w:rsid w:val="003A274F"/>
    <w:rsid w:val="003B3CAD"/>
    <w:rsid w:val="003B5080"/>
    <w:rsid w:val="003C0A8D"/>
    <w:rsid w:val="003C2C6F"/>
    <w:rsid w:val="003C7EDD"/>
    <w:rsid w:val="003D4A2A"/>
    <w:rsid w:val="003D6847"/>
    <w:rsid w:val="003D7732"/>
    <w:rsid w:val="003E4B86"/>
    <w:rsid w:val="003E503A"/>
    <w:rsid w:val="003E70BA"/>
    <w:rsid w:val="00401F00"/>
    <w:rsid w:val="0041317A"/>
    <w:rsid w:val="00415BCC"/>
    <w:rsid w:val="00415E4B"/>
    <w:rsid w:val="00416150"/>
    <w:rsid w:val="00425F6E"/>
    <w:rsid w:val="004301E2"/>
    <w:rsid w:val="004307F1"/>
    <w:rsid w:val="00431E6A"/>
    <w:rsid w:val="00432E10"/>
    <w:rsid w:val="00434BA6"/>
    <w:rsid w:val="00440BC4"/>
    <w:rsid w:val="00443827"/>
    <w:rsid w:val="0046570E"/>
    <w:rsid w:val="0047174A"/>
    <w:rsid w:val="00472830"/>
    <w:rsid w:val="00472BB9"/>
    <w:rsid w:val="00474708"/>
    <w:rsid w:val="00477CDC"/>
    <w:rsid w:val="0048074B"/>
    <w:rsid w:val="00480975"/>
    <w:rsid w:val="004817DD"/>
    <w:rsid w:val="00482F35"/>
    <w:rsid w:val="0048345A"/>
    <w:rsid w:val="00485E19"/>
    <w:rsid w:val="00492E92"/>
    <w:rsid w:val="004B1903"/>
    <w:rsid w:val="004B557A"/>
    <w:rsid w:val="004B6D02"/>
    <w:rsid w:val="004C0A3A"/>
    <w:rsid w:val="004C2DE1"/>
    <w:rsid w:val="004D0778"/>
    <w:rsid w:val="004E1AE0"/>
    <w:rsid w:val="004E3926"/>
    <w:rsid w:val="004E68F7"/>
    <w:rsid w:val="004F0104"/>
    <w:rsid w:val="0050510F"/>
    <w:rsid w:val="005055AC"/>
    <w:rsid w:val="00524E3F"/>
    <w:rsid w:val="00532AEF"/>
    <w:rsid w:val="00552247"/>
    <w:rsid w:val="00554C54"/>
    <w:rsid w:val="0056512F"/>
    <w:rsid w:val="00572022"/>
    <w:rsid w:val="00576C2D"/>
    <w:rsid w:val="00580FC2"/>
    <w:rsid w:val="005824A9"/>
    <w:rsid w:val="00586C50"/>
    <w:rsid w:val="005969C0"/>
    <w:rsid w:val="005B3422"/>
    <w:rsid w:val="005B62D7"/>
    <w:rsid w:val="005C1E51"/>
    <w:rsid w:val="005C4CCF"/>
    <w:rsid w:val="005D0456"/>
    <w:rsid w:val="005D40B8"/>
    <w:rsid w:val="005D4357"/>
    <w:rsid w:val="005D6B64"/>
    <w:rsid w:val="0060047F"/>
    <w:rsid w:val="00604A24"/>
    <w:rsid w:val="0060513A"/>
    <w:rsid w:val="00607867"/>
    <w:rsid w:val="006107F3"/>
    <w:rsid w:val="00610846"/>
    <w:rsid w:val="00610A37"/>
    <w:rsid w:val="006159DF"/>
    <w:rsid w:val="00616E45"/>
    <w:rsid w:val="00642B1C"/>
    <w:rsid w:val="006553A6"/>
    <w:rsid w:val="00662EF1"/>
    <w:rsid w:val="00670DCE"/>
    <w:rsid w:val="0067117C"/>
    <w:rsid w:val="00673D16"/>
    <w:rsid w:val="00682284"/>
    <w:rsid w:val="00686198"/>
    <w:rsid w:val="006A0FDD"/>
    <w:rsid w:val="006A466B"/>
    <w:rsid w:val="006A67CE"/>
    <w:rsid w:val="006A7C68"/>
    <w:rsid w:val="006B09A2"/>
    <w:rsid w:val="006B1F37"/>
    <w:rsid w:val="006B22FC"/>
    <w:rsid w:val="006B2BBD"/>
    <w:rsid w:val="006B3A40"/>
    <w:rsid w:val="006B44F8"/>
    <w:rsid w:val="006B586F"/>
    <w:rsid w:val="006B6E51"/>
    <w:rsid w:val="006C6A0B"/>
    <w:rsid w:val="006D2EEB"/>
    <w:rsid w:val="006F4350"/>
    <w:rsid w:val="006F4F7F"/>
    <w:rsid w:val="006F662F"/>
    <w:rsid w:val="0070145D"/>
    <w:rsid w:val="00702778"/>
    <w:rsid w:val="00705279"/>
    <w:rsid w:val="007104AE"/>
    <w:rsid w:val="00715D5B"/>
    <w:rsid w:val="007271CF"/>
    <w:rsid w:val="0073665A"/>
    <w:rsid w:val="0074404C"/>
    <w:rsid w:val="0075111B"/>
    <w:rsid w:val="00756A60"/>
    <w:rsid w:val="00767E7A"/>
    <w:rsid w:val="00777346"/>
    <w:rsid w:val="007838C8"/>
    <w:rsid w:val="00790E55"/>
    <w:rsid w:val="00790E86"/>
    <w:rsid w:val="007A376F"/>
    <w:rsid w:val="007A58BD"/>
    <w:rsid w:val="007A79DA"/>
    <w:rsid w:val="007B1307"/>
    <w:rsid w:val="007B6E3D"/>
    <w:rsid w:val="007C2294"/>
    <w:rsid w:val="007D1508"/>
    <w:rsid w:val="007D193A"/>
    <w:rsid w:val="007D2DB2"/>
    <w:rsid w:val="007E2872"/>
    <w:rsid w:val="007E3628"/>
    <w:rsid w:val="007F07CA"/>
    <w:rsid w:val="007F6300"/>
    <w:rsid w:val="007F6A45"/>
    <w:rsid w:val="008034CC"/>
    <w:rsid w:val="0080773A"/>
    <w:rsid w:val="00807888"/>
    <w:rsid w:val="00813EB1"/>
    <w:rsid w:val="0082056E"/>
    <w:rsid w:val="008231A6"/>
    <w:rsid w:val="00831C68"/>
    <w:rsid w:val="0083241B"/>
    <w:rsid w:val="00832E0C"/>
    <w:rsid w:val="00841FE9"/>
    <w:rsid w:val="00847703"/>
    <w:rsid w:val="0085210E"/>
    <w:rsid w:val="008523A4"/>
    <w:rsid w:val="008531D0"/>
    <w:rsid w:val="00855DF9"/>
    <w:rsid w:val="008707E7"/>
    <w:rsid w:val="00871FBD"/>
    <w:rsid w:val="00872984"/>
    <w:rsid w:val="00873DE3"/>
    <w:rsid w:val="00875F94"/>
    <w:rsid w:val="00891736"/>
    <w:rsid w:val="008A28B0"/>
    <w:rsid w:val="008C1548"/>
    <w:rsid w:val="008C3574"/>
    <w:rsid w:val="008D1154"/>
    <w:rsid w:val="008E5795"/>
    <w:rsid w:val="008F03AB"/>
    <w:rsid w:val="00902810"/>
    <w:rsid w:val="00902EF4"/>
    <w:rsid w:val="00906AE5"/>
    <w:rsid w:val="0090712A"/>
    <w:rsid w:val="00915F49"/>
    <w:rsid w:val="009164FC"/>
    <w:rsid w:val="00916D30"/>
    <w:rsid w:val="00926719"/>
    <w:rsid w:val="00926973"/>
    <w:rsid w:val="00932E51"/>
    <w:rsid w:val="0094035C"/>
    <w:rsid w:val="0094154F"/>
    <w:rsid w:val="00941E45"/>
    <w:rsid w:val="00942C58"/>
    <w:rsid w:val="009500FE"/>
    <w:rsid w:val="00961DBE"/>
    <w:rsid w:val="00967456"/>
    <w:rsid w:val="00967504"/>
    <w:rsid w:val="009738A6"/>
    <w:rsid w:val="0098291E"/>
    <w:rsid w:val="00983178"/>
    <w:rsid w:val="0098359E"/>
    <w:rsid w:val="00997DFE"/>
    <w:rsid w:val="009A1E0C"/>
    <w:rsid w:val="009A3D30"/>
    <w:rsid w:val="009A7EA8"/>
    <w:rsid w:val="009B13A5"/>
    <w:rsid w:val="009B1D5D"/>
    <w:rsid w:val="009B22A7"/>
    <w:rsid w:val="009B25D4"/>
    <w:rsid w:val="009E516A"/>
    <w:rsid w:val="009F6519"/>
    <w:rsid w:val="009F787D"/>
    <w:rsid w:val="00A056AE"/>
    <w:rsid w:val="00A1023A"/>
    <w:rsid w:val="00A2661F"/>
    <w:rsid w:val="00A306C0"/>
    <w:rsid w:val="00A31F6F"/>
    <w:rsid w:val="00A41034"/>
    <w:rsid w:val="00A42393"/>
    <w:rsid w:val="00A46DE2"/>
    <w:rsid w:val="00A54170"/>
    <w:rsid w:val="00A54593"/>
    <w:rsid w:val="00A7753B"/>
    <w:rsid w:val="00A87FF5"/>
    <w:rsid w:val="00A90C89"/>
    <w:rsid w:val="00A96AF2"/>
    <w:rsid w:val="00AA012E"/>
    <w:rsid w:val="00AA373A"/>
    <w:rsid w:val="00AA6A53"/>
    <w:rsid w:val="00AB0115"/>
    <w:rsid w:val="00AB06B9"/>
    <w:rsid w:val="00AB1500"/>
    <w:rsid w:val="00AB6C91"/>
    <w:rsid w:val="00AD6301"/>
    <w:rsid w:val="00AD73D4"/>
    <w:rsid w:val="00AE35EC"/>
    <w:rsid w:val="00AE3B36"/>
    <w:rsid w:val="00AF1B72"/>
    <w:rsid w:val="00B022FF"/>
    <w:rsid w:val="00B07D50"/>
    <w:rsid w:val="00B10629"/>
    <w:rsid w:val="00B11BB9"/>
    <w:rsid w:val="00B1784C"/>
    <w:rsid w:val="00B23D6E"/>
    <w:rsid w:val="00B519A6"/>
    <w:rsid w:val="00B57F0D"/>
    <w:rsid w:val="00B619F9"/>
    <w:rsid w:val="00B6528E"/>
    <w:rsid w:val="00B83864"/>
    <w:rsid w:val="00B86484"/>
    <w:rsid w:val="00B91C0E"/>
    <w:rsid w:val="00B91FB2"/>
    <w:rsid w:val="00BA3E90"/>
    <w:rsid w:val="00BA4DAF"/>
    <w:rsid w:val="00BA663F"/>
    <w:rsid w:val="00BB2AA5"/>
    <w:rsid w:val="00BE2374"/>
    <w:rsid w:val="00BE75E9"/>
    <w:rsid w:val="00C07B04"/>
    <w:rsid w:val="00C1749F"/>
    <w:rsid w:val="00C41652"/>
    <w:rsid w:val="00C73207"/>
    <w:rsid w:val="00C771A6"/>
    <w:rsid w:val="00C83078"/>
    <w:rsid w:val="00C86686"/>
    <w:rsid w:val="00C928FA"/>
    <w:rsid w:val="00C9408F"/>
    <w:rsid w:val="00C978CF"/>
    <w:rsid w:val="00C97C02"/>
    <w:rsid w:val="00CA542B"/>
    <w:rsid w:val="00CA7A5B"/>
    <w:rsid w:val="00CB5804"/>
    <w:rsid w:val="00CB6146"/>
    <w:rsid w:val="00CB6545"/>
    <w:rsid w:val="00CC08DB"/>
    <w:rsid w:val="00CC1ACF"/>
    <w:rsid w:val="00CC1B27"/>
    <w:rsid w:val="00CC7F36"/>
    <w:rsid w:val="00CD0F37"/>
    <w:rsid w:val="00CE11E8"/>
    <w:rsid w:val="00CE6CA6"/>
    <w:rsid w:val="00CE78F0"/>
    <w:rsid w:val="00D033B7"/>
    <w:rsid w:val="00D05C13"/>
    <w:rsid w:val="00D05DD4"/>
    <w:rsid w:val="00D064ED"/>
    <w:rsid w:val="00D20DA8"/>
    <w:rsid w:val="00D21DD0"/>
    <w:rsid w:val="00D25261"/>
    <w:rsid w:val="00D313CF"/>
    <w:rsid w:val="00D32674"/>
    <w:rsid w:val="00D404DC"/>
    <w:rsid w:val="00D52E6B"/>
    <w:rsid w:val="00D560E4"/>
    <w:rsid w:val="00D63463"/>
    <w:rsid w:val="00D65D1D"/>
    <w:rsid w:val="00D740B8"/>
    <w:rsid w:val="00D748E0"/>
    <w:rsid w:val="00D838D6"/>
    <w:rsid w:val="00D852A1"/>
    <w:rsid w:val="00D90B4D"/>
    <w:rsid w:val="00D948C9"/>
    <w:rsid w:val="00D94CD1"/>
    <w:rsid w:val="00DA77A9"/>
    <w:rsid w:val="00DB5345"/>
    <w:rsid w:val="00DB7552"/>
    <w:rsid w:val="00DD04D6"/>
    <w:rsid w:val="00DD16DE"/>
    <w:rsid w:val="00DE048D"/>
    <w:rsid w:val="00DE4EAB"/>
    <w:rsid w:val="00DE7803"/>
    <w:rsid w:val="00DE7BBA"/>
    <w:rsid w:val="00E03D21"/>
    <w:rsid w:val="00E03E24"/>
    <w:rsid w:val="00E046D4"/>
    <w:rsid w:val="00E04881"/>
    <w:rsid w:val="00E06A42"/>
    <w:rsid w:val="00E1162B"/>
    <w:rsid w:val="00E16213"/>
    <w:rsid w:val="00E20DBB"/>
    <w:rsid w:val="00E22C93"/>
    <w:rsid w:val="00E32378"/>
    <w:rsid w:val="00E34A37"/>
    <w:rsid w:val="00E35FED"/>
    <w:rsid w:val="00E36819"/>
    <w:rsid w:val="00E5516B"/>
    <w:rsid w:val="00E561A4"/>
    <w:rsid w:val="00E572F1"/>
    <w:rsid w:val="00E621F0"/>
    <w:rsid w:val="00E7797A"/>
    <w:rsid w:val="00E80938"/>
    <w:rsid w:val="00E842D2"/>
    <w:rsid w:val="00E86B30"/>
    <w:rsid w:val="00E90499"/>
    <w:rsid w:val="00E9126B"/>
    <w:rsid w:val="00E91A6D"/>
    <w:rsid w:val="00EA5901"/>
    <w:rsid w:val="00EB3749"/>
    <w:rsid w:val="00EB745F"/>
    <w:rsid w:val="00EC4E0B"/>
    <w:rsid w:val="00EE019D"/>
    <w:rsid w:val="00EE162C"/>
    <w:rsid w:val="00EF4914"/>
    <w:rsid w:val="00F04F63"/>
    <w:rsid w:val="00F12AE8"/>
    <w:rsid w:val="00F23BA8"/>
    <w:rsid w:val="00F40E1F"/>
    <w:rsid w:val="00F41B9F"/>
    <w:rsid w:val="00F53FE6"/>
    <w:rsid w:val="00F551DF"/>
    <w:rsid w:val="00F554A5"/>
    <w:rsid w:val="00F6030C"/>
    <w:rsid w:val="00F65743"/>
    <w:rsid w:val="00F715B6"/>
    <w:rsid w:val="00F8314A"/>
    <w:rsid w:val="00F84B94"/>
    <w:rsid w:val="00F86A9C"/>
    <w:rsid w:val="00F90F66"/>
    <w:rsid w:val="00F9336E"/>
    <w:rsid w:val="00F94CD0"/>
    <w:rsid w:val="00F95817"/>
    <w:rsid w:val="00F959C7"/>
    <w:rsid w:val="00F97D8D"/>
    <w:rsid w:val="00FA2AF1"/>
    <w:rsid w:val="00FB2381"/>
    <w:rsid w:val="00FD0B25"/>
    <w:rsid w:val="00FD731B"/>
    <w:rsid w:val="00FE1385"/>
    <w:rsid w:val="00FE3CD0"/>
    <w:rsid w:val="00FE641C"/>
    <w:rsid w:val="00FE763B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CC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41B9F"/>
    <w:pPr>
      <w:keepNext/>
      <w:keepLines/>
      <w:spacing w:after="0" w:line="360" w:lineRule="auto"/>
      <w:ind w:firstLineChars="200" w:firstLine="200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41B9F"/>
    <w:rPr>
      <w:rFonts w:ascii="Tahoma" w:hAnsi="Tahoma" w:cs="Times New Roman"/>
      <w:b/>
      <w:bCs/>
      <w:kern w:val="44"/>
      <w:sz w:val="24"/>
      <w:szCs w:val="44"/>
    </w:rPr>
  </w:style>
  <w:style w:type="paragraph" w:customStyle="1" w:styleId="Default">
    <w:name w:val="Default"/>
    <w:rsid w:val="008531D0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531D0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B2AA5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BB2AA5"/>
  </w:style>
  <w:style w:type="character" w:customStyle="1" w:styleId="Char2">
    <w:name w:val="批注文字 Char"/>
    <w:basedOn w:val="a0"/>
    <w:link w:val="a9"/>
    <w:uiPriority w:val="99"/>
    <w:rsid w:val="00BB2AA5"/>
    <w:rPr>
      <w:rFonts w:ascii="Tahoma" w:eastAsia="微软雅黑" w:hAnsi="Tahoma" w:cs="Times New Roman"/>
      <w:kern w:val="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B2AA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B2AA5"/>
    <w:rPr>
      <w:rFonts w:ascii="Tahoma" w:eastAsia="微软雅黑" w:hAnsi="Tahoma" w:cs="Times New Roman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41B9F"/>
    <w:pPr>
      <w:keepNext/>
      <w:keepLines/>
      <w:spacing w:after="0" w:line="360" w:lineRule="auto"/>
      <w:ind w:firstLineChars="200" w:firstLine="200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41B9F"/>
    <w:rPr>
      <w:rFonts w:ascii="Tahoma" w:hAnsi="Tahoma" w:cs="Times New Roman"/>
      <w:b/>
      <w:bCs/>
      <w:kern w:val="44"/>
      <w:sz w:val="24"/>
      <w:szCs w:val="44"/>
    </w:rPr>
  </w:style>
  <w:style w:type="paragraph" w:customStyle="1" w:styleId="Default">
    <w:name w:val="Default"/>
    <w:rsid w:val="008531D0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531D0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B2AA5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BB2AA5"/>
  </w:style>
  <w:style w:type="character" w:customStyle="1" w:styleId="Char2">
    <w:name w:val="批注文字 Char"/>
    <w:basedOn w:val="a0"/>
    <w:link w:val="a9"/>
    <w:uiPriority w:val="99"/>
    <w:rsid w:val="00BB2AA5"/>
    <w:rPr>
      <w:rFonts w:ascii="Tahoma" w:eastAsia="微软雅黑" w:hAnsi="Tahoma" w:cs="Times New Roman"/>
      <w:kern w:val="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B2AA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B2AA5"/>
    <w:rPr>
      <w:rFonts w:ascii="Tahoma" w:eastAsia="微软雅黑" w:hAnsi="Tahoma" w:cs="Times New Roman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55C8-F449-4899-A0C7-E75AFB3A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1075</Words>
  <Characters>6128</Characters>
  <Application>Microsoft Office Word</Application>
  <DocSecurity>0</DocSecurity>
  <Lines>51</Lines>
  <Paragraphs>14</Paragraphs>
  <ScaleCrop>false</ScaleCrop>
  <Company>Microsoft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钟小燕</dc:creator>
  <cp:lastModifiedBy>张明渊</cp:lastModifiedBy>
  <cp:revision>2</cp:revision>
  <cp:lastPrinted>2020-04-20T00:27:00Z</cp:lastPrinted>
  <dcterms:created xsi:type="dcterms:W3CDTF">2020-08-30T17:13:00Z</dcterms:created>
  <dcterms:modified xsi:type="dcterms:W3CDTF">2020-08-30T17:13:00Z</dcterms:modified>
</cp:coreProperties>
</file>