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ascii="宋体" w:hAnsi="宋体"/>
          <w:b/>
          <w:bCs/>
          <w:iCs/>
          <w:color w:val="000000"/>
          <w:sz w:val="32"/>
          <w:szCs w:val="32"/>
        </w:rPr>
      </w:pPr>
      <w:r>
        <w:rPr>
          <w:rFonts w:hint="eastAsia" w:ascii="宋体" w:hAnsi="宋体"/>
          <w:bCs/>
          <w:iCs/>
          <w:color w:val="000000"/>
          <w:sz w:val="30"/>
          <w:szCs w:val="30"/>
        </w:rPr>
        <w:t>证券</w:t>
      </w:r>
      <w:r>
        <w:rPr>
          <w:rFonts w:ascii="宋体" w:hAnsi="宋体"/>
          <w:bCs/>
          <w:iCs/>
          <w:color w:val="000000"/>
          <w:sz w:val="30"/>
          <w:szCs w:val="30"/>
        </w:rPr>
        <w:t>代码：</w:t>
      </w:r>
      <w:r>
        <w:rPr>
          <w:rFonts w:hint="eastAsia" w:ascii="宋体" w:hAnsi="宋体"/>
          <w:bCs/>
          <w:iCs/>
          <w:color w:val="000000"/>
          <w:sz w:val="30"/>
          <w:szCs w:val="30"/>
        </w:rPr>
        <w:t xml:space="preserve">002903  </w:t>
      </w:r>
      <w:r>
        <w:rPr>
          <w:rFonts w:ascii="宋体" w:hAnsi="宋体"/>
          <w:bCs/>
          <w:iCs/>
          <w:color w:val="000000"/>
          <w:sz w:val="30"/>
          <w:szCs w:val="30"/>
        </w:rPr>
        <w:t xml:space="preserve">                </w:t>
      </w:r>
      <w:r>
        <w:rPr>
          <w:rFonts w:hint="eastAsia" w:ascii="宋体" w:hAnsi="宋体"/>
          <w:bCs/>
          <w:iCs/>
          <w:color w:val="000000"/>
          <w:sz w:val="30"/>
          <w:szCs w:val="30"/>
        </w:rPr>
        <w:t xml:space="preserve">  证券</w:t>
      </w:r>
      <w:r>
        <w:rPr>
          <w:rFonts w:ascii="宋体" w:hAnsi="宋体"/>
          <w:bCs/>
          <w:iCs/>
          <w:color w:val="000000"/>
          <w:sz w:val="30"/>
          <w:szCs w:val="30"/>
        </w:rPr>
        <w:t>简称：宇环数控</w:t>
      </w:r>
    </w:p>
    <w:p>
      <w:pPr>
        <w:spacing w:before="156" w:beforeLines="50" w:after="156" w:afterLines="50" w:line="400" w:lineRule="exact"/>
        <w:jc w:val="center"/>
        <w:rPr>
          <w:rFonts w:ascii="宋体" w:hAnsi="宋体"/>
          <w:b/>
          <w:bCs/>
          <w:iCs/>
          <w:color w:val="000000"/>
          <w:sz w:val="32"/>
          <w:szCs w:val="32"/>
        </w:rPr>
      </w:pP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宇环数控机床股份有限公司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编号：20</w:t>
      </w:r>
      <w:r>
        <w:rPr>
          <w:rFonts w:ascii="宋体" w:hAnsi="宋体"/>
          <w:bCs/>
          <w:iCs/>
          <w:color w:val="000000"/>
          <w:sz w:val="24"/>
        </w:rPr>
        <w:t>20</w:t>
      </w:r>
      <w:r>
        <w:rPr>
          <w:rFonts w:hint="eastAsia" w:ascii="宋体" w:hAnsi="宋体"/>
          <w:bCs/>
          <w:iCs/>
          <w:color w:val="000000"/>
          <w:sz w:val="24"/>
        </w:rPr>
        <w:t>-00</w:t>
      </w:r>
      <w:r>
        <w:rPr>
          <w:rFonts w:ascii="宋体" w:hAnsi="宋体"/>
          <w:bCs/>
          <w:iCs/>
          <w:color w:val="000000"/>
          <w:sz w:val="24"/>
        </w:rPr>
        <w:t>2</w:t>
      </w: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086"/>
        <w:gridCol w:w="35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76" w:lineRule="auto"/>
              <w:rPr>
                <w:rFonts w:ascii="宋体" w:hAnsi="宋体"/>
                <w:bCs/>
                <w:iCs/>
                <w:color w:val="000000"/>
                <w:sz w:val="24"/>
              </w:rPr>
            </w:pPr>
            <w:r>
              <w:rPr>
                <w:rFonts w:hint="eastAsia" w:ascii="宋体" w:hAnsi="宋体"/>
                <w:bCs/>
                <w:iCs/>
                <w:color w:val="000000"/>
                <w:sz w:val="24"/>
              </w:rPr>
              <w:t>投资者关系活动类别</w:t>
            </w:r>
          </w:p>
          <w:p>
            <w:pPr>
              <w:snapToGrid w:val="0"/>
              <w:spacing w:line="276" w:lineRule="auto"/>
              <w:rPr>
                <w:rFonts w:ascii="宋体" w:hAnsi="宋体"/>
                <w:bCs/>
                <w:iCs/>
                <w:color w:val="000000"/>
                <w:sz w:val="24"/>
              </w:rPr>
            </w:pP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76" w:lineRule="auto"/>
              <w:rPr>
                <w:rFonts w:ascii="宋体" w:hAnsi="宋体"/>
                <w:sz w:val="28"/>
                <w:szCs w:val="28"/>
              </w:rPr>
            </w:pPr>
            <w:r>
              <w:rPr>
                <w:rFonts w:hint="eastAsia" w:ascii="宋体" w:hAnsi="宋体"/>
                <w:bCs/>
                <w:iCs/>
                <w:color w:val="000000"/>
                <w:sz w:val="24"/>
              </w:rPr>
              <w:t>☑</w:t>
            </w:r>
            <w:r>
              <w:rPr>
                <w:rFonts w:hint="eastAsia" w:ascii="宋体" w:hAnsi="宋体"/>
                <w:sz w:val="28"/>
                <w:szCs w:val="28"/>
              </w:rPr>
              <w:t xml:space="preserve">特定对象调研        </w:t>
            </w:r>
            <w:r>
              <w:rPr>
                <w:rFonts w:hint="eastAsia" w:ascii="宋体" w:hAnsi="宋体"/>
                <w:bCs/>
                <w:iCs/>
                <w:color w:val="000000"/>
                <w:sz w:val="24"/>
              </w:rPr>
              <w:t>□</w:t>
            </w:r>
            <w:r>
              <w:rPr>
                <w:rFonts w:hint="eastAsia" w:ascii="宋体" w:hAnsi="宋体"/>
                <w:sz w:val="28"/>
                <w:szCs w:val="28"/>
              </w:rPr>
              <w:t>分析师会议</w:t>
            </w:r>
          </w:p>
          <w:p>
            <w:pPr>
              <w:snapToGrid w:val="0"/>
              <w:spacing w:line="276" w:lineRule="auto"/>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媒体采访            </w:t>
            </w:r>
            <w:r>
              <w:rPr>
                <w:rFonts w:hint="eastAsia" w:ascii="宋体" w:hAnsi="宋体"/>
                <w:bCs/>
                <w:iCs/>
                <w:color w:val="000000"/>
                <w:sz w:val="24"/>
              </w:rPr>
              <w:t>□</w:t>
            </w:r>
            <w:r>
              <w:rPr>
                <w:rFonts w:hint="eastAsia" w:ascii="宋体" w:hAnsi="宋体"/>
                <w:sz w:val="28"/>
                <w:szCs w:val="28"/>
              </w:rPr>
              <w:t>业绩说明会</w:t>
            </w:r>
          </w:p>
          <w:p>
            <w:pPr>
              <w:snapToGrid w:val="0"/>
              <w:spacing w:line="276" w:lineRule="auto"/>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新闻发布会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napToGrid w:val="0"/>
              <w:spacing w:line="276" w:lineRule="auto"/>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hint="eastAsia" w:ascii="宋体" w:hAnsi="宋体"/>
                <w:bCs/>
                <w:iCs/>
                <w:color w:val="000000"/>
                <w:sz w:val="24"/>
              </w:rPr>
              <w:tab/>
            </w:r>
          </w:p>
          <w:p>
            <w:pPr>
              <w:tabs>
                <w:tab w:val="center" w:pos="3199"/>
              </w:tabs>
              <w:snapToGrid w:val="0"/>
              <w:spacing w:line="276" w:lineRule="auto"/>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bCs/>
                <w:iCs/>
                <w:color w:val="000000"/>
                <w:sz w:val="24"/>
              </w:rPr>
            </w:pPr>
            <w:r>
              <w:rPr>
                <w:rFonts w:hint="eastAsia" w:ascii="宋体" w:hAnsi="宋体"/>
                <w:bCs/>
                <w:iCs/>
                <w:color w:val="000000"/>
                <w:sz w:val="24"/>
              </w:rPr>
              <w:t>参与单位名称及人员姓名</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序号</w:t>
            </w:r>
          </w:p>
        </w:tc>
        <w:tc>
          <w:tcPr>
            <w:tcW w:w="35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姓名</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广发证券发展研究中心</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王珂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2</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太平洋证券研究院</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钱建江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3</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华创证券研究所</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鲁佩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4</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川财证券研究所</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孙灿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5</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川财证券研究所</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6</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湘财证券研究所</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7</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瑞瀚资产/龙云基金</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刘高寒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8</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瑞瀚资产/龙云基金</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陆文涛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9</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雁丰投资</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张小波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10</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上海银纪资产管理股份有限公司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丁彦皓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11</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乾银投资</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周家烈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12</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璞智投资</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温灵军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13</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上海隆卿投资管理有限责任公司</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颜卫东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14</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上海隆卿投资管理有限责任公司</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刘李军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15</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上海迎舜资产管理有限公司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苏玉兰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vMerge w:val="continue"/>
            <w:tcBorders>
              <w:left w:val="single" w:color="auto" w:sz="4" w:space="0"/>
              <w:right w:val="single" w:color="auto" w:sz="4" w:space="0"/>
            </w:tcBorders>
            <w:shd w:val="clear" w:color="auto" w:fill="auto"/>
            <w:vAlign w:val="center"/>
          </w:tcPr>
          <w:p>
            <w:pPr>
              <w:rPr>
                <w:rFonts w:ascii="宋体" w:hAnsi="宋体"/>
                <w:bCs/>
                <w:iCs/>
                <w:color w:val="00000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16</w:t>
            </w:r>
          </w:p>
        </w:tc>
        <w:tc>
          <w:tcPr>
            <w:tcW w:w="358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东方汇富投资控股有限公司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rPr>
            </w:pPr>
            <w:r>
              <w:rPr>
                <w:rFonts w:hint="eastAsia" w:ascii="宋体" w:hAnsi="宋体" w:cs="宋体"/>
                <w:sz w:val="24"/>
              </w:rPr>
              <w:t>章孝杰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时间</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2020年</w:t>
            </w:r>
            <w:r>
              <w:rPr>
                <w:rFonts w:ascii="宋体" w:hAnsi="宋体"/>
                <w:bCs/>
                <w:iCs/>
                <w:color w:val="000000"/>
                <w:sz w:val="24"/>
              </w:rPr>
              <w:t>9</w:t>
            </w:r>
            <w:r>
              <w:rPr>
                <w:rFonts w:hint="eastAsia" w:ascii="宋体" w:hAnsi="宋体"/>
                <w:bCs/>
                <w:iCs/>
                <w:color w:val="000000"/>
                <w:sz w:val="24"/>
              </w:rPr>
              <w:t>月2日  15：00-16：30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地点</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上海市浦东新区良友大厦3楼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上市公司接待人员姓名</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cs="宋体"/>
                <w:sz w:val="24"/>
              </w:rPr>
            </w:pPr>
            <w:r>
              <w:rPr>
                <w:rFonts w:hint="eastAsia" w:ascii="宋体" w:hAnsi="宋体" w:cs="宋体"/>
                <w:sz w:val="24"/>
              </w:rPr>
              <w:t>副总经理、董事会秘书：易欣</w:t>
            </w:r>
          </w:p>
          <w:p>
            <w:pPr>
              <w:spacing w:line="480" w:lineRule="atLeast"/>
              <w:rPr>
                <w:rFonts w:ascii="宋体" w:hAnsi="宋体" w:cs="宋体"/>
                <w:sz w:val="24"/>
              </w:rPr>
            </w:pPr>
            <w:r>
              <w:rPr>
                <w:rFonts w:hint="eastAsia" w:ascii="宋体" w:hAnsi="宋体" w:cs="宋体"/>
                <w:sz w:val="24"/>
              </w:rPr>
              <w:t>证券事务代表：孙勇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投资者关系活动主要内容介绍</w:t>
            </w:r>
          </w:p>
          <w:p>
            <w:pPr>
              <w:spacing w:line="480" w:lineRule="atLeast"/>
              <w:rPr>
                <w:rFonts w:ascii="宋体" w:hAnsi="宋体"/>
                <w:bCs/>
                <w:iCs/>
                <w:color w:val="000000"/>
                <w:sz w:val="24"/>
              </w:rPr>
            </w:pP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spacing w:line="480" w:lineRule="atLeast"/>
              <w:rPr>
                <w:rFonts w:ascii="宋体" w:hAnsi="宋体"/>
                <w:bCs/>
                <w:iCs/>
                <w:color w:val="000000"/>
                <w:sz w:val="24"/>
              </w:rPr>
            </w:pPr>
            <w:r>
              <w:rPr>
                <w:rFonts w:hint="eastAsia" w:ascii="宋体" w:hAnsi="宋体"/>
                <w:bCs/>
                <w:iCs/>
                <w:color w:val="000000"/>
                <w:sz w:val="24"/>
              </w:rPr>
              <w:t>公司董事会秘书介绍公司及公司2020年半年度报告基本情况。</w:t>
            </w:r>
          </w:p>
          <w:p>
            <w:pPr>
              <w:numPr>
                <w:ilvl w:val="0"/>
                <w:numId w:val="1"/>
              </w:numPr>
              <w:spacing w:line="480" w:lineRule="atLeast"/>
              <w:rPr>
                <w:rFonts w:ascii="宋体" w:hAnsi="宋体"/>
                <w:bCs/>
                <w:iCs/>
                <w:color w:val="000000"/>
                <w:sz w:val="24"/>
              </w:rPr>
            </w:pPr>
            <w:r>
              <w:rPr>
                <w:rFonts w:hint="eastAsia" w:ascii="宋体" w:hAnsi="宋体"/>
                <w:bCs/>
                <w:iCs/>
                <w:color w:val="000000"/>
                <w:sz w:val="24"/>
              </w:rPr>
              <w:t>投资者主要问题</w:t>
            </w:r>
          </w:p>
          <w:p>
            <w:pPr>
              <w:spacing w:line="480" w:lineRule="atLeast"/>
              <w:rPr>
                <w:rFonts w:ascii="宋体" w:hAnsi="宋体"/>
                <w:b/>
                <w:bCs/>
                <w:iCs/>
                <w:color w:val="000000"/>
                <w:sz w:val="24"/>
              </w:rPr>
            </w:pPr>
            <w:r>
              <w:rPr>
                <w:rFonts w:hint="eastAsia" w:ascii="宋体" w:hAnsi="宋体"/>
                <w:b/>
                <w:bCs/>
                <w:iCs/>
                <w:color w:val="000000"/>
                <w:sz w:val="24"/>
              </w:rPr>
              <w:t>1、公司销售收入</w:t>
            </w:r>
            <w:r>
              <w:rPr>
                <w:rFonts w:ascii="宋体" w:hAnsi="宋体"/>
                <w:b/>
                <w:bCs/>
                <w:iCs/>
                <w:color w:val="000000"/>
                <w:sz w:val="24"/>
              </w:rPr>
              <w:t>中汽车</w:t>
            </w:r>
            <w:r>
              <w:rPr>
                <w:rFonts w:hint="eastAsia" w:ascii="宋体" w:hAnsi="宋体"/>
                <w:b/>
                <w:bCs/>
                <w:iCs/>
                <w:color w:val="000000"/>
                <w:sz w:val="24"/>
              </w:rPr>
              <w:t>零</w:t>
            </w:r>
            <w:r>
              <w:rPr>
                <w:rFonts w:ascii="宋体" w:hAnsi="宋体"/>
                <w:b/>
                <w:bCs/>
                <w:iCs/>
                <w:color w:val="000000"/>
                <w:sz w:val="24"/>
              </w:rPr>
              <w:t>配件和消费电子行业的占</w:t>
            </w:r>
            <w:r>
              <w:rPr>
                <w:rFonts w:hint="eastAsia" w:ascii="宋体" w:hAnsi="宋体"/>
                <w:b/>
                <w:bCs/>
                <w:iCs/>
                <w:color w:val="000000"/>
                <w:sz w:val="24"/>
              </w:rPr>
              <w:t>比</w:t>
            </w:r>
            <w:r>
              <w:rPr>
                <w:rFonts w:ascii="宋体" w:hAnsi="宋体"/>
                <w:b/>
                <w:bCs/>
                <w:iCs/>
                <w:color w:val="000000"/>
                <w:sz w:val="24"/>
              </w:rPr>
              <w:t>情况</w:t>
            </w:r>
            <w:r>
              <w:rPr>
                <w:rFonts w:hint="eastAsia" w:ascii="宋体" w:hAnsi="宋体"/>
                <w:b/>
                <w:bCs/>
                <w:iCs/>
                <w:color w:val="000000"/>
                <w:sz w:val="24"/>
              </w:rPr>
              <w:t>？</w:t>
            </w:r>
          </w:p>
          <w:p>
            <w:pPr>
              <w:spacing w:line="480" w:lineRule="atLeast"/>
              <w:ind w:firstLine="480" w:firstLineChars="200"/>
              <w:rPr>
                <w:rFonts w:ascii="宋体" w:hAnsi="宋体"/>
                <w:bCs/>
                <w:iCs/>
                <w:color w:val="000000"/>
                <w:sz w:val="24"/>
              </w:rPr>
            </w:pPr>
            <w:r>
              <w:rPr>
                <w:rFonts w:hint="eastAsia" w:ascii="宋体" w:hAnsi="宋体"/>
                <w:bCs/>
                <w:iCs/>
                <w:color w:val="000000"/>
                <w:sz w:val="24"/>
              </w:rPr>
              <w:t>汽车零配件</w:t>
            </w:r>
            <w:r>
              <w:rPr>
                <w:rFonts w:ascii="宋体" w:hAnsi="宋体"/>
                <w:bCs/>
                <w:iCs/>
                <w:color w:val="000000"/>
                <w:sz w:val="24"/>
              </w:rPr>
              <w:t>和消费电子是</w:t>
            </w:r>
            <w:r>
              <w:rPr>
                <w:rFonts w:hint="eastAsia" w:ascii="宋体" w:hAnsi="宋体"/>
                <w:bCs/>
                <w:iCs/>
                <w:color w:val="000000"/>
                <w:sz w:val="24"/>
              </w:rPr>
              <w:t>公司</w:t>
            </w:r>
            <w:r>
              <w:rPr>
                <w:rFonts w:ascii="宋体" w:hAnsi="宋体"/>
                <w:bCs/>
                <w:iCs/>
                <w:color w:val="000000"/>
                <w:sz w:val="24"/>
              </w:rPr>
              <w:t>目前</w:t>
            </w:r>
            <w:r>
              <w:rPr>
                <w:rFonts w:hint="eastAsia" w:ascii="宋体" w:hAnsi="宋体"/>
                <w:bCs/>
                <w:iCs/>
                <w:color w:val="000000"/>
                <w:sz w:val="24"/>
              </w:rPr>
              <w:t>主要</w:t>
            </w:r>
            <w:r>
              <w:rPr>
                <w:rFonts w:ascii="宋体" w:hAnsi="宋体"/>
                <w:bCs/>
                <w:iCs/>
                <w:color w:val="000000"/>
                <w:sz w:val="24"/>
              </w:rPr>
              <w:t>的两个行业市场，因每年</w:t>
            </w:r>
            <w:r>
              <w:rPr>
                <w:rFonts w:hint="eastAsia" w:ascii="宋体" w:hAnsi="宋体"/>
                <w:bCs/>
                <w:iCs/>
                <w:color w:val="000000"/>
                <w:sz w:val="24"/>
              </w:rPr>
              <w:t>公司</w:t>
            </w:r>
            <w:r>
              <w:rPr>
                <w:rFonts w:ascii="宋体" w:hAnsi="宋体"/>
                <w:bCs/>
                <w:iCs/>
                <w:color w:val="000000"/>
                <w:sz w:val="24"/>
              </w:rPr>
              <w:t>产品的销售结构</w:t>
            </w:r>
            <w:r>
              <w:rPr>
                <w:rFonts w:hint="eastAsia" w:ascii="宋体" w:hAnsi="宋体"/>
                <w:bCs/>
                <w:iCs/>
                <w:color w:val="000000"/>
                <w:sz w:val="24"/>
              </w:rPr>
              <w:t>和</w:t>
            </w:r>
            <w:r>
              <w:rPr>
                <w:rFonts w:ascii="宋体" w:hAnsi="宋体"/>
                <w:bCs/>
                <w:iCs/>
                <w:color w:val="000000"/>
                <w:sz w:val="24"/>
              </w:rPr>
              <w:t>客户需求</w:t>
            </w:r>
            <w:r>
              <w:rPr>
                <w:rFonts w:hint="eastAsia" w:ascii="宋体" w:hAnsi="宋体"/>
                <w:bCs/>
                <w:iCs/>
                <w:color w:val="000000"/>
                <w:sz w:val="24"/>
              </w:rPr>
              <w:t>差异</w:t>
            </w:r>
            <w:r>
              <w:rPr>
                <w:rFonts w:ascii="宋体" w:hAnsi="宋体"/>
                <w:bCs/>
                <w:iCs/>
                <w:color w:val="000000"/>
                <w:sz w:val="24"/>
              </w:rPr>
              <w:t>，两个行业在公司历年的营业收入占比</w:t>
            </w:r>
            <w:r>
              <w:rPr>
                <w:rFonts w:hint="eastAsia" w:ascii="宋体" w:hAnsi="宋体"/>
                <w:bCs/>
                <w:iCs/>
                <w:color w:val="000000"/>
                <w:sz w:val="24"/>
              </w:rPr>
              <w:t>会</w:t>
            </w:r>
            <w:r>
              <w:rPr>
                <w:rFonts w:ascii="宋体" w:hAnsi="宋体"/>
                <w:bCs/>
                <w:iCs/>
                <w:color w:val="000000"/>
                <w:sz w:val="24"/>
              </w:rPr>
              <w:t>有一定变化</w:t>
            </w:r>
            <w:r>
              <w:rPr>
                <w:rFonts w:hint="eastAsia" w:ascii="宋体" w:hAnsi="宋体"/>
                <w:bCs/>
                <w:iCs/>
                <w:color w:val="000000"/>
                <w:sz w:val="24"/>
              </w:rPr>
              <w:t>。分</w:t>
            </w:r>
            <w:r>
              <w:rPr>
                <w:rFonts w:ascii="宋体" w:hAnsi="宋体"/>
                <w:bCs/>
                <w:iCs/>
                <w:color w:val="000000"/>
                <w:sz w:val="24"/>
              </w:rPr>
              <w:t>行业来看，</w:t>
            </w:r>
            <w:r>
              <w:rPr>
                <w:rFonts w:hint="eastAsia" w:ascii="宋体" w:hAnsi="宋体"/>
                <w:bCs/>
                <w:iCs/>
                <w:color w:val="000000"/>
                <w:sz w:val="24"/>
              </w:rPr>
              <w:t>公司2019年</w:t>
            </w:r>
            <w:r>
              <w:rPr>
                <w:rFonts w:ascii="宋体" w:hAnsi="宋体"/>
                <w:bCs/>
                <w:iCs/>
                <w:color w:val="000000"/>
                <w:sz w:val="24"/>
              </w:rPr>
              <w:t>度来自消费电子制造业的营业收入占比为</w:t>
            </w:r>
            <w:r>
              <w:rPr>
                <w:rFonts w:hint="eastAsia" w:ascii="宋体" w:hAnsi="宋体"/>
                <w:bCs/>
                <w:iCs/>
                <w:color w:val="000000"/>
                <w:sz w:val="24"/>
              </w:rPr>
              <w:t>47.97%；</w:t>
            </w:r>
            <w:r>
              <w:rPr>
                <w:rFonts w:ascii="宋体" w:hAnsi="宋体"/>
                <w:bCs/>
                <w:iCs/>
                <w:color w:val="000000"/>
                <w:sz w:val="24"/>
              </w:rPr>
              <w:t>来自汽车</w:t>
            </w:r>
            <w:r>
              <w:rPr>
                <w:rFonts w:hint="eastAsia" w:ascii="宋体" w:hAnsi="宋体"/>
                <w:bCs/>
                <w:iCs/>
                <w:color w:val="000000"/>
                <w:sz w:val="24"/>
              </w:rPr>
              <w:t>零</w:t>
            </w:r>
            <w:r>
              <w:rPr>
                <w:rFonts w:ascii="宋体" w:hAnsi="宋体"/>
                <w:bCs/>
                <w:iCs/>
                <w:color w:val="000000"/>
                <w:sz w:val="24"/>
              </w:rPr>
              <w:t>配件制造业的营业收入占比为</w:t>
            </w:r>
            <w:r>
              <w:rPr>
                <w:rFonts w:hint="eastAsia" w:ascii="宋体" w:hAnsi="宋体"/>
                <w:bCs/>
                <w:iCs/>
                <w:color w:val="000000"/>
                <w:sz w:val="24"/>
              </w:rPr>
              <w:t>32.15%。2</w:t>
            </w:r>
            <w:r>
              <w:rPr>
                <w:rFonts w:ascii="宋体" w:hAnsi="宋体"/>
                <w:bCs/>
                <w:iCs/>
                <w:color w:val="000000"/>
                <w:sz w:val="24"/>
              </w:rPr>
              <w:t>020</w:t>
            </w:r>
            <w:r>
              <w:rPr>
                <w:rFonts w:hint="eastAsia" w:ascii="宋体" w:hAnsi="宋体"/>
                <w:bCs/>
                <w:iCs/>
                <w:color w:val="000000"/>
                <w:sz w:val="24"/>
              </w:rPr>
              <w:t>年上</w:t>
            </w:r>
            <w:r>
              <w:rPr>
                <w:rFonts w:ascii="宋体" w:hAnsi="宋体"/>
                <w:bCs/>
                <w:iCs/>
                <w:color w:val="000000"/>
                <w:sz w:val="24"/>
              </w:rPr>
              <w:t>半年，受</w:t>
            </w:r>
            <w:r>
              <w:rPr>
                <w:rFonts w:hint="eastAsia" w:ascii="宋体" w:hAnsi="宋体"/>
                <w:bCs/>
                <w:iCs/>
                <w:color w:val="000000"/>
                <w:sz w:val="24"/>
              </w:rPr>
              <w:t>益</w:t>
            </w:r>
            <w:r>
              <w:rPr>
                <w:rFonts w:ascii="宋体" w:hAnsi="宋体"/>
                <w:bCs/>
                <w:iCs/>
                <w:color w:val="000000"/>
                <w:sz w:val="24"/>
              </w:rPr>
              <w:t>于新一代智能手机生产设备投放需求</w:t>
            </w:r>
            <w:r>
              <w:rPr>
                <w:rFonts w:hint="eastAsia" w:ascii="宋体" w:hAnsi="宋体"/>
                <w:bCs/>
                <w:iCs/>
                <w:color w:val="000000"/>
                <w:sz w:val="24"/>
              </w:rPr>
              <w:t>，</w:t>
            </w:r>
            <w:r>
              <w:rPr>
                <w:rFonts w:ascii="宋体" w:hAnsi="宋体"/>
                <w:bCs/>
                <w:iCs/>
                <w:color w:val="000000"/>
                <w:sz w:val="24"/>
              </w:rPr>
              <w:t>公</w:t>
            </w:r>
            <w:r>
              <w:rPr>
                <w:rFonts w:hint="eastAsia" w:ascii="宋体" w:hAnsi="宋体"/>
                <w:bCs/>
                <w:iCs/>
                <w:color w:val="000000"/>
                <w:sz w:val="24"/>
              </w:rPr>
              <w:t>司营业</w:t>
            </w:r>
            <w:r>
              <w:rPr>
                <w:rFonts w:ascii="宋体" w:hAnsi="宋体"/>
                <w:bCs/>
                <w:iCs/>
                <w:color w:val="000000"/>
                <w:sz w:val="24"/>
              </w:rPr>
              <w:t>收入主要来自于消费电子行业。</w:t>
            </w:r>
          </w:p>
          <w:p>
            <w:pPr>
              <w:spacing w:before="156" w:beforeLines="50" w:line="360" w:lineRule="auto"/>
              <w:rPr>
                <w:rFonts w:ascii="宋体" w:hAnsi="宋体"/>
                <w:b/>
                <w:sz w:val="24"/>
              </w:rPr>
            </w:pPr>
            <w:r>
              <w:rPr>
                <w:rFonts w:hint="eastAsia" w:ascii="宋体" w:hAnsi="宋体"/>
                <w:b/>
                <w:sz w:val="24"/>
              </w:rPr>
              <w:t>2、在手机</w:t>
            </w:r>
            <w:r>
              <w:rPr>
                <w:rFonts w:ascii="宋体" w:hAnsi="宋体"/>
                <w:b/>
                <w:sz w:val="24"/>
              </w:rPr>
              <w:t>中框加工过程中，公司产品主要用于哪个工序</w:t>
            </w:r>
            <w:r>
              <w:rPr>
                <w:rFonts w:hint="eastAsia" w:ascii="宋体" w:hAnsi="宋体"/>
                <w:b/>
                <w:sz w:val="24"/>
              </w:rPr>
              <w:t>。</w:t>
            </w:r>
          </w:p>
          <w:p>
            <w:pPr>
              <w:spacing w:line="480" w:lineRule="atLeast"/>
              <w:rPr>
                <w:rFonts w:ascii="宋体" w:hAnsi="宋体"/>
                <w:sz w:val="24"/>
              </w:rPr>
            </w:pPr>
            <w:r>
              <w:rPr>
                <w:rFonts w:hint="eastAsia" w:ascii="宋体" w:hAnsi="宋体"/>
                <w:sz w:val="24"/>
              </w:rPr>
              <w:t xml:space="preserve">   手机中框加工一般包括锻压</w:t>
            </w:r>
            <w:r>
              <w:rPr>
                <w:rFonts w:hint="eastAsia" w:ascii="宋体" w:hAnsi="宋体"/>
                <w:sz w:val="24"/>
                <w:lang w:eastAsia="zh-CN"/>
              </w:rPr>
              <w:t>、</w:t>
            </w:r>
            <w:r>
              <w:rPr>
                <w:rFonts w:hint="eastAsia" w:ascii="宋体" w:hAnsi="宋体"/>
                <w:sz w:val="24"/>
              </w:rPr>
              <w:t>成型前双端面磨削</w:t>
            </w:r>
            <w:r>
              <w:rPr>
                <w:rFonts w:hint="eastAsia" w:ascii="宋体" w:hAnsi="宋体"/>
                <w:sz w:val="24"/>
                <w:lang w:eastAsia="zh-CN"/>
              </w:rPr>
              <w:t>、</w:t>
            </w:r>
            <w:r>
              <w:rPr>
                <w:rFonts w:hint="eastAsia" w:ascii="宋体" w:hAnsi="宋体"/>
                <w:sz w:val="24"/>
              </w:rPr>
              <w:t>注塑成型</w:t>
            </w:r>
            <w:r>
              <w:rPr>
                <w:rFonts w:hint="eastAsia" w:ascii="宋体" w:hAnsi="宋体"/>
                <w:sz w:val="24"/>
                <w:lang w:eastAsia="zh-CN"/>
              </w:rPr>
              <w:t>、</w:t>
            </w:r>
            <w:r>
              <w:rPr>
                <w:rFonts w:hint="eastAsia" w:ascii="宋体" w:hAnsi="宋体"/>
                <w:sz w:val="24"/>
              </w:rPr>
              <w:t>成型后双端面磨</w:t>
            </w:r>
            <w:r>
              <w:rPr>
                <w:rFonts w:hint="eastAsia" w:ascii="宋体" w:hAnsi="宋体"/>
                <w:sz w:val="24"/>
                <w:lang w:eastAsia="zh-CN"/>
              </w:rPr>
              <w:t>、</w:t>
            </w:r>
            <w:r>
              <w:rPr>
                <w:rFonts w:hint="eastAsia" w:ascii="宋体" w:hAnsi="宋体"/>
                <w:sz w:val="24"/>
              </w:rPr>
              <w:t>CNC</w:t>
            </w:r>
            <w:r>
              <w:rPr>
                <w:rFonts w:hint="eastAsia" w:ascii="宋体" w:hAnsi="宋体"/>
                <w:sz w:val="24"/>
                <w:lang w:eastAsia="zh-CN"/>
              </w:rPr>
              <w:t>、</w:t>
            </w:r>
            <w:r>
              <w:rPr>
                <w:rFonts w:hint="eastAsia" w:ascii="宋体" w:hAnsi="宋体"/>
                <w:sz w:val="24"/>
              </w:rPr>
              <w:t>抛光</w:t>
            </w:r>
            <w:r>
              <w:rPr>
                <w:rFonts w:hint="eastAsia" w:ascii="宋体" w:hAnsi="宋体"/>
                <w:sz w:val="24"/>
                <w:lang w:eastAsia="zh-CN"/>
              </w:rPr>
              <w:t>、</w:t>
            </w:r>
            <w:r>
              <w:rPr>
                <w:rFonts w:hint="eastAsia" w:ascii="宋体" w:hAnsi="宋体"/>
                <w:sz w:val="24"/>
              </w:rPr>
              <w:t>PVD等主要工序。我公司产品主要用于中框注塑成型前的双端面基准磨削（580数控双端面磨床）和成型后中框的双面磨削（580B数控双端面磨床）与抛光（8590数控多工位抛光机）。</w:t>
            </w:r>
          </w:p>
          <w:p>
            <w:pPr>
              <w:spacing w:line="480" w:lineRule="atLeast"/>
              <w:rPr>
                <w:rFonts w:ascii="宋体" w:hAnsi="宋体"/>
                <w:b/>
                <w:bCs/>
                <w:iCs/>
                <w:color w:val="000000"/>
                <w:sz w:val="24"/>
              </w:rPr>
            </w:pPr>
            <w:r>
              <w:rPr>
                <w:rFonts w:hint="eastAsia" w:ascii="宋体" w:hAnsi="宋体"/>
                <w:b/>
                <w:bCs/>
                <w:iCs/>
                <w:color w:val="000000"/>
                <w:sz w:val="24"/>
              </w:rPr>
              <w:t>3、2020年上半年公司</w:t>
            </w:r>
            <w:r>
              <w:rPr>
                <w:rFonts w:ascii="宋体" w:hAnsi="宋体"/>
                <w:b/>
                <w:bCs/>
                <w:iCs/>
                <w:color w:val="000000"/>
                <w:sz w:val="24"/>
              </w:rPr>
              <w:t>与成都</w:t>
            </w:r>
            <w:r>
              <w:rPr>
                <w:rFonts w:hint="eastAsia" w:ascii="宋体" w:hAnsi="宋体"/>
                <w:b/>
                <w:bCs/>
                <w:iCs/>
                <w:color w:val="000000"/>
                <w:sz w:val="24"/>
              </w:rPr>
              <w:t>捷普签署的</w:t>
            </w:r>
            <w:r>
              <w:rPr>
                <w:rFonts w:ascii="宋体" w:hAnsi="宋体"/>
                <w:b/>
                <w:bCs/>
                <w:iCs/>
                <w:color w:val="000000"/>
                <w:sz w:val="24"/>
              </w:rPr>
              <w:t>合同</w:t>
            </w:r>
            <w:r>
              <w:rPr>
                <w:rFonts w:hint="eastAsia" w:ascii="宋体" w:hAnsi="宋体"/>
                <w:b/>
                <w:bCs/>
                <w:iCs/>
                <w:color w:val="000000"/>
                <w:sz w:val="24"/>
              </w:rPr>
              <w:t>订单交付进展情况？</w:t>
            </w:r>
          </w:p>
          <w:p>
            <w:pPr>
              <w:spacing w:line="480" w:lineRule="atLeast"/>
              <w:ind w:firstLine="480" w:firstLineChars="200"/>
              <w:rPr>
                <w:rFonts w:ascii="宋体" w:hAnsi="宋体"/>
                <w:bCs/>
                <w:iCs/>
                <w:color w:val="000000"/>
                <w:sz w:val="24"/>
              </w:rPr>
            </w:pPr>
            <w:r>
              <w:rPr>
                <w:rFonts w:hint="eastAsia" w:ascii="宋体" w:hAnsi="宋体"/>
                <w:bCs/>
                <w:iCs/>
                <w:color w:val="000000"/>
                <w:sz w:val="24"/>
              </w:rPr>
              <w:t>目前公司与成都捷普签署的合同订单正按计划正常履行。截至到</w:t>
            </w:r>
            <w:r>
              <w:rPr>
                <w:rFonts w:ascii="宋体" w:hAnsi="宋体"/>
                <w:bCs/>
                <w:iCs/>
                <w:color w:val="000000"/>
                <w:sz w:val="24"/>
              </w:rPr>
              <w:t>2020</w:t>
            </w:r>
            <w:r>
              <w:rPr>
                <w:rFonts w:hint="eastAsia" w:ascii="宋体" w:hAnsi="宋体"/>
                <w:bCs/>
                <w:iCs/>
                <w:color w:val="000000"/>
                <w:sz w:val="24"/>
              </w:rPr>
              <w:t>年6月30日，公司已交付的机台占合同总</w:t>
            </w:r>
            <w:r>
              <w:rPr>
                <w:rFonts w:ascii="宋体" w:hAnsi="宋体"/>
                <w:bCs/>
                <w:iCs/>
                <w:color w:val="000000"/>
                <w:sz w:val="24"/>
              </w:rPr>
              <w:t>数量</w:t>
            </w:r>
            <w:r>
              <w:rPr>
                <w:rFonts w:hint="eastAsia" w:ascii="宋体" w:hAnsi="宋体"/>
                <w:bCs/>
                <w:iCs/>
                <w:color w:val="000000"/>
                <w:sz w:val="24"/>
              </w:rPr>
              <w:t>的三分之一左右，预计今年三季</w:t>
            </w:r>
            <w:r>
              <w:rPr>
                <w:rFonts w:ascii="宋体" w:hAnsi="宋体"/>
                <w:bCs/>
                <w:iCs/>
                <w:color w:val="000000"/>
                <w:sz w:val="24"/>
              </w:rPr>
              <w:t>度</w:t>
            </w:r>
            <w:r>
              <w:rPr>
                <w:rFonts w:hint="eastAsia" w:ascii="宋体" w:hAnsi="宋体"/>
                <w:bCs/>
                <w:iCs/>
                <w:color w:val="000000"/>
                <w:sz w:val="24"/>
              </w:rPr>
              <w:t>公司</w:t>
            </w:r>
            <w:r>
              <w:rPr>
                <w:rFonts w:ascii="宋体" w:hAnsi="宋体"/>
                <w:bCs/>
                <w:iCs/>
                <w:color w:val="000000"/>
                <w:sz w:val="24"/>
              </w:rPr>
              <w:t>将会</w:t>
            </w:r>
            <w:r>
              <w:rPr>
                <w:rFonts w:hint="eastAsia" w:ascii="宋体" w:hAnsi="宋体"/>
                <w:bCs/>
                <w:iCs/>
                <w:color w:val="000000"/>
                <w:sz w:val="24"/>
              </w:rPr>
              <w:t>陆续</w:t>
            </w:r>
            <w:r>
              <w:rPr>
                <w:rFonts w:ascii="宋体" w:hAnsi="宋体"/>
                <w:bCs/>
                <w:iCs/>
                <w:color w:val="000000"/>
                <w:sz w:val="24"/>
              </w:rPr>
              <w:t>完成剩余</w:t>
            </w:r>
            <w:r>
              <w:rPr>
                <w:rFonts w:hint="eastAsia" w:ascii="宋体" w:hAnsi="宋体"/>
                <w:bCs/>
                <w:iCs/>
                <w:color w:val="000000"/>
                <w:sz w:val="24"/>
              </w:rPr>
              <w:t>设备</w:t>
            </w:r>
            <w:r>
              <w:rPr>
                <w:rFonts w:ascii="宋体" w:hAnsi="宋体"/>
                <w:bCs/>
                <w:iCs/>
                <w:color w:val="000000"/>
                <w:sz w:val="24"/>
              </w:rPr>
              <w:t>的交付。</w:t>
            </w:r>
            <w:r>
              <w:rPr>
                <w:rFonts w:hint="eastAsia" w:ascii="宋体" w:hAnsi="宋体"/>
                <w:bCs/>
                <w:iCs/>
                <w:color w:val="000000"/>
                <w:sz w:val="24"/>
              </w:rPr>
              <w:t>公司产品需要通过安装调试并进行小批量验证，</w:t>
            </w:r>
            <w:r>
              <w:rPr>
                <w:rFonts w:ascii="宋体" w:hAnsi="宋体"/>
                <w:bCs/>
                <w:iCs/>
                <w:color w:val="000000"/>
                <w:sz w:val="24"/>
              </w:rPr>
              <w:t>达到客户的</w:t>
            </w:r>
            <w:r>
              <w:rPr>
                <w:rFonts w:hint="eastAsia" w:ascii="宋体" w:hAnsi="宋体"/>
                <w:bCs/>
                <w:iCs/>
                <w:color w:val="000000"/>
                <w:sz w:val="24"/>
              </w:rPr>
              <w:t>使用</w:t>
            </w:r>
            <w:r>
              <w:rPr>
                <w:rFonts w:ascii="宋体" w:hAnsi="宋体"/>
                <w:bCs/>
                <w:iCs/>
                <w:color w:val="000000"/>
                <w:sz w:val="24"/>
              </w:rPr>
              <w:t>状态后才能完成</w:t>
            </w:r>
            <w:r>
              <w:rPr>
                <w:rFonts w:hint="eastAsia" w:ascii="宋体" w:hAnsi="宋体"/>
                <w:bCs/>
                <w:iCs/>
                <w:color w:val="000000"/>
                <w:sz w:val="24"/>
              </w:rPr>
              <w:t>验收。</w:t>
            </w:r>
          </w:p>
          <w:p>
            <w:pPr>
              <w:spacing w:line="480" w:lineRule="atLeast"/>
              <w:rPr>
                <w:rFonts w:ascii="宋体" w:hAnsi="宋体"/>
                <w:b/>
                <w:bCs/>
                <w:iCs/>
                <w:color w:val="000000"/>
                <w:sz w:val="24"/>
              </w:rPr>
            </w:pPr>
            <w:r>
              <w:rPr>
                <w:rFonts w:hint="eastAsia" w:ascii="宋体" w:hAnsi="宋体"/>
                <w:b/>
                <w:bCs/>
                <w:sz w:val="24"/>
              </w:rPr>
              <w:t>4、公司现金</w:t>
            </w:r>
            <w:r>
              <w:rPr>
                <w:rFonts w:ascii="宋体" w:hAnsi="宋体"/>
                <w:b/>
                <w:bCs/>
                <w:sz w:val="24"/>
              </w:rPr>
              <w:t>流情况及未来</w:t>
            </w:r>
            <w:r>
              <w:rPr>
                <w:rFonts w:hint="eastAsia" w:ascii="宋体" w:hAnsi="宋体"/>
                <w:b/>
                <w:bCs/>
                <w:sz w:val="24"/>
              </w:rPr>
              <w:t>融资</w:t>
            </w:r>
            <w:r>
              <w:rPr>
                <w:rFonts w:ascii="宋体" w:hAnsi="宋体"/>
                <w:b/>
                <w:bCs/>
                <w:sz w:val="24"/>
              </w:rPr>
              <w:t>需求如何</w:t>
            </w:r>
            <w:r>
              <w:rPr>
                <w:rFonts w:hint="eastAsia" w:ascii="宋体" w:hAnsi="宋体"/>
                <w:b/>
                <w:bCs/>
                <w:iCs/>
                <w:color w:val="000000"/>
                <w:sz w:val="24"/>
              </w:rPr>
              <w:t>？</w:t>
            </w:r>
          </w:p>
          <w:p>
            <w:pPr>
              <w:spacing w:line="360" w:lineRule="auto"/>
              <w:ind w:firstLine="480" w:firstLineChars="200"/>
              <w:rPr>
                <w:rFonts w:ascii="宋体" w:hAnsi="宋体"/>
                <w:strike/>
                <w:sz w:val="24"/>
              </w:rPr>
            </w:pPr>
            <w:r>
              <w:rPr>
                <w:rFonts w:ascii="宋体" w:hAnsi="宋体"/>
                <w:sz w:val="24"/>
              </w:rPr>
              <w:t>公司资产结构较为合理，流动资产以货币资金、应收账款和存货为主，资产流动性好，可变现能力较强。公司的客户主要为国内外规模较大的电子制造企业及机械制造企业等，信誉度好，且大多数客户为多年合作客户，</w:t>
            </w:r>
            <w:r>
              <w:rPr>
                <w:rFonts w:hint="eastAsia" w:ascii="宋体" w:hAnsi="宋体"/>
                <w:sz w:val="24"/>
              </w:rPr>
              <w:t>公司订单</w:t>
            </w:r>
            <w:r>
              <w:rPr>
                <w:rFonts w:ascii="宋体" w:hAnsi="宋体"/>
                <w:sz w:val="24"/>
              </w:rPr>
              <w:t>回款</w:t>
            </w:r>
            <w:r>
              <w:rPr>
                <w:rFonts w:hint="eastAsia" w:ascii="宋体" w:hAnsi="宋体"/>
                <w:sz w:val="24"/>
              </w:rPr>
              <w:t>能</w:t>
            </w:r>
            <w:r>
              <w:rPr>
                <w:rFonts w:ascii="宋体" w:hAnsi="宋体"/>
                <w:sz w:val="24"/>
              </w:rPr>
              <w:t>按合同约定</w:t>
            </w:r>
            <w:r>
              <w:rPr>
                <w:rFonts w:hint="eastAsia" w:ascii="宋体" w:hAnsi="宋体"/>
                <w:sz w:val="24"/>
              </w:rPr>
              <w:t>较</w:t>
            </w:r>
            <w:r>
              <w:rPr>
                <w:rFonts w:ascii="宋体" w:hAnsi="宋体"/>
                <w:sz w:val="24"/>
              </w:rPr>
              <w:t>好的</w:t>
            </w:r>
            <w:r>
              <w:rPr>
                <w:rFonts w:hint="eastAsia" w:ascii="宋体" w:hAnsi="宋体"/>
                <w:sz w:val="24"/>
              </w:rPr>
              <w:t>执行</w:t>
            </w:r>
            <w:r>
              <w:rPr>
                <w:rFonts w:ascii="宋体" w:hAnsi="宋体"/>
                <w:sz w:val="24"/>
              </w:rPr>
              <w:t>。</w:t>
            </w:r>
          </w:p>
          <w:p>
            <w:pPr>
              <w:spacing w:line="360" w:lineRule="auto"/>
              <w:ind w:firstLine="480" w:firstLineChars="200"/>
            </w:pPr>
            <w:r>
              <w:rPr>
                <w:rFonts w:hint="eastAsia" w:ascii="宋体" w:hAnsi="宋体"/>
                <w:sz w:val="24"/>
              </w:rPr>
              <w:t>未来公司</w:t>
            </w:r>
            <w:r>
              <w:rPr>
                <w:rFonts w:ascii="宋体" w:hAnsi="宋体"/>
                <w:sz w:val="24"/>
              </w:rPr>
              <w:t>将根据</w:t>
            </w:r>
            <w:r>
              <w:rPr>
                <w:rFonts w:hint="eastAsia" w:ascii="宋体" w:hAnsi="宋体"/>
                <w:sz w:val="24"/>
              </w:rPr>
              <w:t>经营</w:t>
            </w:r>
            <w:r>
              <w:rPr>
                <w:rFonts w:ascii="宋体" w:hAnsi="宋体"/>
                <w:sz w:val="24"/>
              </w:rPr>
              <w:t>发</w:t>
            </w:r>
            <w:r>
              <w:rPr>
                <w:rFonts w:hint="eastAsia" w:ascii="宋体" w:hAnsi="宋体"/>
                <w:sz w:val="24"/>
              </w:rPr>
              <w:t>展</w:t>
            </w:r>
            <w:r>
              <w:rPr>
                <w:rFonts w:ascii="宋体" w:hAnsi="宋体"/>
                <w:sz w:val="24"/>
              </w:rPr>
              <w:t>和投</w:t>
            </w:r>
            <w:r>
              <w:rPr>
                <w:rFonts w:hint="eastAsia" w:ascii="宋体" w:hAnsi="宋体"/>
                <w:sz w:val="24"/>
              </w:rPr>
              <w:t>资</w:t>
            </w:r>
            <w:r>
              <w:rPr>
                <w:rFonts w:ascii="宋体" w:hAnsi="宋体"/>
                <w:sz w:val="24"/>
              </w:rPr>
              <w:t>需求，</w:t>
            </w:r>
            <w:r>
              <w:rPr>
                <w:rFonts w:hint="eastAsia" w:ascii="宋体" w:hAnsi="宋体"/>
                <w:sz w:val="24"/>
              </w:rPr>
              <w:t>同时</w:t>
            </w:r>
            <w:r>
              <w:rPr>
                <w:rFonts w:ascii="宋体" w:hAnsi="宋体"/>
                <w:sz w:val="24"/>
              </w:rPr>
              <w:t>综合考虑</w:t>
            </w:r>
            <w:r>
              <w:rPr>
                <w:rFonts w:hint="eastAsia" w:ascii="宋体" w:hAnsi="宋体"/>
                <w:sz w:val="24"/>
              </w:rPr>
              <w:t>自身</w:t>
            </w:r>
            <w:r>
              <w:rPr>
                <w:rFonts w:ascii="宋体" w:hAnsi="宋体"/>
                <w:sz w:val="24"/>
              </w:rPr>
              <w:t>财务</w:t>
            </w:r>
            <w:r>
              <w:rPr>
                <w:rFonts w:hint="eastAsia" w:ascii="宋体" w:hAnsi="宋体"/>
                <w:sz w:val="24"/>
              </w:rPr>
              <w:t>结构</w:t>
            </w:r>
            <w:r>
              <w:rPr>
                <w:rFonts w:ascii="宋体" w:hAnsi="宋体"/>
                <w:sz w:val="24"/>
              </w:rPr>
              <w:t>与资本</w:t>
            </w:r>
            <w:r>
              <w:rPr>
                <w:rFonts w:hint="eastAsia" w:ascii="宋体" w:hAnsi="宋体"/>
                <w:sz w:val="24"/>
              </w:rPr>
              <w:t>市场情况灵活</w:t>
            </w:r>
            <w:r>
              <w:rPr>
                <w:rFonts w:ascii="宋体" w:hAnsi="宋体"/>
                <w:sz w:val="24"/>
              </w:rPr>
              <w:t>确定融资</w:t>
            </w:r>
            <w:r>
              <w:rPr>
                <w:rFonts w:hint="eastAsia" w:ascii="宋体" w:hAnsi="宋体"/>
                <w:sz w:val="24"/>
              </w:rPr>
              <w:t>计划</w:t>
            </w:r>
            <w:r>
              <w:rPr>
                <w:rFonts w:ascii="宋体" w:hAnsi="宋体"/>
                <w:sz w:val="24"/>
              </w:rPr>
              <w:t>。</w:t>
            </w:r>
          </w:p>
          <w:p>
            <w:pPr>
              <w:spacing w:line="360" w:lineRule="auto"/>
              <w:rPr>
                <w:rFonts w:ascii="宋体" w:hAnsi="宋体"/>
                <w:b/>
                <w:bCs/>
                <w:sz w:val="24"/>
              </w:rPr>
            </w:pPr>
            <w:r>
              <w:rPr>
                <w:rFonts w:hint="eastAsia" w:ascii="宋体" w:hAnsi="宋体"/>
                <w:b/>
                <w:bCs/>
                <w:sz w:val="24"/>
              </w:rPr>
              <w:t>5、公司营业收入</w:t>
            </w:r>
            <w:r>
              <w:rPr>
                <w:rFonts w:ascii="宋体" w:hAnsi="宋体"/>
                <w:b/>
                <w:bCs/>
                <w:sz w:val="24"/>
              </w:rPr>
              <w:t>的区域分</w:t>
            </w:r>
            <w:r>
              <w:rPr>
                <w:rFonts w:hint="eastAsia" w:ascii="宋体" w:hAnsi="宋体"/>
                <w:b/>
                <w:bCs/>
                <w:sz w:val="24"/>
              </w:rPr>
              <w:t>布</w:t>
            </w:r>
            <w:r>
              <w:rPr>
                <w:rFonts w:ascii="宋体" w:hAnsi="宋体"/>
                <w:b/>
                <w:bCs/>
                <w:sz w:val="24"/>
              </w:rPr>
              <w:t>变化较大，主要原因是什么</w:t>
            </w:r>
            <w:r>
              <w:rPr>
                <w:rFonts w:hint="eastAsia" w:ascii="宋体" w:hAnsi="宋体"/>
                <w:b/>
                <w:bCs/>
                <w:sz w:val="24"/>
              </w:rPr>
              <w:t>？</w:t>
            </w:r>
          </w:p>
          <w:p>
            <w:pPr>
              <w:spacing w:line="360" w:lineRule="auto"/>
              <w:ind w:firstLine="480" w:firstLineChars="200"/>
              <w:rPr>
                <w:rFonts w:ascii="宋体" w:hAnsi="宋体"/>
                <w:sz w:val="24"/>
              </w:rPr>
            </w:pPr>
            <w:r>
              <w:rPr>
                <w:rFonts w:hint="eastAsia" w:ascii="宋体" w:hAnsi="宋体"/>
                <w:sz w:val="24"/>
              </w:rPr>
              <w:t>公司主要</w:t>
            </w:r>
            <w:r>
              <w:rPr>
                <w:rFonts w:ascii="宋体" w:hAnsi="宋体"/>
                <w:sz w:val="24"/>
              </w:rPr>
              <w:t>为汽车零配件和消费电子行业客户提供精密磨削与抛光设备，公司</w:t>
            </w:r>
            <w:r>
              <w:rPr>
                <w:rFonts w:hint="eastAsia" w:ascii="宋体" w:hAnsi="宋体"/>
                <w:sz w:val="24"/>
              </w:rPr>
              <w:t>近年</w:t>
            </w:r>
            <w:r>
              <w:rPr>
                <w:rFonts w:ascii="宋体" w:hAnsi="宋体"/>
                <w:sz w:val="24"/>
              </w:rPr>
              <w:t>营业收入中，</w:t>
            </w:r>
            <w:r>
              <w:rPr>
                <w:rFonts w:hint="eastAsia" w:ascii="宋体" w:hAnsi="宋体"/>
                <w:sz w:val="24"/>
              </w:rPr>
              <w:t>从订单</w:t>
            </w:r>
            <w:r>
              <w:rPr>
                <w:rFonts w:ascii="宋体" w:hAnsi="宋体"/>
                <w:sz w:val="24"/>
              </w:rPr>
              <w:t>区域构成来看变化较大，主要</w:t>
            </w:r>
            <w:r>
              <w:rPr>
                <w:rFonts w:hint="eastAsia" w:ascii="宋体" w:hAnsi="宋体"/>
                <w:sz w:val="24"/>
              </w:rPr>
              <w:t>原因为消费</w:t>
            </w:r>
            <w:r>
              <w:rPr>
                <w:rFonts w:ascii="宋体" w:hAnsi="宋体"/>
                <w:sz w:val="24"/>
              </w:rPr>
              <w:t>电子行业</w:t>
            </w:r>
            <w:r>
              <w:rPr>
                <w:rFonts w:hint="eastAsia" w:ascii="宋体" w:hAnsi="宋体"/>
                <w:sz w:val="24"/>
              </w:rPr>
              <w:t>客户根据</w:t>
            </w:r>
            <w:r>
              <w:rPr>
                <w:rFonts w:ascii="宋体" w:hAnsi="宋体"/>
                <w:sz w:val="24"/>
              </w:rPr>
              <w:t>自身经营发展情况，在区域</w:t>
            </w:r>
            <w:r>
              <w:rPr>
                <w:rFonts w:hint="eastAsia" w:ascii="宋体" w:hAnsi="宋体"/>
                <w:sz w:val="24"/>
              </w:rPr>
              <w:t>拓展</w:t>
            </w:r>
            <w:r>
              <w:rPr>
                <w:rFonts w:ascii="宋体" w:hAnsi="宋体"/>
                <w:sz w:val="24"/>
              </w:rPr>
              <w:t>和布局上</w:t>
            </w:r>
            <w:r>
              <w:rPr>
                <w:rFonts w:hint="eastAsia" w:ascii="宋体" w:hAnsi="宋体"/>
                <w:sz w:val="24"/>
              </w:rPr>
              <w:t>出现</w:t>
            </w:r>
            <w:r>
              <w:rPr>
                <w:rFonts w:ascii="宋体" w:hAnsi="宋体"/>
                <w:sz w:val="24"/>
              </w:rPr>
              <w:t>变化</w:t>
            </w:r>
            <w:r>
              <w:rPr>
                <w:rFonts w:hint="eastAsia" w:ascii="宋体" w:hAnsi="宋体"/>
                <w:sz w:val="24"/>
              </w:rPr>
              <w:t>。</w:t>
            </w:r>
            <w:r>
              <w:rPr>
                <w:rFonts w:ascii="宋体" w:hAnsi="宋体"/>
                <w:sz w:val="24"/>
              </w:rPr>
              <w:t>整体来看，公司主要客户和下游市</w:t>
            </w:r>
            <w:r>
              <w:rPr>
                <w:rFonts w:hint="eastAsia" w:ascii="宋体" w:hAnsi="宋体"/>
                <w:sz w:val="24"/>
              </w:rPr>
              <w:t>场</w:t>
            </w:r>
            <w:r>
              <w:rPr>
                <w:rFonts w:ascii="宋体" w:hAnsi="宋体"/>
                <w:sz w:val="24"/>
              </w:rPr>
              <w:t>较为稳定。</w:t>
            </w:r>
          </w:p>
          <w:p>
            <w:pPr>
              <w:spacing w:line="360" w:lineRule="auto"/>
            </w:pPr>
            <w:r>
              <w:rPr>
                <w:rFonts w:hint="eastAsia" w:ascii="宋体" w:hAnsi="宋体"/>
                <w:b/>
                <w:bCs/>
                <w:sz w:val="24"/>
              </w:rPr>
              <w:t>6、</w:t>
            </w:r>
            <w:r>
              <w:rPr>
                <w:rFonts w:ascii="宋体" w:hAnsi="宋体"/>
                <w:b/>
                <w:bCs/>
                <w:sz w:val="24"/>
              </w:rPr>
              <w:t>公司产</w:t>
            </w:r>
            <w:r>
              <w:rPr>
                <w:rFonts w:hint="eastAsia" w:ascii="宋体" w:hAnsi="宋体"/>
                <w:b/>
                <w:bCs/>
                <w:sz w:val="24"/>
              </w:rPr>
              <w:t>品在消费电子行业</w:t>
            </w:r>
            <w:r>
              <w:rPr>
                <w:rFonts w:ascii="宋体" w:hAnsi="宋体"/>
                <w:b/>
                <w:bCs/>
                <w:sz w:val="24"/>
              </w:rPr>
              <w:t>的更新周期</w:t>
            </w:r>
            <w:r>
              <w:rPr>
                <w:rFonts w:hint="eastAsia" w:ascii="宋体" w:hAnsi="宋体"/>
                <w:b/>
                <w:bCs/>
                <w:sz w:val="24"/>
              </w:rPr>
              <w:t>多长</w:t>
            </w:r>
            <w:r>
              <w:rPr>
                <w:rFonts w:ascii="宋体" w:hAnsi="宋体"/>
                <w:b/>
                <w:bCs/>
                <w:sz w:val="24"/>
              </w:rPr>
              <w:t>？</w:t>
            </w:r>
          </w:p>
          <w:p>
            <w:pPr>
              <w:spacing w:line="360" w:lineRule="auto"/>
              <w:ind w:firstLine="480" w:firstLineChars="200"/>
              <w:rPr>
                <w:rFonts w:ascii="宋体" w:hAnsi="宋体"/>
                <w:sz w:val="24"/>
              </w:rPr>
            </w:pPr>
            <w:r>
              <w:rPr>
                <w:rFonts w:hint="eastAsia" w:ascii="宋体" w:hAnsi="宋体"/>
                <w:sz w:val="24"/>
              </w:rPr>
              <w:t>公司产品在消费电</w:t>
            </w:r>
            <w:bookmarkStart w:id="0" w:name="_GoBack"/>
            <w:bookmarkEnd w:id="0"/>
            <w:r>
              <w:rPr>
                <w:rFonts w:hint="eastAsia" w:ascii="宋体" w:hAnsi="宋体"/>
                <w:sz w:val="24"/>
              </w:rPr>
              <w:t>子行业主要应用于外观件、结构件（如边框、背板等）和触摸屏玻璃基板等精密组件的高精度磨削和抛光。消费电子行业新材料的应用和加工精度在不断提高，产品更新换代速度较快。为了更好的满足消费者需求，同时在较短的时间内形成批量产能，消费电子行业设备的更新周期较其他传统行业要快，其设备更新周期一般是2-3年左右。</w:t>
            </w:r>
          </w:p>
          <w:p>
            <w:pPr>
              <w:spacing w:line="360" w:lineRule="auto"/>
              <w:rPr>
                <w:rFonts w:ascii="宋体" w:hAnsi="宋体"/>
                <w:b/>
                <w:bCs/>
                <w:sz w:val="24"/>
              </w:rPr>
            </w:pPr>
            <w:r>
              <w:rPr>
                <w:rFonts w:hint="eastAsia" w:ascii="宋体" w:hAnsi="宋体"/>
                <w:b/>
                <w:bCs/>
                <w:sz w:val="24"/>
              </w:rPr>
              <w:t>7、公司在</w:t>
            </w:r>
            <w:r>
              <w:rPr>
                <w:rFonts w:ascii="宋体" w:hAnsi="宋体"/>
                <w:b/>
                <w:bCs/>
                <w:sz w:val="24"/>
              </w:rPr>
              <w:t>智能装备</w:t>
            </w:r>
            <w:r>
              <w:rPr>
                <w:rFonts w:hint="eastAsia" w:ascii="宋体" w:hAnsi="宋体"/>
                <w:b/>
                <w:bCs/>
                <w:sz w:val="24"/>
              </w:rPr>
              <w:t>业务</w:t>
            </w:r>
            <w:r>
              <w:rPr>
                <w:rFonts w:ascii="宋体" w:hAnsi="宋体"/>
                <w:b/>
                <w:bCs/>
                <w:sz w:val="24"/>
              </w:rPr>
              <w:t>方面的发展规划？</w:t>
            </w:r>
          </w:p>
          <w:p>
            <w:pPr>
              <w:spacing w:line="360" w:lineRule="auto"/>
              <w:ind w:firstLine="360" w:firstLineChars="150"/>
              <w:rPr>
                <w:rFonts w:ascii="宋体" w:hAnsi="宋体"/>
                <w:bCs/>
                <w:iCs/>
                <w:color w:val="000000"/>
                <w:sz w:val="24"/>
              </w:rPr>
            </w:pPr>
            <w:r>
              <w:rPr>
                <w:rFonts w:hint="eastAsia" w:ascii="宋体" w:hAnsi="宋体"/>
                <w:sz w:val="24"/>
              </w:rPr>
              <w:t>智能装备业务</w:t>
            </w:r>
            <w:r>
              <w:rPr>
                <w:rFonts w:ascii="宋体" w:hAnsi="宋体"/>
                <w:sz w:val="24"/>
              </w:rPr>
              <w:t>是公司主要业务之一，</w:t>
            </w:r>
            <w:r>
              <w:rPr>
                <w:rFonts w:hint="eastAsia" w:ascii="宋体" w:hAnsi="宋体"/>
                <w:sz w:val="24"/>
              </w:rPr>
              <w:t>主要是</w:t>
            </w:r>
            <w:r>
              <w:rPr>
                <w:rFonts w:ascii="宋体" w:hAnsi="宋体"/>
                <w:sz w:val="24"/>
              </w:rPr>
              <w:t>为</w:t>
            </w:r>
            <w:r>
              <w:rPr>
                <w:rFonts w:hint="eastAsia" w:ascii="宋体" w:hAnsi="宋体"/>
                <w:sz w:val="24"/>
              </w:rPr>
              <w:t>公司</w:t>
            </w:r>
            <w:r>
              <w:rPr>
                <w:rFonts w:ascii="宋体" w:hAnsi="宋体"/>
                <w:sz w:val="24"/>
              </w:rPr>
              <w:t>数控磨床和抛光机提供</w:t>
            </w:r>
            <w:r>
              <w:rPr>
                <w:rFonts w:hint="eastAsia" w:ascii="宋体" w:hAnsi="宋体"/>
                <w:sz w:val="24"/>
              </w:rPr>
              <w:t>定制智能</w:t>
            </w:r>
            <w:r>
              <w:rPr>
                <w:rFonts w:ascii="宋体" w:hAnsi="宋体"/>
                <w:sz w:val="24"/>
              </w:rPr>
              <w:t>化配套开发服务。经</w:t>
            </w:r>
            <w:r>
              <w:rPr>
                <w:rFonts w:hint="eastAsia" w:ascii="宋体" w:hAnsi="宋体"/>
                <w:sz w:val="24"/>
              </w:rPr>
              <w:t>过</w:t>
            </w:r>
            <w:r>
              <w:rPr>
                <w:rFonts w:ascii="宋体" w:hAnsi="宋体"/>
                <w:sz w:val="24"/>
              </w:rPr>
              <w:t>多年的发展，公司</w:t>
            </w:r>
            <w:r>
              <w:rPr>
                <w:rFonts w:hint="eastAsia" w:ascii="宋体" w:hAnsi="宋体"/>
                <w:sz w:val="24"/>
              </w:rPr>
              <w:t>在</w:t>
            </w:r>
            <w:r>
              <w:rPr>
                <w:rFonts w:ascii="宋体" w:hAnsi="宋体"/>
                <w:sz w:val="24"/>
              </w:rPr>
              <w:t>智能自动</w:t>
            </w:r>
            <w:r>
              <w:rPr>
                <w:rFonts w:hint="eastAsia" w:ascii="宋体" w:hAnsi="宋体"/>
                <w:sz w:val="24"/>
              </w:rPr>
              <w:t>化</w:t>
            </w:r>
            <w:r>
              <w:rPr>
                <w:rFonts w:ascii="宋体" w:hAnsi="宋体"/>
                <w:sz w:val="24"/>
              </w:rPr>
              <w:t>方面</w:t>
            </w:r>
            <w:r>
              <w:rPr>
                <w:rFonts w:hint="eastAsia" w:ascii="宋体" w:hAnsi="宋体"/>
                <w:sz w:val="24"/>
              </w:rPr>
              <w:t>已</w:t>
            </w:r>
            <w:r>
              <w:rPr>
                <w:rFonts w:ascii="宋体" w:hAnsi="宋体"/>
                <w:sz w:val="24"/>
              </w:rPr>
              <w:t>形成一定的技术积累</w:t>
            </w:r>
            <w:r>
              <w:rPr>
                <w:rFonts w:hint="eastAsia" w:ascii="宋体" w:hAnsi="宋体"/>
                <w:sz w:val="24"/>
              </w:rPr>
              <w:t>，目前</w:t>
            </w:r>
            <w:r>
              <w:rPr>
                <w:rFonts w:ascii="宋体" w:hAnsi="宋体"/>
                <w:sz w:val="24"/>
              </w:rPr>
              <w:t>已成功</w:t>
            </w:r>
            <w:r>
              <w:rPr>
                <w:rFonts w:hint="eastAsia" w:asciiTheme="minorEastAsia" w:hAnsiTheme="minorEastAsia" w:eastAsiaTheme="minorEastAsia" w:cstheme="minorEastAsia"/>
                <w:kern w:val="0"/>
                <w:sz w:val="24"/>
                <w:lang w:bidi="ar"/>
              </w:rPr>
              <w:t>为机械加工、汽车、轨道交通、微电子、变压器等行业企业提供</w:t>
            </w:r>
            <w:r>
              <w:rPr>
                <w:rFonts w:asciiTheme="minorEastAsia" w:hAnsiTheme="minorEastAsia" w:eastAsiaTheme="minorEastAsia" w:cstheme="minorEastAsia"/>
                <w:kern w:val="0"/>
                <w:sz w:val="24"/>
                <w:lang w:bidi="ar"/>
              </w:rPr>
              <w:t>相关智能化解决</w:t>
            </w:r>
            <w:r>
              <w:rPr>
                <w:rFonts w:hint="eastAsia" w:asciiTheme="minorEastAsia" w:hAnsiTheme="minorEastAsia" w:eastAsiaTheme="minorEastAsia" w:cstheme="minorEastAsia"/>
                <w:kern w:val="0"/>
                <w:sz w:val="24"/>
                <w:lang w:bidi="ar"/>
              </w:rPr>
              <w:t>方案。</w:t>
            </w:r>
            <w:r>
              <w:rPr>
                <w:rFonts w:asciiTheme="minorEastAsia" w:hAnsiTheme="minorEastAsia" w:eastAsiaTheme="minorEastAsia" w:cstheme="minorEastAsia"/>
                <w:kern w:val="0"/>
                <w:sz w:val="24"/>
                <w:lang w:bidi="ar"/>
              </w:rPr>
              <w:t>未来</w:t>
            </w:r>
            <w:r>
              <w:rPr>
                <w:rFonts w:hint="eastAsia" w:asciiTheme="minorEastAsia" w:hAnsiTheme="minorEastAsia" w:eastAsiaTheme="minorEastAsia" w:cstheme="minorEastAsia"/>
                <w:kern w:val="0"/>
                <w:sz w:val="24"/>
                <w:lang w:bidi="ar"/>
              </w:rPr>
              <w:t>公司将</w:t>
            </w:r>
            <w:r>
              <w:rPr>
                <w:rFonts w:asciiTheme="minorEastAsia" w:hAnsiTheme="minorEastAsia" w:eastAsiaTheme="minorEastAsia" w:cstheme="minorEastAsia"/>
                <w:kern w:val="0"/>
                <w:sz w:val="24"/>
                <w:lang w:bidi="ar"/>
              </w:rPr>
              <w:t>进一步加大在智能装备方面的投入力度，</w:t>
            </w:r>
            <w:r>
              <w:rPr>
                <w:rFonts w:hint="eastAsia" w:asciiTheme="minorEastAsia" w:hAnsiTheme="minorEastAsia" w:eastAsiaTheme="minorEastAsia" w:cstheme="minorEastAsia"/>
                <w:kern w:val="0"/>
                <w:sz w:val="24"/>
                <w:lang w:bidi="ar"/>
              </w:rPr>
              <w:t>以更</w:t>
            </w:r>
            <w:r>
              <w:rPr>
                <w:rFonts w:asciiTheme="minorEastAsia" w:hAnsiTheme="minorEastAsia" w:eastAsiaTheme="minorEastAsia" w:cstheme="minorEastAsia"/>
                <w:kern w:val="0"/>
                <w:sz w:val="24"/>
                <w:lang w:bidi="ar"/>
              </w:rPr>
              <w:t>好的</w:t>
            </w:r>
            <w:r>
              <w:rPr>
                <w:rFonts w:hint="eastAsia" w:asciiTheme="minorEastAsia" w:hAnsiTheme="minorEastAsia" w:eastAsiaTheme="minorEastAsia" w:cstheme="minorEastAsia"/>
                <w:kern w:val="0"/>
                <w:sz w:val="24"/>
                <w:lang w:bidi="ar"/>
              </w:rPr>
              <w:t>满足</w:t>
            </w:r>
            <w:r>
              <w:rPr>
                <w:rFonts w:asciiTheme="minorEastAsia" w:hAnsiTheme="minorEastAsia" w:eastAsiaTheme="minorEastAsia" w:cstheme="minorEastAsia"/>
                <w:kern w:val="0"/>
                <w:sz w:val="24"/>
                <w:lang w:bidi="ar"/>
              </w:rPr>
              <w:t>市场客户</w:t>
            </w:r>
            <w:r>
              <w:rPr>
                <w:rFonts w:hint="eastAsia" w:asciiTheme="minorEastAsia" w:hAnsiTheme="minorEastAsia" w:eastAsiaTheme="minorEastAsia" w:cstheme="minorEastAsia"/>
                <w:kern w:val="0"/>
                <w:sz w:val="24"/>
                <w:lang w:bidi="ar"/>
              </w:rPr>
              <w:t>的</w:t>
            </w:r>
            <w:r>
              <w:rPr>
                <w:rFonts w:asciiTheme="minorEastAsia" w:hAnsiTheme="minorEastAsia" w:eastAsiaTheme="minorEastAsia" w:cstheme="minorEastAsia"/>
                <w:kern w:val="0"/>
                <w:sz w:val="24"/>
                <w:lang w:bidi="ar"/>
              </w:rPr>
              <w:t>智能化需求。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附件清单（如有）</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2020年</w:t>
            </w:r>
            <w:r>
              <w:rPr>
                <w:rFonts w:ascii="宋体" w:hAnsi="宋体"/>
                <w:bCs/>
                <w:iCs/>
                <w:color w:val="000000"/>
                <w:sz w:val="24"/>
              </w:rPr>
              <w:t>9</w:t>
            </w:r>
            <w:r>
              <w:rPr>
                <w:rFonts w:hint="eastAsia" w:ascii="宋体" w:hAnsi="宋体"/>
                <w:bCs/>
                <w:iCs/>
                <w:color w:val="000000"/>
                <w:sz w:val="24"/>
              </w:rPr>
              <w:t>月</w:t>
            </w:r>
            <w:r>
              <w:rPr>
                <w:rFonts w:ascii="宋体" w:hAnsi="宋体"/>
                <w:bCs/>
                <w:iCs/>
                <w:color w:val="000000"/>
                <w:sz w:val="24"/>
              </w:rPr>
              <w:t>3</w:t>
            </w:r>
            <w:r>
              <w:rPr>
                <w:rFonts w:hint="eastAsia" w:ascii="宋体" w:hAnsi="宋体"/>
                <w:bCs/>
                <w:iCs/>
                <w:color w:val="000000"/>
                <w:sz w:val="24"/>
              </w:rPr>
              <w:t>日</w:t>
            </w:r>
          </w:p>
        </w:tc>
      </w:tr>
    </w:tbl>
    <w:p>
      <w:pPr>
        <w:jc w:val="center"/>
        <w:rPr>
          <w:rFonts w:ascii="宋体" w:hAnsi="宋体"/>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4D9D2"/>
    <w:multiLevelType w:val="singleLevel"/>
    <w:tmpl w:val="6F94D9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58D3"/>
    <w:rsid w:val="00005DB8"/>
    <w:rsid w:val="00066D50"/>
    <w:rsid w:val="000B1170"/>
    <w:rsid w:val="001F5195"/>
    <w:rsid w:val="002458D8"/>
    <w:rsid w:val="002C2A52"/>
    <w:rsid w:val="003220CC"/>
    <w:rsid w:val="00322EBB"/>
    <w:rsid w:val="003B08D0"/>
    <w:rsid w:val="003E3039"/>
    <w:rsid w:val="004B49D9"/>
    <w:rsid w:val="004C57EA"/>
    <w:rsid w:val="004F010D"/>
    <w:rsid w:val="005074EC"/>
    <w:rsid w:val="0056120D"/>
    <w:rsid w:val="0058067D"/>
    <w:rsid w:val="005850A8"/>
    <w:rsid w:val="00614C14"/>
    <w:rsid w:val="006C0E59"/>
    <w:rsid w:val="0070472A"/>
    <w:rsid w:val="00756175"/>
    <w:rsid w:val="00784C6C"/>
    <w:rsid w:val="007A46A1"/>
    <w:rsid w:val="007A6C01"/>
    <w:rsid w:val="007B33CF"/>
    <w:rsid w:val="007F29C2"/>
    <w:rsid w:val="007F469B"/>
    <w:rsid w:val="00817556"/>
    <w:rsid w:val="008A2834"/>
    <w:rsid w:val="009139BF"/>
    <w:rsid w:val="009D6760"/>
    <w:rsid w:val="00A265B3"/>
    <w:rsid w:val="00C632F8"/>
    <w:rsid w:val="00CF7A68"/>
    <w:rsid w:val="00D930B5"/>
    <w:rsid w:val="00D959AF"/>
    <w:rsid w:val="00DB361F"/>
    <w:rsid w:val="00DD602D"/>
    <w:rsid w:val="00DE1A9D"/>
    <w:rsid w:val="00F17FE5"/>
    <w:rsid w:val="00F27904"/>
    <w:rsid w:val="00FD5D29"/>
    <w:rsid w:val="02C46BD0"/>
    <w:rsid w:val="03165F04"/>
    <w:rsid w:val="076A7F99"/>
    <w:rsid w:val="17083019"/>
    <w:rsid w:val="244E4926"/>
    <w:rsid w:val="2D3D208E"/>
    <w:rsid w:val="3242448A"/>
    <w:rsid w:val="3B425386"/>
    <w:rsid w:val="49874903"/>
    <w:rsid w:val="4A482F83"/>
    <w:rsid w:val="4B8C305C"/>
    <w:rsid w:val="4BB82BA8"/>
    <w:rsid w:val="590512A4"/>
    <w:rsid w:val="5C7B2B9B"/>
    <w:rsid w:val="6D9C0AEB"/>
    <w:rsid w:val="71A81447"/>
    <w:rsid w:val="77C5772A"/>
    <w:rsid w:val="78D53503"/>
    <w:rsid w:val="7EB4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Pages>
  <Words>284</Words>
  <Characters>1620</Characters>
  <Lines>13</Lines>
  <Paragraphs>3</Paragraphs>
  <TotalTime>8</TotalTime>
  <ScaleCrop>false</ScaleCrop>
  <LinksUpToDate>false</LinksUpToDate>
  <CharactersWithSpaces>1901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2020-09-03T03:50:00Z</dcterms:created>
  <dc:creator>skd004</dc:creator>
  <cp:lastModifiedBy>suny8848</cp:lastModifiedBy>
  <dcterms:modified xsi:type="dcterms:W3CDTF">2020-09-03T08:10:07Z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