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400" w:lineRule="exact"/>
        <w:ind w:firstLine="720" w:firstLineChars="300"/>
        <w:rPr>
          <w:rStyle w:val="6"/>
          <w:rFonts w:ascii="宋体" w:hAnsi="宋体"/>
          <w:bCs/>
          <w:iCs/>
          <w:color w:val="000000"/>
          <w:sz w:val="24"/>
        </w:rPr>
      </w:pPr>
      <w:r>
        <w:rPr>
          <w:rStyle w:val="6"/>
          <w:rFonts w:ascii="宋体" w:hAnsi="宋体"/>
          <w:bCs/>
          <w:iCs/>
          <w:color w:val="000000"/>
          <w:sz w:val="24"/>
        </w:rPr>
        <w:t>证券代码：002332                  证券简称：仙琚制药</w:t>
      </w:r>
    </w:p>
    <w:p>
      <w:pPr>
        <w:spacing w:before="156" w:after="156" w:line="400" w:lineRule="exact"/>
        <w:ind w:firstLine="720" w:firstLineChars="300"/>
        <w:rPr>
          <w:rStyle w:val="6"/>
          <w:rFonts w:ascii="宋体" w:hAnsi="宋体"/>
          <w:bCs/>
          <w:iCs/>
          <w:color w:val="000000"/>
          <w:sz w:val="24"/>
        </w:rPr>
      </w:pPr>
    </w:p>
    <w:p>
      <w:pPr>
        <w:spacing w:before="156" w:after="156" w:line="400" w:lineRule="exact"/>
        <w:jc w:val="center"/>
        <w:rPr>
          <w:rStyle w:val="6"/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Style w:val="6"/>
          <w:rFonts w:ascii="宋体" w:hAnsi="宋体"/>
          <w:b/>
          <w:bCs/>
          <w:iCs/>
          <w:color w:val="000000"/>
          <w:sz w:val="32"/>
          <w:szCs w:val="32"/>
        </w:rPr>
        <w:t>浙江仙琚制药股份有限公司投资者关系活动记录表</w:t>
      </w:r>
    </w:p>
    <w:p>
      <w:pPr>
        <w:spacing w:line="400" w:lineRule="exact"/>
        <w:rPr>
          <w:rStyle w:val="6"/>
          <w:rFonts w:hint="default" w:ascii="宋体" w:hAnsi="宋体" w:eastAsia="宋体"/>
          <w:bCs/>
          <w:iCs/>
          <w:color w:val="FF0000"/>
          <w:sz w:val="24"/>
          <w:lang w:val="en-US" w:eastAsia="zh-CN"/>
        </w:rPr>
      </w:pPr>
      <w:r>
        <w:rPr>
          <w:rStyle w:val="6"/>
          <w:rFonts w:ascii="宋体" w:hAnsi="宋体"/>
          <w:bCs/>
          <w:iCs/>
          <w:color w:val="000000"/>
          <w:sz w:val="24"/>
        </w:rPr>
        <w:t xml:space="preserve">                                                      编号：20</w:t>
      </w:r>
      <w:r>
        <w:rPr>
          <w:rStyle w:val="6"/>
          <w:rFonts w:hint="eastAsia" w:ascii="宋体" w:hAnsi="宋体"/>
          <w:bCs/>
          <w:iCs/>
          <w:color w:val="000000"/>
          <w:sz w:val="24"/>
        </w:rPr>
        <w:t>20</w:t>
      </w:r>
      <w:r>
        <w:rPr>
          <w:rStyle w:val="6"/>
          <w:rFonts w:ascii="宋体" w:hAnsi="宋体"/>
          <w:bCs/>
          <w:iCs/>
          <w:color w:val="000000"/>
          <w:sz w:val="24"/>
        </w:rPr>
        <w:t>-0</w:t>
      </w:r>
      <w:r>
        <w:rPr>
          <w:rStyle w:val="6"/>
          <w:rFonts w:hint="eastAsia" w:ascii="宋体" w:hAnsi="宋体"/>
          <w:bCs/>
          <w:iCs/>
          <w:sz w:val="24"/>
          <w:lang w:val="en-US" w:eastAsia="zh-CN"/>
        </w:rPr>
        <w:t>10</w:t>
      </w:r>
    </w:p>
    <w:tbl>
      <w:tblPr>
        <w:tblStyle w:val="4"/>
        <w:tblW w:w="852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6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tLeast"/>
              <w:rPr>
                <w:rStyle w:val="6"/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b/>
                <w:bCs/>
                <w:iCs/>
                <w:color w:val="000000"/>
                <w:sz w:val="24"/>
              </w:rPr>
              <w:t>投资者关系</w:t>
            </w:r>
          </w:p>
          <w:p>
            <w:pPr>
              <w:spacing w:line="480" w:lineRule="atLeast"/>
              <w:rPr>
                <w:rStyle w:val="6"/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b/>
                <w:bCs/>
                <w:iCs/>
                <w:color w:val="000000"/>
                <w:sz w:val="24"/>
              </w:rPr>
              <w:t>活动类别</w:t>
            </w:r>
          </w:p>
          <w:p>
            <w:pPr>
              <w:spacing w:line="480" w:lineRule="atLeast"/>
              <w:rPr>
                <w:rStyle w:val="6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tLeast"/>
              <w:rPr>
                <w:rStyle w:val="6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Style w:val="6"/>
                <w:rFonts w:ascii="宋体" w:hAnsi="宋体"/>
                <w:sz w:val="24"/>
              </w:rPr>
              <w:t xml:space="preserve">特定对象调研       </w:t>
            </w:r>
            <w:r>
              <w:rPr>
                <w:rStyle w:val="6"/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Style w:val="6"/>
                <w:rFonts w:ascii="宋体" w:hAnsi="宋体"/>
                <w:sz w:val="24"/>
              </w:rPr>
              <w:t>分析师会议</w:t>
            </w:r>
          </w:p>
          <w:p>
            <w:pPr>
              <w:spacing w:line="480" w:lineRule="atLeast"/>
              <w:rPr>
                <w:rStyle w:val="6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Style w:val="6"/>
                <w:rFonts w:ascii="宋体" w:hAnsi="宋体"/>
                <w:sz w:val="24"/>
              </w:rPr>
              <w:t xml:space="preserve">媒体采访           </w:t>
            </w:r>
            <w:r>
              <w:rPr>
                <w:rStyle w:val="6"/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Style w:val="6"/>
                <w:rFonts w:ascii="宋体" w:hAnsi="宋体"/>
                <w:sz w:val="24"/>
              </w:rPr>
              <w:t>业绩说明会</w:t>
            </w:r>
          </w:p>
          <w:p>
            <w:pPr>
              <w:spacing w:line="480" w:lineRule="atLeast"/>
              <w:rPr>
                <w:rStyle w:val="6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Style w:val="6"/>
                <w:rFonts w:ascii="宋体" w:hAnsi="宋体"/>
                <w:sz w:val="24"/>
              </w:rPr>
              <w:t xml:space="preserve">新闻发布会         </w:t>
            </w:r>
            <w:r>
              <w:rPr>
                <w:rStyle w:val="6"/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Style w:val="6"/>
                <w:rFonts w:ascii="宋体" w:hAnsi="宋体"/>
                <w:sz w:val="24"/>
              </w:rPr>
              <w:t>路演活动</w:t>
            </w:r>
          </w:p>
          <w:p>
            <w:pPr>
              <w:tabs>
                <w:tab w:val="center" w:pos="3199"/>
              </w:tabs>
              <w:spacing w:line="480" w:lineRule="atLeast"/>
              <w:rPr>
                <w:rStyle w:val="6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Style w:val="6"/>
                <w:rFonts w:ascii="宋体" w:hAnsi="宋体"/>
                <w:sz w:val="24"/>
              </w:rPr>
              <w:t>现场参观</w:t>
            </w:r>
            <w:r>
              <w:rPr>
                <w:rStyle w:val="6"/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Style w:val="6"/>
                <w:rFonts w:ascii="宋体" w:hAnsi="宋体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Style w:val="6"/>
                <w:rFonts w:ascii="宋体" w:hAnsi="宋体"/>
                <w:sz w:val="24"/>
              </w:rPr>
              <w:t xml:space="preserve">其他 </w:t>
            </w:r>
            <w:r>
              <w:rPr>
                <w:rStyle w:val="6"/>
                <w:rFonts w:ascii="宋体" w:hAnsi="宋体"/>
                <w:sz w:val="24"/>
                <w:szCs w:val="22"/>
              </w:rPr>
              <w:t>电话会议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tLeast"/>
              <w:rPr>
                <w:rStyle w:val="6"/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b/>
                <w:bCs/>
                <w:iCs/>
                <w:color w:val="000000"/>
                <w:sz w:val="24"/>
              </w:rPr>
              <w:t>参与单位名称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6"/>
                <w:rFonts w:hint="default" w:ascii="宋体" w:hAnsi="宋体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财通基金</w:t>
            </w:r>
            <w:r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 xml:space="preserve">  兴业证券  </w:t>
            </w:r>
          </w:p>
          <w:p>
            <w:pPr>
              <w:spacing w:line="360" w:lineRule="auto"/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广发医药</w:t>
            </w:r>
            <w:r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</w:rPr>
              <w:t>潼骁投资</w:t>
            </w:r>
            <w:r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 xml:space="preserve">  中意资产  中欧基金  重阳投资  </w:t>
            </w:r>
          </w:p>
          <w:p>
            <w:pPr>
              <w:spacing w:line="360" w:lineRule="auto"/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Style w:val="6"/>
                <w:rFonts w:hint="default" w:ascii="宋体" w:hAnsi="宋体"/>
                <w:bCs/>
                <w:iCs/>
                <w:color w:val="000000"/>
                <w:sz w:val="24"/>
                <w:lang w:val="en-US" w:eastAsia="zh-CN"/>
              </w:rPr>
              <w:t>华银天夏</w:t>
            </w:r>
            <w:r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 xml:space="preserve">  紫金保险  天虫资本  长江证券  博道基金 </w:t>
            </w:r>
          </w:p>
          <w:p>
            <w:pPr>
              <w:spacing w:line="360" w:lineRule="auto"/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Style w:val="6"/>
                <w:rFonts w:hint="default" w:ascii="宋体" w:hAnsi="宋体"/>
                <w:bCs/>
                <w:iCs/>
                <w:color w:val="000000"/>
                <w:sz w:val="24"/>
                <w:lang w:val="en-US" w:eastAsia="zh-CN"/>
              </w:rPr>
              <w:t>圆成基金</w:t>
            </w:r>
            <w:r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 xml:space="preserve">  华夏基金  九泰基金  华泰柏瑞  汇升投资</w:t>
            </w:r>
          </w:p>
          <w:p>
            <w:pPr>
              <w:spacing w:line="360" w:lineRule="auto"/>
              <w:rPr>
                <w:rStyle w:val="6"/>
                <w:rFonts w:hint="default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Style w:val="6"/>
                <w:rFonts w:hint="default" w:ascii="宋体" w:hAnsi="宋体"/>
                <w:bCs/>
                <w:iCs/>
                <w:color w:val="000000"/>
                <w:sz w:val="24"/>
                <w:lang w:val="en-US" w:eastAsia="zh-CN"/>
              </w:rPr>
              <w:t>聆泽投资</w:t>
            </w:r>
            <w:r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 xml:space="preserve">  神农投资  国信证券  中国人寿  西藏趣合</w:t>
            </w:r>
          </w:p>
          <w:p>
            <w:pPr>
              <w:spacing w:line="360" w:lineRule="auto"/>
              <w:rPr>
                <w:rStyle w:val="6"/>
                <w:rFonts w:hint="default" w:ascii="宋体" w:hAnsi="宋体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</w:rPr>
              <w:t>仁布投资</w:t>
            </w:r>
            <w:r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 xml:space="preserve">  财通资管  天风证券  青榕资产  少薮派投资</w:t>
            </w:r>
          </w:p>
          <w:p>
            <w:pPr>
              <w:spacing w:line="360" w:lineRule="auto"/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</w:rPr>
              <w:t>悟空投资</w:t>
            </w:r>
            <w:r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 xml:space="preserve">  海通资管  长信基金  安信基金  百年保险</w:t>
            </w:r>
          </w:p>
          <w:p>
            <w:pPr>
              <w:spacing w:line="360" w:lineRule="auto"/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Style w:val="6"/>
                <w:rFonts w:hint="default" w:ascii="宋体" w:hAnsi="宋体"/>
                <w:bCs/>
                <w:iCs/>
                <w:color w:val="000000"/>
                <w:sz w:val="24"/>
                <w:lang w:val="en-US" w:eastAsia="zh-CN"/>
              </w:rPr>
              <w:t>玄元投资</w:t>
            </w:r>
            <w:r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 xml:space="preserve">  中信建投  大成基金  上海南土  东北证券</w:t>
            </w:r>
          </w:p>
          <w:p>
            <w:pPr>
              <w:spacing w:line="360" w:lineRule="auto"/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Style w:val="6"/>
                <w:rFonts w:hint="default" w:ascii="宋体" w:hAnsi="宋体"/>
                <w:bCs/>
                <w:iCs/>
                <w:color w:val="000000"/>
                <w:sz w:val="24"/>
                <w:lang w:val="en-US" w:eastAsia="zh-CN"/>
              </w:rPr>
              <w:t>涌峰投资</w:t>
            </w:r>
            <w:r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 xml:space="preserve">  中意资产  博远基金  东方证券  前海百创</w:t>
            </w:r>
          </w:p>
          <w:p>
            <w:pPr>
              <w:spacing w:line="360" w:lineRule="auto"/>
              <w:rPr>
                <w:rStyle w:val="6"/>
                <w:rFonts w:hint="default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Style w:val="6"/>
                <w:rFonts w:hint="default" w:ascii="宋体" w:hAnsi="宋体"/>
                <w:bCs/>
                <w:iCs/>
                <w:color w:val="000000"/>
                <w:sz w:val="24"/>
                <w:lang w:val="en-US" w:eastAsia="zh-CN"/>
              </w:rPr>
              <w:t>国寿安保</w:t>
            </w:r>
            <w:r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 xml:space="preserve">  国寿安保  金友创智  招商基金  中国再保险 </w:t>
            </w:r>
          </w:p>
          <w:p>
            <w:pPr>
              <w:spacing w:line="360" w:lineRule="auto"/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</w:rPr>
              <w:t>前海安康</w:t>
            </w:r>
            <w:r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 xml:space="preserve">  广州汇谷  鑫元基金  广州粤民  榕树投资</w:t>
            </w:r>
          </w:p>
          <w:p>
            <w:pPr>
              <w:spacing w:line="360" w:lineRule="auto"/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Style w:val="6"/>
                <w:rFonts w:hint="default" w:ascii="宋体" w:hAnsi="宋体"/>
                <w:bCs/>
                <w:iCs/>
                <w:color w:val="000000"/>
                <w:sz w:val="24"/>
                <w:lang w:val="en-US" w:eastAsia="zh-CN"/>
              </w:rPr>
              <w:t>高维资产</w:t>
            </w:r>
            <w:r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 xml:space="preserve">  泰康资产  天风资管  华富基金  博远基金</w:t>
            </w:r>
          </w:p>
          <w:p>
            <w:pPr>
              <w:spacing w:line="360" w:lineRule="auto"/>
              <w:rPr>
                <w:rStyle w:val="6"/>
                <w:rFonts w:hint="default" w:ascii="宋体" w:hAnsi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友莹格资管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tLeast"/>
              <w:rPr>
                <w:rStyle w:val="6"/>
                <w:rFonts w:ascii="宋体" w:hAnsi="宋体"/>
                <w:b/>
                <w:bCs/>
                <w:iCs/>
                <w:sz w:val="24"/>
              </w:rPr>
            </w:pPr>
            <w:r>
              <w:rPr>
                <w:rStyle w:val="6"/>
                <w:rFonts w:ascii="宋体" w:hAnsi="宋体"/>
                <w:b/>
                <w:bCs/>
                <w:iCs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tLeast"/>
              <w:rPr>
                <w:rStyle w:val="6"/>
                <w:rFonts w:hint="default" w:ascii="宋体" w:hAnsi="宋体" w:eastAsia="宋体"/>
                <w:bCs/>
                <w:iCs/>
                <w:sz w:val="24"/>
                <w:lang w:val="en-US" w:eastAsia="zh-CN"/>
              </w:rPr>
            </w:pPr>
            <w:r>
              <w:rPr>
                <w:rStyle w:val="6"/>
                <w:rFonts w:ascii="宋体" w:hAnsi="宋体"/>
                <w:bCs/>
                <w:iCs/>
                <w:sz w:val="24"/>
              </w:rPr>
              <w:t>20</w:t>
            </w:r>
            <w:r>
              <w:rPr>
                <w:rStyle w:val="6"/>
                <w:rFonts w:hint="eastAsia" w:ascii="宋体" w:hAnsi="宋体"/>
                <w:bCs/>
                <w:iCs/>
                <w:sz w:val="24"/>
              </w:rPr>
              <w:t>20</w:t>
            </w:r>
            <w:r>
              <w:rPr>
                <w:rStyle w:val="6"/>
                <w:rFonts w:ascii="宋体" w:hAnsi="宋体"/>
                <w:bCs/>
                <w:iCs/>
                <w:sz w:val="24"/>
              </w:rPr>
              <w:t>年</w:t>
            </w:r>
            <w:r>
              <w:rPr>
                <w:rStyle w:val="6"/>
                <w:rFonts w:hint="eastAsia" w:ascii="宋体" w:hAnsi="宋体"/>
                <w:bCs/>
                <w:iCs/>
                <w:sz w:val="24"/>
                <w:lang w:val="en-US" w:eastAsia="zh-CN"/>
              </w:rPr>
              <w:t>9</w:t>
            </w:r>
            <w:r>
              <w:rPr>
                <w:rStyle w:val="6"/>
                <w:rFonts w:ascii="宋体" w:hAnsi="宋体"/>
                <w:bCs/>
                <w:iCs/>
                <w:sz w:val="24"/>
              </w:rPr>
              <w:t>月2日</w:t>
            </w:r>
            <w:r>
              <w:rPr>
                <w:rStyle w:val="6"/>
                <w:rFonts w:hint="eastAsia" w:ascii="宋体" w:hAnsi="宋体"/>
                <w:bCs/>
                <w:iCs/>
                <w:sz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bCs/>
                <w:iCs/>
                <w:sz w:val="24"/>
                <w:lang w:eastAsia="zh-CN"/>
              </w:rPr>
              <w:t>上</w:t>
            </w:r>
            <w:r>
              <w:rPr>
                <w:rStyle w:val="6"/>
                <w:rFonts w:hint="eastAsia" w:ascii="宋体" w:hAnsi="宋体"/>
                <w:bCs/>
                <w:iCs/>
                <w:sz w:val="24"/>
              </w:rPr>
              <w:t xml:space="preserve">午 </w:t>
            </w:r>
            <w:r>
              <w:rPr>
                <w:rStyle w:val="6"/>
                <w:rFonts w:hint="eastAsia" w:ascii="宋体" w:hAnsi="宋体"/>
                <w:bCs/>
                <w:iCs/>
                <w:sz w:val="24"/>
                <w:lang w:val="en-US" w:eastAsia="zh-CN"/>
              </w:rPr>
              <w:t>9</w:t>
            </w:r>
            <w:r>
              <w:rPr>
                <w:rStyle w:val="6"/>
                <w:rFonts w:hint="eastAsia" w:ascii="宋体" w:hAnsi="宋体"/>
                <w:bCs/>
                <w:iCs/>
                <w:sz w:val="24"/>
              </w:rPr>
              <w:t>:30-1</w:t>
            </w:r>
            <w:r>
              <w:rPr>
                <w:rStyle w:val="6"/>
                <w:rFonts w:hint="eastAsia" w:ascii="宋体" w:hAnsi="宋体"/>
                <w:bCs/>
                <w:iCs/>
                <w:sz w:val="24"/>
                <w:lang w:val="en-US" w:eastAsia="zh-CN"/>
              </w:rPr>
              <w:t>1:00</w:t>
            </w:r>
          </w:p>
          <w:p>
            <w:pPr>
              <w:spacing w:line="480" w:lineRule="atLeast"/>
              <w:rPr>
                <w:rStyle w:val="6"/>
                <w:rFonts w:ascii="宋体" w:hAnsi="宋体"/>
                <w:bCs/>
                <w:iCs/>
                <w:sz w:val="24"/>
              </w:rPr>
            </w:pPr>
            <w:r>
              <w:rPr>
                <w:rStyle w:val="6"/>
                <w:rFonts w:hint="eastAsia" w:ascii="宋体" w:hAnsi="宋体"/>
                <w:bCs/>
                <w:iCs/>
                <w:sz w:val="24"/>
              </w:rPr>
              <w:t xml:space="preserve">                 </w:t>
            </w:r>
            <w:r>
              <w:rPr>
                <w:rStyle w:val="6"/>
                <w:rFonts w:hint="eastAsia" w:ascii="宋体" w:hAnsi="宋体"/>
                <w:bCs/>
                <w:iCs/>
                <w:sz w:val="24"/>
                <w:lang w:eastAsia="zh-CN"/>
              </w:rPr>
              <w:t>下午</w:t>
            </w:r>
            <w:r>
              <w:rPr>
                <w:rStyle w:val="6"/>
                <w:rFonts w:hint="eastAsia" w:ascii="宋体" w:hAnsi="宋体"/>
                <w:bCs/>
                <w:iCs/>
                <w:sz w:val="24"/>
              </w:rPr>
              <w:t>1</w:t>
            </w:r>
            <w:r>
              <w:rPr>
                <w:rStyle w:val="6"/>
                <w:rFonts w:hint="eastAsia" w:ascii="宋体" w:hAnsi="宋体"/>
                <w:bCs/>
                <w:iCs/>
                <w:sz w:val="24"/>
                <w:lang w:val="en-US" w:eastAsia="zh-CN"/>
              </w:rPr>
              <w:t>6</w:t>
            </w:r>
            <w:r>
              <w:rPr>
                <w:rStyle w:val="6"/>
                <w:rFonts w:hint="eastAsia" w:ascii="宋体" w:hAnsi="宋体"/>
                <w:bCs/>
                <w:iCs/>
                <w:sz w:val="24"/>
              </w:rPr>
              <w:t>:30-</w:t>
            </w:r>
            <w:r>
              <w:rPr>
                <w:rStyle w:val="6"/>
                <w:rFonts w:hint="eastAsia" w:ascii="宋体" w:hAnsi="宋体"/>
                <w:bCs/>
                <w:iCs/>
                <w:sz w:val="24"/>
                <w:lang w:val="en-US" w:eastAsia="zh-CN"/>
              </w:rPr>
              <w:t>17</w:t>
            </w:r>
            <w:r>
              <w:rPr>
                <w:rStyle w:val="6"/>
                <w:rFonts w:hint="eastAsia" w:ascii="宋体" w:hAnsi="宋体"/>
                <w:bCs/>
                <w:iCs/>
                <w:sz w:val="24"/>
              </w:rPr>
              <w:t>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tLeast"/>
              <w:rPr>
                <w:rStyle w:val="6"/>
                <w:rFonts w:ascii="宋体" w:hAnsi="宋体"/>
                <w:b/>
                <w:bCs/>
                <w:iCs/>
                <w:sz w:val="24"/>
              </w:rPr>
            </w:pPr>
            <w:r>
              <w:rPr>
                <w:rStyle w:val="6"/>
                <w:rFonts w:ascii="宋体" w:hAnsi="宋体"/>
                <w:b/>
                <w:bCs/>
                <w:iCs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tLeast"/>
              <w:rPr>
                <w:rStyle w:val="6"/>
                <w:rFonts w:ascii="宋体" w:hAnsi="宋体"/>
                <w:bCs/>
                <w:iCs/>
                <w:sz w:val="24"/>
              </w:rPr>
            </w:pPr>
            <w:r>
              <w:rPr>
                <w:rStyle w:val="6"/>
                <w:rFonts w:ascii="宋体" w:hAnsi="宋体"/>
                <w:bCs/>
                <w:iCs/>
                <w:sz w:val="24"/>
              </w:rPr>
              <w:t>浙江仙琚制药股份有限公司会议室</w:t>
            </w:r>
            <w:r>
              <w:rPr>
                <w:rStyle w:val="6"/>
                <w:rFonts w:hint="eastAsia" w:ascii="宋体" w:hAnsi="宋体"/>
                <w:bCs/>
                <w:iCs/>
                <w:sz w:val="24"/>
              </w:rPr>
              <w:t>（电话会）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tLeast"/>
              <w:rPr>
                <w:rStyle w:val="6"/>
                <w:rFonts w:ascii="宋体" w:hAnsi="宋体"/>
                <w:b/>
                <w:bCs/>
                <w:iCs/>
                <w:sz w:val="24"/>
              </w:rPr>
            </w:pPr>
            <w:r>
              <w:rPr>
                <w:rStyle w:val="6"/>
                <w:rFonts w:ascii="宋体" w:hAnsi="宋体"/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tLeast"/>
              <w:rPr>
                <w:rStyle w:val="6"/>
                <w:rFonts w:ascii="宋体" w:hAnsi="宋体"/>
                <w:bCs/>
                <w:iCs/>
                <w:sz w:val="24"/>
              </w:rPr>
            </w:pPr>
            <w:r>
              <w:rPr>
                <w:rStyle w:val="6"/>
                <w:rFonts w:ascii="宋体" w:hAnsi="宋体"/>
                <w:bCs/>
                <w:iCs/>
                <w:sz w:val="24"/>
              </w:rPr>
              <w:t>董事会秘书    张王伟</w:t>
            </w:r>
          </w:p>
          <w:p>
            <w:pPr>
              <w:spacing w:line="480" w:lineRule="atLeast"/>
              <w:rPr>
                <w:rStyle w:val="6"/>
                <w:rFonts w:ascii="宋体" w:hAnsi="宋体"/>
                <w:bCs/>
                <w:iCs/>
                <w:sz w:val="24"/>
              </w:rPr>
            </w:pPr>
            <w:r>
              <w:rPr>
                <w:rStyle w:val="6"/>
                <w:rFonts w:ascii="宋体" w:hAnsi="宋体"/>
                <w:bCs/>
                <w:iCs/>
                <w:sz w:val="24"/>
              </w:rPr>
              <w:t xml:space="preserve">证券事务代表  </w:t>
            </w:r>
            <w:r>
              <w:rPr>
                <w:rStyle w:val="6"/>
                <w:rFonts w:hint="eastAsia" w:ascii="宋体" w:hAnsi="宋体"/>
                <w:bCs/>
                <w:iCs/>
                <w:sz w:val="24"/>
              </w:rPr>
              <w:t>沈旭红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tLeast"/>
              <w:rPr>
                <w:rStyle w:val="6"/>
                <w:rFonts w:ascii="宋体" w:hAnsi="宋体"/>
                <w:b/>
                <w:bCs/>
                <w:iCs/>
                <w:sz w:val="24"/>
              </w:rPr>
            </w:pPr>
            <w:r>
              <w:rPr>
                <w:rStyle w:val="6"/>
                <w:rFonts w:ascii="宋体" w:hAnsi="宋体"/>
                <w:b/>
                <w:bCs/>
                <w:iCs/>
                <w:sz w:val="24"/>
              </w:rPr>
              <w:t>投资者关系活动主要内容介绍</w:t>
            </w:r>
          </w:p>
          <w:p>
            <w:pPr>
              <w:spacing w:line="480" w:lineRule="atLeast"/>
              <w:rPr>
                <w:rStyle w:val="6"/>
                <w:rFonts w:ascii="宋体" w:hAnsi="宋体"/>
                <w:b/>
                <w:bCs/>
                <w:iCs/>
                <w:sz w:val="24"/>
              </w:rPr>
            </w:pP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spacing w:line="420" w:lineRule="exact"/>
              <w:ind w:firstLine="482" w:firstLineChars="200"/>
              <w:rPr>
                <w:rStyle w:val="6"/>
                <w:rFonts w:ascii="宋体" w:hAnsi="宋体"/>
                <w:b/>
                <w:sz w:val="24"/>
              </w:rPr>
            </w:pPr>
            <w:r>
              <w:rPr>
                <w:rStyle w:val="6"/>
                <w:rFonts w:ascii="宋体" w:hAnsi="宋体"/>
                <w:b/>
                <w:sz w:val="24"/>
              </w:rPr>
              <w:t>公司</w:t>
            </w:r>
            <w:r>
              <w:rPr>
                <w:rStyle w:val="6"/>
                <w:rFonts w:hint="eastAsia" w:ascii="宋体" w:hAnsi="宋体"/>
                <w:b/>
                <w:sz w:val="24"/>
              </w:rPr>
              <w:t>半年度</w:t>
            </w:r>
            <w:r>
              <w:rPr>
                <w:rStyle w:val="6"/>
                <w:rFonts w:ascii="宋体" w:hAnsi="宋体"/>
                <w:b/>
                <w:sz w:val="24"/>
              </w:rPr>
              <w:t>经营情况介绍</w:t>
            </w:r>
          </w:p>
          <w:p>
            <w:pPr>
              <w:numPr>
                <w:ilvl w:val="0"/>
                <w:numId w:val="0"/>
              </w:numPr>
              <w:spacing w:line="420" w:lineRule="exact"/>
              <w:ind w:firstLine="480" w:firstLineChars="200"/>
              <w:rPr>
                <w:rStyle w:val="6"/>
                <w:rFonts w:ascii="宋体" w:hAnsi="宋体"/>
                <w:kern w:val="0"/>
                <w:sz w:val="24"/>
                <w:szCs w:val="22"/>
                <w:lang w:val="zh-CN"/>
              </w:rPr>
            </w:pPr>
            <w:r>
              <w:rPr>
                <w:rStyle w:val="6"/>
                <w:rFonts w:hint="eastAsia" w:ascii="宋体" w:hAnsi="宋体"/>
                <w:kern w:val="0"/>
                <w:sz w:val="24"/>
                <w:szCs w:val="22"/>
                <w:lang w:val="zh-CN"/>
              </w:rPr>
              <w:t>2020年上半年，公司实现营业收入17.7亿元，同比下降4.78%；实现利润总额2.56亿元，同比增长3.86%；实现归属于上市公司股东的净利润2.05亿元，同比增长18.2%。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Style w:val="6"/>
                <w:rFonts w:ascii="宋体" w:hAnsi="宋体"/>
                <w:kern w:val="0"/>
                <w:sz w:val="24"/>
                <w:szCs w:val="22"/>
                <w:lang w:val="zh-CN"/>
              </w:rPr>
            </w:pPr>
            <w:r>
              <w:rPr>
                <w:rStyle w:val="6"/>
                <w:rFonts w:hint="eastAsia" w:ascii="宋体" w:hAnsi="宋体"/>
                <w:kern w:val="0"/>
                <w:sz w:val="24"/>
                <w:szCs w:val="22"/>
                <w:lang w:val="zh-CN"/>
              </w:rPr>
              <w:t>公司主营营业收入17.66亿元，同比下降4.53%。制剂销售收入8.85亿元，其中制剂自营产品销售收入8.2亿元，同比下降8%（其中一季度受疫情影响同比下降约15%，二季度逐步恢复）；医药拓展部制剂销售收入0.65亿元。原料药及中间体销售收入8.8亿元，其中主要甾体激素类原料药销售收入5.2亿元，海盛制药销售收入0.76亿元（海盛同比减少约0.53亿元，同比下降41.2%），意大利Newchem公司销售收入2.93亿元，同比持平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Style w:val="6"/>
                <w:rFonts w:hint="eastAsia"/>
                <w:sz w:val="24"/>
                <w:szCs w:val="22"/>
              </w:rPr>
            </w:pPr>
            <w:r>
              <w:rPr>
                <w:rStyle w:val="6"/>
                <w:rFonts w:hint="eastAsia"/>
                <w:sz w:val="24"/>
                <w:szCs w:val="22"/>
              </w:rPr>
              <w:t>综合来看，上半年公司积极应对疫情等影响，整体经营业绩保持稳健。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Style w:val="6"/>
                <w:rFonts w:hint="eastAsia"/>
                <w:sz w:val="24"/>
                <w:szCs w:val="22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2" w:firstLineChars="200"/>
              <w:jc w:val="left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  <w:t>关于公司原料药毛利率提升的原因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jc w:val="left"/>
              <w:rPr>
                <w:rStyle w:val="6"/>
                <w:rFonts w:hint="eastAsia" w:ascii="宋体" w:hAnsi="宋体"/>
                <w:kern w:val="0"/>
                <w:sz w:val="24"/>
                <w:szCs w:val="22"/>
                <w:lang w:val="zh-CN"/>
              </w:rPr>
            </w:pPr>
            <w:r>
              <w:rPr>
                <w:rStyle w:val="6"/>
                <w:rFonts w:hint="eastAsia" w:ascii="宋体" w:hAnsi="宋体"/>
                <w:kern w:val="0"/>
                <w:sz w:val="24"/>
                <w:szCs w:val="22"/>
                <w:lang w:val="zh-CN"/>
              </w:rPr>
              <w:t>公司产品在不同的销售市场体现的毛利率差距比较大。销售市场的变化是原料药产品毛利率提升的关键。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jc w:val="left"/>
              <w:rPr>
                <w:rStyle w:val="6"/>
                <w:rFonts w:hint="eastAsia" w:ascii="宋体" w:hAnsi="宋体"/>
                <w:kern w:val="0"/>
                <w:sz w:val="24"/>
                <w:szCs w:val="22"/>
                <w:lang w:val="zh-CN"/>
              </w:rPr>
            </w:pPr>
            <w:r>
              <w:rPr>
                <w:rStyle w:val="6"/>
                <w:rFonts w:hint="eastAsia" w:ascii="宋体" w:hAnsi="宋体"/>
                <w:kern w:val="0"/>
                <w:sz w:val="24"/>
                <w:szCs w:val="22"/>
                <w:lang w:val="zh-CN"/>
              </w:rPr>
              <w:t>公司将努力通过相关产品的认证，来促进销售市场的进一步优化，努力提升相关产品在高毛利市场的份额占比。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jc w:val="left"/>
              <w:rPr>
                <w:rStyle w:val="6"/>
                <w:rFonts w:hint="eastAsia" w:ascii="宋体" w:hAnsi="宋体"/>
                <w:kern w:val="0"/>
                <w:sz w:val="24"/>
                <w:szCs w:val="22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200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公司未来发展格局方向？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在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lang w:eastAsia="zh-CN"/>
              </w:rPr>
              <w:t>甾体激素行业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赛道上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lang w:eastAsia="zh-CN"/>
              </w:rPr>
              <w:t>竞争格局良好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，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公司长期专注于甾体激素业务领域，具有多年的行业经验积累。致力于打造全球甾体激素领域综合实力优良的制造平台，目前在国内拥有杨府原料药生产区、临海川南生产区、杨府制剂生产区三个核心制造平台。在国外以意大利</w:t>
            </w:r>
            <w:r>
              <w:rPr>
                <w:rFonts w:eastAsia="Times New Roman"/>
                <w:kern w:val="0"/>
                <w:sz w:val="24"/>
                <w:lang w:val="zh-CN"/>
              </w:rPr>
              <w:t>Newchen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公司为主体拥有两个标准化原料药工厂。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公司已经具备了原料药的基础，面对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lang w:eastAsia="zh-CN"/>
              </w:rPr>
              <w:t>确定性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的市场和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lang w:eastAsia="zh-CN"/>
              </w:rPr>
              <w:t>良好的竞争格局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lang w:eastAsia="zh-CN"/>
              </w:rPr>
              <w:t>公司将逐步提升整体综合实力，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在激素行业领域抢占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lang w:eastAsia="zh-CN"/>
              </w:rPr>
              <w:t>更多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的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lang w:eastAsia="zh-CN"/>
              </w:rPr>
              <w:t>国际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市场份额。结合公司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kern w:val="0"/>
                <w:sz w:val="24"/>
                <w:lang w:eastAsia="zh-CN"/>
              </w:rPr>
              <w:t>在研产品的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规划与发展，公司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lang w:eastAsia="zh-CN"/>
              </w:rPr>
              <w:t>提前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布局本次非公开发行股票募集资金投资项目“</w:t>
            </w:r>
            <w:r>
              <w:rPr>
                <w:kern w:val="0"/>
                <w:sz w:val="24"/>
              </w:rPr>
              <w:t>高端制剂国际化建设项目</w:t>
            </w:r>
            <w:r>
              <w:rPr>
                <w:rFonts w:hint="eastAsia"/>
                <w:kern w:val="0"/>
                <w:sz w:val="24"/>
              </w:rPr>
              <w:t>”</w:t>
            </w:r>
            <w:r>
              <w:rPr>
                <w:rFonts w:hint="eastAsia"/>
                <w:kern w:val="0"/>
                <w:sz w:val="24"/>
                <w:lang w:eastAsia="zh-CN"/>
              </w:rPr>
              <w:t>，争取做到研发生产线建设产品申报的紧密对接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jc w:val="left"/>
              <w:rPr>
                <w:rStyle w:val="6"/>
                <w:rFonts w:hint="eastAsia" w:ascii="宋体" w:hAnsi="宋体"/>
                <w:kern w:val="0"/>
                <w:sz w:val="24"/>
                <w:szCs w:val="22"/>
                <w:lang w:val="zh-CN"/>
              </w:rPr>
            </w:pPr>
          </w:p>
          <w:p>
            <w:pPr>
              <w:spacing w:line="360" w:lineRule="auto"/>
              <w:ind w:firstLine="482" w:firstLineChars="200"/>
              <w:rPr>
                <w:rStyle w:val="6"/>
                <w:rFonts w:hint="eastAsia" w:ascii="宋体" w:hAnsi="宋体"/>
                <w:b/>
                <w:sz w:val="24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  <w:t>公</w:t>
            </w:r>
            <w:r>
              <w:rPr>
                <w:rStyle w:val="6"/>
                <w:rFonts w:hint="eastAsia" w:ascii="宋体" w:hAnsi="宋体"/>
                <w:b/>
                <w:sz w:val="24"/>
                <w:szCs w:val="22"/>
              </w:rPr>
              <w:t>司激发</w:t>
            </w:r>
            <w:r>
              <w:rPr>
                <w:rStyle w:val="6"/>
                <w:rFonts w:hint="eastAsia" w:ascii="宋体" w:hAnsi="宋体"/>
                <w:b/>
                <w:sz w:val="24"/>
                <w:szCs w:val="22"/>
                <w:lang w:eastAsia="zh-CN"/>
              </w:rPr>
              <w:t>研发</w:t>
            </w:r>
            <w:r>
              <w:rPr>
                <w:rStyle w:val="6"/>
                <w:rFonts w:hint="eastAsia" w:ascii="宋体" w:hAnsi="宋体"/>
                <w:b/>
                <w:sz w:val="24"/>
                <w:szCs w:val="22"/>
              </w:rPr>
              <w:t>团队积极性的政策</w:t>
            </w:r>
            <w:r>
              <w:rPr>
                <w:rStyle w:val="6"/>
                <w:rFonts w:hint="eastAsia" w:ascii="宋体" w:hAnsi="宋体"/>
                <w:b/>
                <w:sz w:val="24"/>
                <w:szCs w:val="22"/>
                <w:lang w:eastAsia="zh-CN"/>
              </w:rPr>
              <w:t>情况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jc w:val="left"/>
              <w:rPr>
                <w:rFonts w:hint="eastAsia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结合整个医药行业环境，带量采购等一些列政策实际上是拔高了技术的门槛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lang w:eastAsia="zh-CN"/>
              </w:rPr>
              <w:t>，公司在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研发投入的大趋势是持续增加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jc w:val="left"/>
              <w:rPr>
                <w:rStyle w:val="6"/>
                <w:rFonts w:hint="eastAsia" w:ascii="宋体" w:hAnsi="宋体"/>
                <w:kern w:val="0"/>
                <w:sz w:val="24"/>
                <w:szCs w:val="22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zh-CN"/>
              </w:rPr>
              <w:t>公司在杭州设立了仙琚医药科技公司、仙琚萃泽科技公司，初步形成以国外高端研发机构为源头，以杭州和仙居二地研究院为消化接收，以仙居基地为实施落地的研发技术架构体系。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jc w:val="left"/>
              <w:rPr>
                <w:rStyle w:val="6"/>
                <w:rFonts w:hint="eastAsia" w:ascii="宋体" w:hAnsi="宋体"/>
                <w:kern w:val="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beforeLines="50" w:line="360" w:lineRule="auto"/>
              <w:ind w:firstLine="482" w:firstLineChars="200"/>
              <w:rPr>
                <w:rStyle w:val="6"/>
                <w:rFonts w:asciiTheme="minorEastAsia" w:hAnsiTheme="minorEastAsia" w:eastAsiaTheme="minorEastAsia"/>
                <w:b/>
                <w:bCs/>
                <w:iCs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、拟</w:t>
            </w:r>
            <w:r>
              <w:rPr>
                <w:rStyle w:val="6"/>
                <w:rFonts w:hint="eastAsia" w:asciiTheme="minorEastAsia" w:hAnsiTheme="minorEastAsia" w:eastAsiaTheme="minorEastAsia"/>
                <w:b/>
                <w:bCs/>
                <w:iCs/>
                <w:sz w:val="24"/>
                <w:szCs w:val="22"/>
              </w:rPr>
              <w:t>非公开发行股票项目情况</w:t>
            </w:r>
            <w:r>
              <w:rPr>
                <w:rStyle w:val="6"/>
                <w:rFonts w:hint="eastAsia" w:asciiTheme="minorEastAsia" w:hAnsiTheme="minorEastAsia" w:eastAsiaTheme="minorEastAsia"/>
                <w:b/>
                <w:bCs/>
                <w:iCs/>
                <w:sz w:val="24"/>
                <w:szCs w:val="22"/>
                <w:lang w:eastAsia="zh-CN"/>
              </w:rPr>
              <w:t>及进展</w:t>
            </w:r>
          </w:p>
          <w:p>
            <w:pPr>
              <w:spacing w:line="360" w:lineRule="auto"/>
              <w:ind w:firstLine="480" w:firstLineChars="200"/>
              <w:jc w:val="left"/>
              <w:rPr>
                <w:rStyle w:val="6"/>
                <w:rFonts w:ascii="宋体" w:hAnsi="宋体"/>
                <w:kern w:val="0"/>
                <w:sz w:val="24"/>
                <w:szCs w:val="22"/>
                <w:lang w:val="zh-CN"/>
              </w:rPr>
            </w:pPr>
            <w:r>
              <w:rPr>
                <w:rStyle w:val="6"/>
                <w:rFonts w:hint="eastAsia" w:ascii="宋体" w:hAnsi="宋体"/>
                <w:kern w:val="0"/>
                <w:sz w:val="24"/>
                <w:szCs w:val="22"/>
                <w:lang w:val="zh-CN"/>
              </w:rPr>
              <w:t>公司第七届董事会第二次会议及公司</w:t>
            </w:r>
            <w:r>
              <w:rPr>
                <w:rStyle w:val="6"/>
                <w:rFonts w:ascii="宋体" w:hAnsi="宋体"/>
                <w:kern w:val="0"/>
                <w:sz w:val="24"/>
                <w:szCs w:val="22"/>
                <w:lang w:val="zh-CN"/>
              </w:rPr>
              <w:t>2020</w:t>
            </w:r>
            <w:r>
              <w:rPr>
                <w:rStyle w:val="6"/>
                <w:rFonts w:hint="eastAsia" w:ascii="宋体" w:hAnsi="宋体"/>
                <w:kern w:val="0"/>
                <w:sz w:val="24"/>
                <w:szCs w:val="22"/>
                <w:lang w:val="zh-CN"/>
              </w:rPr>
              <w:t>年第一次临时股东大会审议通过非公开发行事项，采用市场询价方式募集金额总额不超过</w:t>
            </w:r>
            <w:r>
              <w:rPr>
                <w:rStyle w:val="6"/>
                <w:rFonts w:ascii="宋体" w:hAnsi="宋体"/>
                <w:kern w:val="0"/>
                <w:sz w:val="24"/>
                <w:szCs w:val="22"/>
                <w:lang w:val="zh-CN"/>
              </w:rPr>
              <w:t>10</w:t>
            </w:r>
            <w:r>
              <w:rPr>
                <w:rStyle w:val="6"/>
                <w:rFonts w:hint="eastAsia" w:ascii="宋体" w:hAnsi="宋体"/>
                <w:kern w:val="0"/>
                <w:sz w:val="24"/>
                <w:szCs w:val="22"/>
                <w:lang w:val="zh-CN"/>
              </w:rPr>
              <w:t>亿元（含</w:t>
            </w:r>
            <w:r>
              <w:rPr>
                <w:rStyle w:val="6"/>
                <w:rFonts w:ascii="宋体" w:hAnsi="宋体"/>
                <w:kern w:val="0"/>
                <w:sz w:val="24"/>
                <w:szCs w:val="22"/>
                <w:lang w:val="zh-CN"/>
              </w:rPr>
              <w:t>10</w:t>
            </w:r>
            <w:r>
              <w:rPr>
                <w:rStyle w:val="6"/>
                <w:rFonts w:hint="eastAsia" w:ascii="宋体" w:hAnsi="宋体"/>
                <w:kern w:val="0"/>
                <w:sz w:val="24"/>
                <w:szCs w:val="22"/>
                <w:lang w:val="zh-CN"/>
              </w:rPr>
              <w:t>亿元）（含发行费用）。</w:t>
            </w:r>
          </w:p>
          <w:p>
            <w:pPr>
              <w:spacing w:line="480" w:lineRule="atLeast"/>
              <w:ind w:firstLine="480" w:firstLineChars="200"/>
              <w:rPr>
                <w:rStyle w:val="6"/>
                <w:rFonts w:asciiTheme="minorEastAsia" w:hAnsiTheme="minorEastAsia" w:eastAsiaTheme="minorEastAsia"/>
                <w:bCs/>
                <w:iCs/>
                <w:sz w:val="24"/>
                <w:szCs w:val="22"/>
              </w:rPr>
            </w:pPr>
            <w:r>
              <w:rPr>
                <w:rStyle w:val="6"/>
                <w:rFonts w:hint="eastAsia" w:ascii="宋体" w:hAnsi="宋体"/>
                <w:bCs/>
                <w:iCs/>
                <w:sz w:val="24"/>
                <w:szCs w:val="22"/>
                <w:lang w:val="zh-CN"/>
              </w:rPr>
              <w:t>本次拟非公开发行将用于以下项目：（1）高端制剂的国际化建</w:t>
            </w:r>
            <w:r>
              <w:rPr>
                <w:rStyle w:val="6"/>
                <w:rFonts w:hint="eastAsia" w:asciiTheme="minorEastAsia" w:hAnsiTheme="minorEastAsia" w:eastAsiaTheme="minorEastAsia"/>
                <w:bCs/>
                <w:iCs/>
                <w:sz w:val="24"/>
                <w:szCs w:val="22"/>
              </w:rPr>
              <w:t>设项目（7亿元）；（2）偿还借款（1.8亿元）；（3）补充资金（1.2亿元）。</w:t>
            </w:r>
          </w:p>
          <w:p>
            <w:pPr>
              <w:autoSpaceDE w:val="0"/>
              <w:autoSpaceDN w:val="0"/>
              <w:adjustRightInd w:val="0"/>
              <w:spacing w:beforeLines="50"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高端制剂国际化建设项目</w:t>
            </w:r>
            <w:r>
              <w:rPr>
                <w:rFonts w:hint="eastAsia"/>
                <w:kern w:val="0"/>
                <w:sz w:val="24"/>
              </w:rPr>
              <w:t>主要覆盖呼吸科、皮质激素类注射剂、麻醉镇静等领域，上述高端制剂在国内外市场需求广阔。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中国证监会发行审核委员会于 2020年8月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</w:t>
            </w:r>
            <w:r>
              <w:rPr>
                <w:rFonts w:ascii="宋体" w:hAnsi="宋体" w:eastAsia="宋体" w:cs="宋体"/>
                <w:sz w:val="24"/>
                <w:szCs w:val="24"/>
              </w:rPr>
              <w:t>日对公司非公开发行股票的申请进行了审核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，上述</w:t>
            </w:r>
            <w:r>
              <w:rPr>
                <w:rFonts w:ascii="宋体" w:hAnsi="宋体" w:eastAsia="宋体" w:cs="宋体"/>
                <w:sz w:val="24"/>
                <w:szCs w:val="24"/>
              </w:rPr>
              <w:t>申请获得审核通过。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482" w:firstLineChars="200"/>
              <w:rPr>
                <w:rStyle w:val="6"/>
                <w:rFonts w:ascii="宋体" w:hAnsi="宋体"/>
                <w:b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sz w:val="24"/>
                <w:lang w:val="en-US" w:eastAsia="zh-CN"/>
              </w:rPr>
              <w:t>6</w:t>
            </w:r>
            <w:r>
              <w:rPr>
                <w:rStyle w:val="6"/>
                <w:rFonts w:hint="eastAsia" w:ascii="宋体" w:hAnsi="宋体"/>
                <w:b/>
                <w:sz w:val="24"/>
              </w:rPr>
              <w:t>、</w:t>
            </w:r>
            <w:r>
              <w:rPr>
                <w:rStyle w:val="6"/>
                <w:rFonts w:ascii="宋体" w:hAnsi="宋体"/>
                <w:b/>
                <w:sz w:val="24"/>
              </w:rPr>
              <w:t>N</w:t>
            </w:r>
            <w:r>
              <w:rPr>
                <w:rStyle w:val="6"/>
                <w:rFonts w:hint="eastAsia" w:ascii="宋体" w:hAnsi="宋体"/>
                <w:b/>
                <w:sz w:val="24"/>
              </w:rPr>
              <w:t>ewchem的生产经营情况</w:t>
            </w:r>
          </w:p>
          <w:p>
            <w:pPr>
              <w:spacing w:line="360" w:lineRule="auto"/>
              <w:ind w:firstLine="480" w:firstLineChars="200"/>
              <w:rPr>
                <w:rStyle w:val="6"/>
                <w:rFonts w:hint="eastAsia" w:ascii="宋体" w:hAnsi="宋体"/>
                <w:kern w:val="0"/>
                <w:sz w:val="24"/>
                <w:lang w:val="zh-CN"/>
              </w:rPr>
            </w:pPr>
            <w:r>
              <w:rPr>
                <w:rStyle w:val="6"/>
                <w:rFonts w:hint="eastAsia" w:ascii="宋体" w:hAnsi="宋体"/>
                <w:kern w:val="0"/>
                <w:sz w:val="24"/>
                <w:lang w:val="zh-CN"/>
              </w:rPr>
              <w:t>2020年上半年，</w:t>
            </w:r>
            <w:r>
              <w:rPr>
                <w:rStyle w:val="6"/>
                <w:rFonts w:ascii="宋体" w:hAnsi="宋体"/>
                <w:kern w:val="0"/>
                <w:sz w:val="24"/>
                <w:lang w:val="zh-CN"/>
              </w:rPr>
              <w:t>N</w:t>
            </w:r>
            <w:r>
              <w:rPr>
                <w:rStyle w:val="6"/>
                <w:rFonts w:hint="eastAsia" w:ascii="宋体" w:hAnsi="宋体"/>
                <w:kern w:val="0"/>
                <w:sz w:val="24"/>
                <w:lang w:val="zh-CN"/>
              </w:rPr>
              <w:t>ewchem实现了收入</w:t>
            </w:r>
            <w:r>
              <w:rPr>
                <w:rStyle w:val="6"/>
                <w:rFonts w:hint="eastAsia" w:ascii="宋体" w:hAnsi="宋体"/>
                <w:kern w:val="0"/>
                <w:sz w:val="24"/>
                <w:szCs w:val="22"/>
                <w:lang w:val="zh-CN"/>
              </w:rPr>
              <w:t>2.93亿元，</w:t>
            </w:r>
            <w:r>
              <w:rPr>
                <w:rStyle w:val="6"/>
                <w:rFonts w:hint="eastAsia" w:ascii="宋体" w:hAnsi="宋体"/>
                <w:kern w:val="0"/>
                <w:sz w:val="24"/>
                <w:lang w:val="zh-CN"/>
              </w:rPr>
              <w:t>同比持平，利润同比略增。</w:t>
            </w:r>
          </w:p>
          <w:p>
            <w:pPr>
              <w:spacing w:line="360" w:lineRule="auto"/>
              <w:ind w:firstLine="480" w:firstLineChars="200"/>
              <w:rPr>
                <w:rStyle w:val="6"/>
                <w:rFonts w:hint="eastAsia" w:ascii="宋体" w:hAnsi="宋体"/>
                <w:kern w:val="0"/>
                <w:sz w:val="24"/>
                <w:szCs w:val="22"/>
                <w:lang w:val="zh-CN"/>
              </w:rPr>
            </w:pPr>
            <w:r>
              <w:rPr>
                <w:rStyle w:val="6"/>
                <w:rFonts w:hint="eastAsia" w:ascii="宋体" w:hAnsi="宋体"/>
                <w:kern w:val="0"/>
                <w:sz w:val="24"/>
                <w:lang w:val="zh-CN"/>
              </w:rPr>
              <w:t>意大利的疫情在</w:t>
            </w:r>
            <w:r>
              <w:rPr>
                <w:rStyle w:val="6"/>
                <w:rFonts w:hint="eastAsia" w:ascii="宋体" w:hAnsi="宋体"/>
                <w:kern w:val="0"/>
                <w:sz w:val="24"/>
              </w:rPr>
              <w:t>3、4月处于爆发期，对</w:t>
            </w:r>
            <w:r>
              <w:rPr>
                <w:rStyle w:val="6"/>
                <w:rFonts w:ascii="宋体" w:hAnsi="宋体"/>
                <w:kern w:val="0"/>
                <w:sz w:val="24"/>
                <w:lang w:val="zh-CN"/>
              </w:rPr>
              <w:t>N</w:t>
            </w:r>
            <w:r>
              <w:rPr>
                <w:rStyle w:val="6"/>
                <w:rFonts w:hint="eastAsia" w:ascii="宋体" w:hAnsi="宋体"/>
                <w:kern w:val="0"/>
                <w:sz w:val="24"/>
                <w:lang w:val="zh-CN"/>
              </w:rPr>
              <w:t>ewchem的影响主要是疫情之下人员安排和产能受限，国际货运的时间延长，意大利</w:t>
            </w:r>
            <w:r>
              <w:rPr>
                <w:rStyle w:val="6"/>
                <w:rFonts w:hint="eastAsia" w:ascii="宋体" w:hAnsi="宋体"/>
                <w:kern w:val="0"/>
                <w:sz w:val="24"/>
              </w:rPr>
              <w:t>5月初解封后疫情影响因素有所</w:t>
            </w:r>
            <w:r>
              <w:rPr>
                <w:rStyle w:val="6"/>
                <w:rFonts w:hint="eastAsia" w:ascii="宋体" w:hAnsi="宋体"/>
                <w:kern w:val="0"/>
                <w:sz w:val="24"/>
                <w:lang w:val="zh-CN"/>
              </w:rPr>
              <w:t>改善，逐步向好。</w:t>
            </w:r>
            <w:r>
              <w:rPr>
                <w:rStyle w:val="6"/>
                <w:rFonts w:hint="eastAsia" w:ascii="宋体" w:hAnsi="宋体"/>
                <w:kern w:val="0"/>
                <w:sz w:val="24"/>
                <w:szCs w:val="22"/>
                <w:lang w:val="zh-CN"/>
              </w:rPr>
              <w:t>Newchem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Newchem公司的订单比较充裕</w:t>
            </w:r>
            <w:r>
              <w:rPr>
                <w:rStyle w:val="6"/>
                <w:rFonts w:hint="eastAsia" w:ascii="宋体" w:hAnsi="宋体"/>
                <w:kern w:val="0"/>
                <w:sz w:val="24"/>
                <w:szCs w:val="22"/>
                <w:lang w:val="zh-CN"/>
              </w:rPr>
              <w:t>。</w:t>
            </w:r>
          </w:p>
          <w:p>
            <w:pPr>
              <w:spacing w:line="360" w:lineRule="auto"/>
              <w:rPr>
                <w:rStyle w:val="6"/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tLeast"/>
              <w:rPr>
                <w:rStyle w:val="6"/>
                <w:rFonts w:ascii="宋体" w:hAnsi="宋体"/>
                <w:b/>
                <w:bCs/>
                <w:iCs/>
                <w:sz w:val="24"/>
              </w:rPr>
            </w:pPr>
            <w:r>
              <w:rPr>
                <w:rStyle w:val="6"/>
                <w:rFonts w:ascii="宋体" w:hAnsi="宋体"/>
                <w:b/>
                <w:bCs/>
                <w:iCs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tLeast"/>
              <w:rPr>
                <w:rStyle w:val="6"/>
                <w:rFonts w:ascii="宋体" w:hAnsi="宋体"/>
                <w:bCs/>
                <w:iCs/>
                <w:sz w:val="24"/>
              </w:rPr>
            </w:pPr>
            <w:r>
              <w:rPr>
                <w:rStyle w:val="6"/>
                <w:rFonts w:ascii="宋体" w:hAnsi="宋体"/>
                <w:bCs/>
                <w:iCs/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tLeast"/>
              <w:rPr>
                <w:rStyle w:val="6"/>
                <w:rFonts w:ascii="宋体" w:hAnsi="宋体"/>
                <w:b/>
                <w:bCs/>
                <w:iCs/>
                <w:sz w:val="24"/>
              </w:rPr>
            </w:pPr>
            <w:r>
              <w:rPr>
                <w:rStyle w:val="6"/>
                <w:rFonts w:ascii="宋体" w:hAnsi="宋体"/>
                <w:b/>
                <w:bCs/>
                <w:iCs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tLeast"/>
              <w:rPr>
                <w:rStyle w:val="6"/>
                <w:rFonts w:ascii="宋体" w:hAnsi="宋体"/>
                <w:bCs/>
                <w:iCs/>
                <w:sz w:val="24"/>
              </w:rPr>
            </w:pPr>
            <w:r>
              <w:rPr>
                <w:rStyle w:val="6"/>
                <w:rFonts w:ascii="宋体" w:hAnsi="宋体"/>
                <w:bCs/>
                <w:iCs/>
                <w:sz w:val="24"/>
              </w:rPr>
              <w:t>20</w:t>
            </w:r>
            <w:r>
              <w:rPr>
                <w:rStyle w:val="6"/>
                <w:rFonts w:hint="eastAsia" w:ascii="宋体" w:hAnsi="宋体"/>
                <w:bCs/>
                <w:iCs/>
                <w:sz w:val="24"/>
              </w:rPr>
              <w:t>20</w:t>
            </w:r>
            <w:r>
              <w:rPr>
                <w:rStyle w:val="6"/>
                <w:rFonts w:ascii="宋体" w:hAnsi="宋体"/>
                <w:bCs/>
                <w:iCs/>
                <w:sz w:val="24"/>
              </w:rPr>
              <w:t>年</w:t>
            </w:r>
            <w:r>
              <w:rPr>
                <w:rStyle w:val="6"/>
                <w:rFonts w:hint="eastAsia" w:ascii="宋体" w:hAnsi="宋体"/>
                <w:bCs/>
                <w:iCs/>
                <w:sz w:val="24"/>
                <w:lang w:val="en-US" w:eastAsia="zh-CN"/>
              </w:rPr>
              <w:t>9</w:t>
            </w:r>
            <w:r>
              <w:rPr>
                <w:rStyle w:val="6"/>
                <w:rFonts w:ascii="宋体" w:hAnsi="宋体"/>
                <w:bCs/>
                <w:iCs/>
                <w:sz w:val="24"/>
              </w:rPr>
              <w:t>月2日</w:t>
            </w:r>
          </w:p>
        </w:tc>
      </w:tr>
    </w:tbl>
    <w:p>
      <w:pPr>
        <w:spacing w:line="360" w:lineRule="auto"/>
        <w:ind w:firstLine="360"/>
        <w:jc w:val="left"/>
        <w:rPr>
          <w:rStyle w:val="6"/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75810"/>
    <w:multiLevelType w:val="singleLevel"/>
    <w:tmpl w:val="7F5758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1E"/>
    <w:rsid w:val="00057AE4"/>
    <w:rsid w:val="000C486D"/>
    <w:rsid w:val="000C4F35"/>
    <w:rsid w:val="000D1F10"/>
    <w:rsid w:val="00103205"/>
    <w:rsid w:val="001E1145"/>
    <w:rsid w:val="001F191E"/>
    <w:rsid w:val="0022211E"/>
    <w:rsid w:val="00222F19"/>
    <w:rsid w:val="00332E5E"/>
    <w:rsid w:val="00371570"/>
    <w:rsid w:val="00387786"/>
    <w:rsid w:val="004678F9"/>
    <w:rsid w:val="004F00E5"/>
    <w:rsid w:val="00500DAB"/>
    <w:rsid w:val="00525F7E"/>
    <w:rsid w:val="005B166D"/>
    <w:rsid w:val="005B4EF6"/>
    <w:rsid w:val="00606D48"/>
    <w:rsid w:val="0068122E"/>
    <w:rsid w:val="006B5E98"/>
    <w:rsid w:val="006D7679"/>
    <w:rsid w:val="0076775C"/>
    <w:rsid w:val="007C652A"/>
    <w:rsid w:val="007D35F5"/>
    <w:rsid w:val="007D4175"/>
    <w:rsid w:val="00814FD3"/>
    <w:rsid w:val="00874952"/>
    <w:rsid w:val="009152F2"/>
    <w:rsid w:val="009D6D09"/>
    <w:rsid w:val="00A128E7"/>
    <w:rsid w:val="00A41C80"/>
    <w:rsid w:val="00A82882"/>
    <w:rsid w:val="00A83BAF"/>
    <w:rsid w:val="00AD38E6"/>
    <w:rsid w:val="00B11987"/>
    <w:rsid w:val="00B408F7"/>
    <w:rsid w:val="00B94424"/>
    <w:rsid w:val="00C02AD6"/>
    <w:rsid w:val="00C05E07"/>
    <w:rsid w:val="00C768A8"/>
    <w:rsid w:val="00C80D76"/>
    <w:rsid w:val="00D07E0E"/>
    <w:rsid w:val="00D25AA4"/>
    <w:rsid w:val="00DC3EE9"/>
    <w:rsid w:val="00DE7351"/>
    <w:rsid w:val="00DF39A2"/>
    <w:rsid w:val="00E3536B"/>
    <w:rsid w:val="00E5244D"/>
    <w:rsid w:val="00E55D97"/>
    <w:rsid w:val="00E855D0"/>
    <w:rsid w:val="00E93FF4"/>
    <w:rsid w:val="00EA0645"/>
    <w:rsid w:val="00EA647D"/>
    <w:rsid w:val="00EB0518"/>
    <w:rsid w:val="00EB5DDB"/>
    <w:rsid w:val="00EE25F4"/>
    <w:rsid w:val="00F45868"/>
    <w:rsid w:val="00F9280D"/>
    <w:rsid w:val="00F93DC3"/>
    <w:rsid w:val="00FA1297"/>
    <w:rsid w:val="018A2030"/>
    <w:rsid w:val="01F73F85"/>
    <w:rsid w:val="04DB2A85"/>
    <w:rsid w:val="07E21993"/>
    <w:rsid w:val="0A513EF4"/>
    <w:rsid w:val="0F5F4A3E"/>
    <w:rsid w:val="1073569C"/>
    <w:rsid w:val="115B5732"/>
    <w:rsid w:val="120E58A2"/>
    <w:rsid w:val="14EA0F69"/>
    <w:rsid w:val="1BC6055E"/>
    <w:rsid w:val="1BFE60B2"/>
    <w:rsid w:val="1FF50555"/>
    <w:rsid w:val="21C244F9"/>
    <w:rsid w:val="22C9024F"/>
    <w:rsid w:val="26F977A3"/>
    <w:rsid w:val="2991528F"/>
    <w:rsid w:val="2B83699C"/>
    <w:rsid w:val="2F1B113A"/>
    <w:rsid w:val="31AE41C3"/>
    <w:rsid w:val="32B37A41"/>
    <w:rsid w:val="35650F9F"/>
    <w:rsid w:val="35FF02DB"/>
    <w:rsid w:val="43037788"/>
    <w:rsid w:val="461155D5"/>
    <w:rsid w:val="46B50B3D"/>
    <w:rsid w:val="472E2DC8"/>
    <w:rsid w:val="4A8E0001"/>
    <w:rsid w:val="4AC44538"/>
    <w:rsid w:val="4E0825A9"/>
    <w:rsid w:val="4EE26B11"/>
    <w:rsid w:val="4FAD233A"/>
    <w:rsid w:val="54185D67"/>
    <w:rsid w:val="551F7F2D"/>
    <w:rsid w:val="55DC7495"/>
    <w:rsid w:val="573A5BEC"/>
    <w:rsid w:val="5EA70E76"/>
    <w:rsid w:val="615E4BA8"/>
    <w:rsid w:val="63ED600F"/>
    <w:rsid w:val="6AA73689"/>
    <w:rsid w:val="7AB65469"/>
    <w:rsid w:val="7C343849"/>
    <w:rsid w:val="7D8D69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UserStyle_0"/>
    <w:link w:val="9"/>
    <w:qFormat/>
    <w:uiPriority w:val="0"/>
    <w:rPr>
      <w:kern w:val="2"/>
      <w:sz w:val="18"/>
      <w:szCs w:val="18"/>
    </w:rPr>
  </w:style>
  <w:style w:type="paragraph" w:customStyle="1" w:styleId="9">
    <w:name w:val="Header"/>
    <w:basedOn w:val="1"/>
    <w:link w:val="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UserStyle_1"/>
    <w:link w:val="11"/>
    <w:qFormat/>
    <w:uiPriority w:val="0"/>
    <w:rPr>
      <w:kern w:val="2"/>
      <w:sz w:val="18"/>
      <w:szCs w:val="18"/>
    </w:rPr>
  </w:style>
  <w:style w:type="paragraph" w:customStyle="1" w:styleId="11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Acetate"/>
    <w:basedOn w:val="1"/>
    <w:qFormat/>
    <w:uiPriority w:val="0"/>
    <w:rPr>
      <w:sz w:val="18"/>
      <w:szCs w:val="18"/>
    </w:rPr>
  </w:style>
  <w:style w:type="character" w:customStyle="1" w:styleId="13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477</Words>
  <Characters>2720</Characters>
  <Lines>22</Lines>
  <Paragraphs>6</Paragraphs>
  <TotalTime>6</TotalTime>
  <ScaleCrop>false</ScaleCrop>
  <LinksUpToDate>false</LinksUpToDate>
  <CharactersWithSpaces>3191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2019-10-30T07:33:00Z</dcterms:created>
  <dc:creator>XJ-CJ3-21</dc:creator>
  <cp:lastModifiedBy>九日</cp:lastModifiedBy>
  <cp:lastPrinted>2020-08-28T01:02:00Z</cp:lastPrinted>
  <dcterms:modified xsi:type="dcterms:W3CDTF">2020-09-03T09:02:00Z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