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40" w:rsidRPr="00531223" w:rsidRDefault="00731740" w:rsidP="00452B5A">
      <w:pPr>
        <w:autoSpaceDE w:val="0"/>
        <w:autoSpaceDN w:val="0"/>
        <w:adjustRightInd w:val="0"/>
        <w:snapToGrid w:val="0"/>
        <w:spacing w:line="360" w:lineRule="auto"/>
        <w:jc w:val="center"/>
        <w:rPr>
          <w:bCs/>
          <w:iCs/>
          <w:sz w:val="24"/>
        </w:rPr>
      </w:pPr>
      <w:r w:rsidRPr="00531223">
        <w:rPr>
          <w:bCs/>
          <w:iCs/>
          <w:sz w:val="24"/>
        </w:rPr>
        <w:t>证券代码：</w:t>
      </w:r>
      <w:r w:rsidRPr="00531223">
        <w:rPr>
          <w:bCs/>
          <w:iCs/>
          <w:sz w:val="24"/>
        </w:rPr>
        <w:t xml:space="preserve">002015                               </w:t>
      </w:r>
      <w:r w:rsidR="007373FF" w:rsidRPr="00531223">
        <w:rPr>
          <w:bCs/>
          <w:iCs/>
          <w:sz w:val="24"/>
        </w:rPr>
        <w:t xml:space="preserve">   </w:t>
      </w:r>
      <w:r w:rsidRPr="00531223">
        <w:rPr>
          <w:bCs/>
          <w:iCs/>
          <w:sz w:val="24"/>
        </w:rPr>
        <w:t>证券简称：协</w:t>
      </w:r>
      <w:proofErr w:type="gramStart"/>
      <w:r w:rsidRPr="00531223">
        <w:rPr>
          <w:bCs/>
          <w:iCs/>
          <w:sz w:val="24"/>
        </w:rPr>
        <w:t>鑫</w:t>
      </w:r>
      <w:proofErr w:type="gramEnd"/>
      <w:r w:rsidRPr="00531223">
        <w:rPr>
          <w:bCs/>
          <w:iCs/>
          <w:sz w:val="24"/>
        </w:rPr>
        <w:t>能科</w:t>
      </w:r>
    </w:p>
    <w:p w:rsidR="000236FB" w:rsidRPr="00531223" w:rsidRDefault="000236FB" w:rsidP="00452B5A">
      <w:pPr>
        <w:autoSpaceDE w:val="0"/>
        <w:autoSpaceDN w:val="0"/>
        <w:adjustRightInd w:val="0"/>
        <w:snapToGrid w:val="0"/>
        <w:spacing w:line="360" w:lineRule="auto"/>
        <w:jc w:val="center"/>
        <w:rPr>
          <w:bCs/>
          <w:iCs/>
          <w:sz w:val="24"/>
        </w:rPr>
      </w:pPr>
    </w:p>
    <w:p w:rsidR="00731740" w:rsidRPr="00531223" w:rsidRDefault="00731740" w:rsidP="00452B5A">
      <w:pPr>
        <w:adjustRightInd w:val="0"/>
        <w:snapToGrid w:val="0"/>
        <w:spacing w:line="360" w:lineRule="auto"/>
        <w:jc w:val="center"/>
        <w:outlineLvl w:val="0"/>
        <w:rPr>
          <w:b/>
          <w:bCs/>
          <w:iCs/>
          <w:sz w:val="30"/>
          <w:szCs w:val="30"/>
        </w:rPr>
      </w:pPr>
      <w:r w:rsidRPr="00531223">
        <w:rPr>
          <w:b/>
          <w:bCs/>
          <w:iCs/>
          <w:sz w:val="30"/>
          <w:szCs w:val="30"/>
        </w:rPr>
        <w:t>协</w:t>
      </w:r>
      <w:proofErr w:type="gramStart"/>
      <w:r w:rsidRPr="00531223">
        <w:rPr>
          <w:b/>
          <w:bCs/>
          <w:iCs/>
          <w:sz w:val="30"/>
          <w:szCs w:val="30"/>
        </w:rPr>
        <w:t>鑫</w:t>
      </w:r>
      <w:proofErr w:type="gramEnd"/>
      <w:r w:rsidRPr="00531223">
        <w:rPr>
          <w:b/>
          <w:bCs/>
          <w:iCs/>
          <w:sz w:val="30"/>
          <w:szCs w:val="30"/>
        </w:rPr>
        <w:t>能源科技股份有限公司投资者关系活动记录表</w:t>
      </w:r>
    </w:p>
    <w:p w:rsidR="00731740" w:rsidRPr="00531223" w:rsidRDefault="00731740" w:rsidP="00452B5A">
      <w:pPr>
        <w:adjustRightInd w:val="0"/>
        <w:snapToGrid w:val="0"/>
        <w:spacing w:line="360" w:lineRule="auto"/>
        <w:rPr>
          <w:bCs/>
          <w:iCs/>
          <w:sz w:val="24"/>
          <w:szCs w:val="24"/>
        </w:rPr>
      </w:pPr>
      <w:r w:rsidRPr="00531223">
        <w:rPr>
          <w:bCs/>
          <w:iCs/>
          <w:sz w:val="24"/>
          <w:szCs w:val="24"/>
        </w:rPr>
        <w:t xml:space="preserve">                                                   </w:t>
      </w:r>
      <w:r w:rsidR="007373FF" w:rsidRPr="00531223">
        <w:rPr>
          <w:bCs/>
          <w:iCs/>
          <w:sz w:val="24"/>
          <w:szCs w:val="24"/>
        </w:rPr>
        <w:t xml:space="preserve"> </w:t>
      </w:r>
      <w:r w:rsidRPr="00531223">
        <w:rPr>
          <w:bCs/>
          <w:iCs/>
          <w:sz w:val="24"/>
          <w:szCs w:val="24"/>
        </w:rPr>
        <w:t xml:space="preserve">   </w:t>
      </w:r>
      <w:r w:rsidRPr="00531223">
        <w:rPr>
          <w:bCs/>
          <w:iCs/>
          <w:sz w:val="24"/>
          <w:szCs w:val="24"/>
        </w:rPr>
        <w:t>编号：</w:t>
      </w:r>
      <w:r w:rsidRPr="00531223">
        <w:rPr>
          <w:bCs/>
          <w:iCs/>
          <w:sz w:val="24"/>
          <w:szCs w:val="24"/>
        </w:rPr>
        <w:t>20</w:t>
      </w:r>
      <w:r w:rsidR="008970FF" w:rsidRPr="00531223">
        <w:rPr>
          <w:bCs/>
          <w:iCs/>
          <w:sz w:val="24"/>
          <w:szCs w:val="24"/>
        </w:rPr>
        <w:t>20</w:t>
      </w:r>
      <w:r w:rsidR="00C931BC" w:rsidRPr="00531223">
        <w:rPr>
          <w:bCs/>
          <w:iCs/>
          <w:sz w:val="24"/>
          <w:szCs w:val="24"/>
        </w:rPr>
        <w:t>-</w:t>
      </w:r>
      <w:r w:rsidRPr="00531223">
        <w:rPr>
          <w:bCs/>
          <w:iCs/>
          <w:sz w:val="24"/>
          <w:szCs w:val="24"/>
        </w:rPr>
        <w:t>0</w:t>
      </w:r>
      <w:r w:rsidR="00114D9B" w:rsidRPr="00531223">
        <w:rPr>
          <w:bCs/>
          <w:iCs/>
          <w:sz w:val="24"/>
          <w:szCs w:val="24"/>
        </w:rPr>
        <w:t>0</w:t>
      </w:r>
      <w:r w:rsidR="00B245FA" w:rsidRPr="00531223">
        <w:rPr>
          <w:bCs/>
          <w:iCs/>
          <w:sz w:val="24"/>
          <w:szCs w:val="24"/>
        </w:rPr>
        <w:t>4</w:t>
      </w: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7379"/>
      </w:tblGrid>
      <w:tr w:rsidR="00731740" w:rsidRPr="00531223" w:rsidTr="00667BFA">
        <w:trPr>
          <w:trHeight w:val="107"/>
        </w:trPr>
        <w:tc>
          <w:tcPr>
            <w:tcW w:w="1252" w:type="dxa"/>
            <w:vAlign w:val="center"/>
          </w:tcPr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79" w:type="dxa"/>
            <w:vAlign w:val="center"/>
          </w:tcPr>
          <w:p w:rsidR="00731740" w:rsidRPr="00531223" w:rsidRDefault="00C931BC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√</w:t>
            </w:r>
            <w:r w:rsidR="00731740" w:rsidRPr="00531223">
              <w:rPr>
                <w:rFonts w:eastAsiaTheme="minorEastAsia"/>
                <w:sz w:val="24"/>
                <w:szCs w:val="24"/>
              </w:rPr>
              <w:t>特定对象调研</w:t>
            </w:r>
            <w:r w:rsidR="00731740" w:rsidRPr="00531223">
              <w:rPr>
                <w:rFonts w:eastAsiaTheme="minorEastAsia"/>
                <w:sz w:val="24"/>
                <w:szCs w:val="24"/>
              </w:rPr>
              <w:t xml:space="preserve">        </w:t>
            </w: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□</w:t>
            </w:r>
            <w:r w:rsidR="00731740" w:rsidRPr="00531223">
              <w:rPr>
                <w:rFonts w:eastAsiaTheme="minorEastAsia"/>
                <w:sz w:val="24"/>
                <w:szCs w:val="24"/>
              </w:rPr>
              <w:t>分析师会议</w:t>
            </w:r>
          </w:p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□</w:t>
            </w:r>
            <w:r w:rsidRPr="00531223">
              <w:rPr>
                <w:rFonts w:eastAsiaTheme="minorEastAsia"/>
                <w:sz w:val="24"/>
                <w:szCs w:val="24"/>
              </w:rPr>
              <w:t>媒体采访</w:t>
            </w:r>
            <w:r w:rsidRPr="00531223">
              <w:rPr>
                <w:rFonts w:eastAsiaTheme="minorEastAsia"/>
                <w:sz w:val="24"/>
                <w:szCs w:val="24"/>
              </w:rPr>
              <w:t xml:space="preserve">            </w:t>
            </w: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□</w:t>
            </w:r>
            <w:r w:rsidRPr="00531223">
              <w:rPr>
                <w:rFonts w:eastAsiaTheme="minorEastAsia"/>
                <w:sz w:val="24"/>
                <w:szCs w:val="24"/>
              </w:rPr>
              <w:t>业绩说明会</w:t>
            </w:r>
          </w:p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□</w:t>
            </w:r>
            <w:r w:rsidRPr="00531223">
              <w:rPr>
                <w:rFonts w:eastAsiaTheme="minorEastAsia"/>
                <w:sz w:val="24"/>
                <w:szCs w:val="24"/>
              </w:rPr>
              <w:t>新闻发布会</w:t>
            </w:r>
            <w:r w:rsidRPr="00531223">
              <w:rPr>
                <w:rFonts w:eastAsiaTheme="minorEastAsia"/>
                <w:sz w:val="24"/>
                <w:szCs w:val="24"/>
              </w:rPr>
              <w:t xml:space="preserve">          </w:t>
            </w: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□</w:t>
            </w:r>
            <w:r w:rsidRPr="00531223">
              <w:rPr>
                <w:rFonts w:eastAsiaTheme="minorEastAsia"/>
                <w:sz w:val="24"/>
                <w:szCs w:val="24"/>
              </w:rPr>
              <w:t>路演活动</w:t>
            </w:r>
          </w:p>
          <w:p w:rsidR="00731740" w:rsidRPr="00531223" w:rsidRDefault="007373FF" w:rsidP="00452B5A">
            <w:pPr>
              <w:tabs>
                <w:tab w:val="left" w:pos="3045"/>
                <w:tab w:val="center" w:pos="3199"/>
              </w:tabs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√</w:t>
            </w:r>
            <w:r w:rsidR="00731740" w:rsidRPr="00531223">
              <w:rPr>
                <w:rFonts w:eastAsiaTheme="minorEastAsia"/>
                <w:sz w:val="24"/>
                <w:szCs w:val="24"/>
              </w:rPr>
              <w:t>现场参观</w:t>
            </w:r>
            <w:r w:rsidR="00731740" w:rsidRPr="00531223">
              <w:rPr>
                <w:rFonts w:eastAsiaTheme="minorEastAsia"/>
                <w:bCs/>
                <w:iCs/>
                <w:sz w:val="24"/>
                <w:szCs w:val="24"/>
              </w:rPr>
              <w:tab/>
            </w:r>
          </w:p>
          <w:p w:rsidR="00731740" w:rsidRPr="00531223" w:rsidRDefault="00731740" w:rsidP="00452B5A">
            <w:pPr>
              <w:tabs>
                <w:tab w:val="center" w:pos="3199"/>
              </w:tabs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□</w:t>
            </w:r>
            <w:r w:rsidRPr="00531223">
              <w:rPr>
                <w:rFonts w:eastAsiaTheme="minorEastAsia"/>
                <w:sz w:val="24"/>
                <w:szCs w:val="24"/>
              </w:rPr>
              <w:t>其他</w:t>
            </w:r>
            <w:r w:rsidRPr="00531223">
              <w:rPr>
                <w:rFonts w:eastAsiaTheme="minorEastAsia"/>
                <w:sz w:val="24"/>
                <w:szCs w:val="24"/>
              </w:rPr>
              <w:t xml:space="preserve"> </w:t>
            </w:r>
            <w:r w:rsidR="00197FAA" w:rsidRPr="00531223">
              <w:rPr>
                <w:rFonts w:eastAsiaTheme="minorEastAsia"/>
                <w:sz w:val="24"/>
                <w:szCs w:val="24"/>
              </w:rPr>
              <w:t>（</w:t>
            </w:r>
            <w:proofErr w:type="gramStart"/>
            <w:r w:rsidR="00197FAA" w:rsidRPr="00531223">
              <w:rPr>
                <w:rFonts w:eastAsiaTheme="minorEastAsia"/>
                <w:sz w:val="24"/>
                <w:szCs w:val="24"/>
              </w:rPr>
              <w:t>请文字</w:t>
            </w:r>
            <w:proofErr w:type="gramEnd"/>
            <w:r w:rsidR="00197FAA" w:rsidRPr="00531223">
              <w:rPr>
                <w:rFonts w:eastAsiaTheme="minorEastAsia"/>
                <w:sz w:val="24"/>
                <w:szCs w:val="24"/>
              </w:rPr>
              <w:t>说明其他活动内容）</w:t>
            </w:r>
          </w:p>
        </w:tc>
      </w:tr>
      <w:tr w:rsidR="00731740" w:rsidRPr="00531223" w:rsidTr="00667BFA">
        <w:trPr>
          <w:trHeight w:val="107"/>
        </w:trPr>
        <w:tc>
          <w:tcPr>
            <w:tcW w:w="1252" w:type="dxa"/>
            <w:vAlign w:val="center"/>
          </w:tcPr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A5597C" w:rsidRPr="00531223" w:rsidRDefault="00A5597C" w:rsidP="00A5597C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海通证券分析师：张磊</w:t>
            </w:r>
          </w:p>
          <w:p w:rsidR="00731740" w:rsidRPr="00531223" w:rsidRDefault="00A5597C" w:rsidP="00A5597C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兴</w:t>
            </w:r>
            <w:proofErr w:type="gramStart"/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全基金</w:t>
            </w:r>
            <w:proofErr w:type="gramEnd"/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研究员：刘平</w:t>
            </w:r>
          </w:p>
        </w:tc>
      </w:tr>
      <w:tr w:rsidR="00731740" w:rsidRPr="00531223" w:rsidTr="00667BFA">
        <w:trPr>
          <w:trHeight w:val="107"/>
        </w:trPr>
        <w:tc>
          <w:tcPr>
            <w:tcW w:w="1252" w:type="dxa"/>
            <w:vAlign w:val="center"/>
          </w:tcPr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379" w:type="dxa"/>
            <w:vAlign w:val="center"/>
          </w:tcPr>
          <w:p w:rsidR="00731740" w:rsidRPr="00531223" w:rsidRDefault="008970FF" w:rsidP="00333B55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2020</w:t>
            </w:r>
            <w:r w:rsidR="00731740" w:rsidRPr="00531223">
              <w:rPr>
                <w:rFonts w:eastAsiaTheme="minorEastAsia"/>
                <w:bCs/>
                <w:iCs/>
                <w:sz w:val="24"/>
                <w:szCs w:val="24"/>
              </w:rPr>
              <w:t>年</w:t>
            </w:r>
            <w:r w:rsidR="00333B55" w:rsidRPr="00531223">
              <w:rPr>
                <w:rFonts w:eastAsiaTheme="minorEastAsia"/>
                <w:bCs/>
                <w:iCs/>
                <w:sz w:val="24"/>
                <w:szCs w:val="24"/>
              </w:rPr>
              <w:t>9</w:t>
            </w:r>
            <w:r w:rsidR="00731740" w:rsidRPr="00531223">
              <w:rPr>
                <w:rFonts w:eastAsiaTheme="minorEastAsia"/>
                <w:bCs/>
                <w:iCs/>
                <w:sz w:val="24"/>
                <w:szCs w:val="24"/>
              </w:rPr>
              <w:t>月</w:t>
            </w:r>
            <w:r w:rsidR="00333B55" w:rsidRPr="00531223">
              <w:rPr>
                <w:rFonts w:eastAsiaTheme="minorEastAsia"/>
                <w:bCs/>
                <w:iCs/>
                <w:sz w:val="24"/>
                <w:szCs w:val="24"/>
              </w:rPr>
              <w:t>3</w:t>
            </w:r>
            <w:r w:rsidR="00731740" w:rsidRPr="00531223">
              <w:rPr>
                <w:rFonts w:eastAsiaTheme="minorEastAsia"/>
                <w:bCs/>
                <w:iCs/>
                <w:sz w:val="24"/>
                <w:szCs w:val="24"/>
              </w:rPr>
              <w:t>日</w:t>
            </w:r>
          </w:p>
        </w:tc>
      </w:tr>
      <w:tr w:rsidR="00731740" w:rsidRPr="00531223" w:rsidTr="00667BFA">
        <w:trPr>
          <w:trHeight w:val="107"/>
        </w:trPr>
        <w:tc>
          <w:tcPr>
            <w:tcW w:w="1252" w:type="dxa"/>
            <w:vAlign w:val="center"/>
          </w:tcPr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379" w:type="dxa"/>
            <w:vAlign w:val="center"/>
          </w:tcPr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苏州市工业园区新庆路</w:t>
            </w: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28</w:t>
            </w: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号协</w:t>
            </w:r>
            <w:proofErr w:type="gramStart"/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鑫</w:t>
            </w:r>
            <w:proofErr w:type="gramEnd"/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能源中心</w:t>
            </w:r>
            <w:r w:rsidR="00873FE9" w:rsidRPr="00531223">
              <w:rPr>
                <w:rFonts w:eastAsiaTheme="minorEastAsia"/>
                <w:bCs/>
                <w:iCs/>
                <w:sz w:val="24"/>
                <w:szCs w:val="24"/>
              </w:rPr>
              <w:t>三</w:t>
            </w: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楼会议室</w:t>
            </w:r>
          </w:p>
        </w:tc>
      </w:tr>
      <w:tr w:rsidR="00731740" w:rsidRPr="00531223" w:rsidTr="00667BFA">
        <w:trPr>
          <w:trHeight w:val="107"/>
        </w:trPr>
        <w:tc>
          <w:tcPr>
            <w:tcW w:w="1252" w:type="dxa"/>
            <w:vAlign w:val="center"/>
          </w:tcPr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79" w:type="dxa"/>
            <w:vAlign w:val="center"/>
          </w:tcPr>
          <w:p w:rsidR="00312B9E" w:rsidRPr="00531223" w:rsidRDefault="00F6145B" w:rsidP="00B64CC1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公司</w:t>
            </w:r>
            <w:r w:rsidR="00731740" w:rsidRPr="00531223">
              <w:rPr>
                <w:rFonts w:eastAsiaTheme="minorEastAsia"/>
                <w:bCs/>
                <w:iCs/>
                <w:sz w:val="24"/>
                <w:szCs w:val="24"/>
              </w:rPr>
              <w:t>副总经理董事会</w:t>
            </w:r>
            <w:r w:rsidR="00197FAA" w:rsidRPr="00531223">
              <w:rPr>
                <w:rFonts w:eastAsiaTheme="minorEastAsia"/>
                <w:bCs/>
                <w:iCs/>
                <w:sz w:val="24"/>
                <w:szCs w:val="24"/>
              </w:rPr>
              <w:t>秘书</w:t>
            </w:r>
            <w:r w:rsidR="00731740" w:rsidRPr="00531223">
              <w:rPr>
                <w:rFonts w:eastAsiaTheme="minorEastAsia"/>
                <w:bCs/>
                <w:iCs/>
                <w:sz w:val="24"/>
                <w:szCs w:val="24"/>
              </w:rPr>
              <w:t>沈强</w:t>
            </w:r>
            <w:r w:rsidR="00333B55" w:rsidRPr="00531223">
              <w:rPr>
                <w:rFonts w:eastAsiaTheme="minorEastAsia"/>
                <w:bCs/>
                <w:iCs/>
                <w:sz w:val="24"/>
                <w:szCs w:val="24"/>
              </w:rPr>
              <w:t>、职能部门</w:t>
            </w:r>
            <w:r w:rsidR="00B64CC1" w:rsidRPr="00531223">
              <w:rPr>
                <w:rFonts w:eastAsiaTheme="minorEastAsia"/>
                <w:bCs/>
                <w:iCs/>
                <w:sz w:val="24"/>
                <w:szCs w:val="24"/>
              </w:rPr>
              <w:t>相关人员</w:t>
            </w:r>
          </w:p>
        </w:tc>
      </w:tr>
      <w:tr w:rsidR="00731740" w:rsidRPr="00531223" w:rsidTr="00667BFA">
        <w:trPr>
          <w:trHeight w:val="310"/>
        </w:trPr>
        <w:tc>
          <w:tcPr>
            <w:tcW w:w="1252" w:type="dxa"/>
            <w:vAlign w:val="center"/>
          </w:tcPr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79" w:type="dxa"/>
            <w:vAlign w:val="center"/>
          </w:tcPr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  <w:szCs w:val="24"/>
              </w:rPr>
            </w:pPr>
            <w:bookmarkStart w:id="0" w:name="_Toc40643664"/>
            <w:bookmarkStart w:id="1" w:name="_Toc40643665"/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bCs/>
                <w:iCs/>
                <w:color w:val="000000" w:themeColor="text1"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color w:val="000000" w:themeColor="text1"/>
                <w:sz w:val="24"/>
                <w:szCs w:val="24"/>
              </w:rPr>
              <w:t>一、公司参会高管对出席本次调研会议的投资者表示欢迎。公司副总经理董事会秘书沈强就公司经营情况做了简要介绍，相关人员就公司业务布局、建设项目、综合能源服务等方面进行了互动交流。</w:t>
            </w:r>
          </w:p>
          <w:p w:rsidR="00B245FA" w:rsidRPr="00531223" w:rsidRDefault="00B245FA" w:rsidP="00B245FA">
            <w:pPr>
              <w:pStyle w:val="a9"/>
              <w:adjustRightInd w:val="0"/>
              <w:snapToGrid w:val="0"/>
              <w:spacing w:line="360" w:lineRule="auto"/>
              <w:ind w:left="435" w:firstLineChars="0" w:firstLine="0"/>
              <w:rPr>
                <w:rFonts w:eastAsiaTheme="minorEastAsia"/>
                <w:bCs/>
                <w:iCs/>
                <w:color w:val="000000" w:themeColor="text1"/>
                <w:sz w:val="24"/>
                <w:szCs w:val="24"/>
              </w:rPr>
            </w:pP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bCs/>
                <w:iCs/>
                <w:color w:val="000000" w:themeColor="text1"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color w:val="000000" w:themeColor="text1"/>
                <w:sz w:val="24"/>
                <w:szCs w:val="24"/>
              </w:rPr>
              <w:t>二、投资者互动主要内容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31223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31223">
              <w:rPr>
                <w:b/>
                <w:color w:val="000000" w:themeColor="text1"/>
                <w:sz w:val="24"/>
                <w:szCs w:val="24"/>
              </w:rPr>
              <w:t>、</w:t>
            </w:r>
            <w:r w:rsidRPr="00531223">
              <w:rPr>
                <w:b/>
                <w:color w:val="000000"/>
                <w:sz w:val="24"/>
                <w:szCs w:val="24"/>
              </w:rPr>
              <w:t>上半年公司主营业务运营情况</w:t>
            </w:r>
            <w:r w:rsidRPr="00531223">
              <w:rPr>
                <w:b/>
                <w:color w:val="000000" w:themeColor="text1"/>
                <w:sz w:val="24"/>
                <w:szCs w:val="24"/>
              </w:rPr>
              <w:t>？</w:t>
            </w:r>
          </w:p>
          <w:bookmarkEnd w:id="0"/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531223">
              <w:rPr>
                <w:color w:val="000000"/>
                <w:sz w:val="24"/>
                <w:szCs w:val="24"/>
              </w:rPr>
              <w:t>答复：截至</w:t>
            </w:r>
            <w:r w:rsidRPr="00531223">
              <w:rPr>
                <w:color w:val="000000"/>
                <w:sz w:val="24"/>
                <w:szCs w:val="24"/>
              </w:rPr>
              <w:t>2020</w:t>
            </w:r>
            <w:r w:rsidRPr="00531223">
              <w:rPr>
                <w:color w:val="000000"/>
                <w:sz w:val="24"/>
                <w:szCs w:val="24"/>
              </w:rPr>
              <w:t>年</w:t>
            </w:r>
            <w:r w:rsidRPr="00531223">
              <w:rPr>
                <w:color w:val="000000"/>
                <w:sz w:val="24"/>
                <w:szCs w:val="24"/>
              </w:rPr>
              <w:t>6</w:t>
            </w:r>
            <w:r w:rsidRPr="00531223">
              <w:rPr>
                <w:color w:val="000000"/>
                <w:sz w:val="24"/>
                <w:szCs w:val="24"/>
              </w:rPr>
              <w:t>月</w:t>
            </w:r>
            <w:r w:rsidRPr="00531223">
              <w:rPr>
                <w:color w:val="000000"/>
                <w:sz w:val="24"/>
                <w:szCs w:val="24"/>
              </w:rPr>
              <w:t>30</w:t>
            </w:r>
            <w:r w:rsidRPr="00531223">
              <w:rPr>
                <w:color w:val="000000"/>
                <w:sz w:val="24"/>
                <w:szCs w:val="24"/>
              </w:rPr>
              <w:t>日，公司已并网装机容量为</w:t>
            </w:r>
            <w:r w:rsidRPr="00531223">
              <w:rPr>
                <w:color w:val="000000"/>
                <w:sz w:val="24"/>
                <w:szCs w:val="24"/>
              </w:rPr>
              <w:t>3170MW</w:t>
            </w:r>
            <w:r w:rsidRPr="00531223">
              <w:rPr>
                <w:color w:val="000000"/>
                <w:sz w:val="24"/>
                <w:szCs w:val="24"/>
              </w:rPr>
              <w:t>，其中：燃机热电联产</w:t>
            </w:r>
            <w:r w:rsidRPr="00531223">
              <w:rPr>
                <w:color w:val="000000"/>
                <w:sz w:val="24"/>
                <w:szCs w:val="24"/>
              </w:rPr>
              <w:t>2497MW</w:t>
            </w:r>
            <w:r w:rsidRPr="00531223">
              <w:rPr>
                <w:color w:val="000000"/>
                <w:sz w:val="24"/>
                <w:szCs w:val="24"/>
              </w:rPr>
              <w:t>，具有独特性和运营稳健性。报告期内，完成结算电量</w:t>
            </w:r>
            <w:r w:rsidRPr="00531223">
              <w:rPr>
                <w:color w:val="000000"/>
                <w:sz w:val="24"/>
                <w:szCs w:val="24"/>
              </w:rPr>
              <w:t>77</w:t>
            </w:r>
            <w:r w:rsidRPr="00531223">
              <w:rPr>
                <w:color w:val="000000"/>
                <w:sz w:val="24"/>
                <w:szCs w:val="24"/>
              </w:rPr>
              <w:t>亿千瓦时，同比增加</w:t>
            </w:r>
            <w:r w:rsidRPr="00531223">
              <w:rPr>
                <w:color w:val="000000"/>
                <w:sz w:val="24"/>
                <w:szCs w:val="24"/>
              </w:rPr>
              <w:t>19.8%</w:t>
            </w:r>
            <w:r w:rsidRPr="00531223">
              <w:rPr>
                <w:color w:val="000000"/>
                <w:sz w:val="24"/>
                <w:szCs w:val="24"/>
              </w:rPr>
              <w:t>；完成结算汽量</w:t>
            </w:r>
            <w:r w:rsidRPr="00531223">
              <w:rPr>
                <w:color w:val="000000"/>
                <w:sz w:val="24"/>
                <w:szCs w:val="24"/>
              </w:rPr>
              <w:t>663</w:t>
            </w:r>
            <w:r w:rsidRPr="00531223">
              <w:rPr>
                <w:color w:val="000000"/>
                <w:sz w:val="24"/>
                <w:szCs w:val="24"/>
              </w:rPr>
              <w:t>万吨，同比减少</w:t>
            </w:r>
            <w:r w:rsidRPr="00531223">
              <w:rPr>
                <w:color w:val="000000"/>
                <w:sz w:val="24"/>
                <w:szCs w:val="24"/>
              </w:rPr>
              <w:t>3.9%</w:t>
            </w:r>
            <w:r w:rsidRPr="00531223">
              <w:rPr>
                <w:color w:val="000000"/>
                <w:sz w:val="24"/>
                <w:szCs w:val="24"/>
              </w:rPr>
              <w:t>；完成垃圾处置量</w:t>
            </w:r>
            <w:r w:rsidRPr="00531223">
              <w:rPr>
                <w:color w:val="000000"/>
                <w:sz w:val="24"/>
                <w:szCs w:val="24"/>
              </w:rPr>
              <w:t>71.5</w:t>
            </w:r>
            <w:r w:rsidRPr="00531223">
              <w:rPr>
                <w:color w:val="000000"/>
                <w:sz w:val="24"/>
                <w:szCs w:val="24"/>
              </w:rPr>
              <w:t>万吨，同比增加</w:t>
            </w:r>
            <w:r w:rsidRPr="00531223">
              <w:rPr>
                <w:color w:val="000000"/>
                <w:sz w:val="24"/>
                <w:szCs w:val="24"/>
              </w:rPr>
              <w:t>12.4%</w:t>
            </w:r>
            <w:r w:rsidRPr="00531223">
              <w:rPr>
                <w:color w:val="000000"/>
                <w:sz w:val="24"/>
                <w:szCs w:val="24"/>
              </w:rPr>
              <w:t>。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531223">
              <w:rPr>
                <w:color w:val="000000"/>
                <w:sz w:val="24"/>
                <w:szCs w:val="24"/>
              </w:rPr>
              <w:t>综合能源服务方面保持去年交易规模，同时公司在数据中心业务</w:t>
            </w:r>
            <w:r w:rsidRPr="00531223">
              <w:rPr>
                <w:color w:val="000000"/>
                <w:sz w:val="24"/>
                <w:szCs w:val="24"/>
              </w:rPr>
              <w:lastRenderedPageBreak/>
              <w:t>上取得广州数据中心</w:t>
            </w:r>
            <w:r w:rsidR="00381154">
              <w:rPr>
                <w:rFonts w:hint="eastAsia"/>
                <w:color w:val="000000"/>
                <w:sz w:val="24"/>
                <w:szCs w:val="24"/>
              </w:rPr>
              <w:t>项目</w:t>
            </w:r>
            <w:r w:rsidRPr="00531223">
              <w:rPr>
                <w:color w:val="000000"/>
                <w:sz w:val="24"/>
                <w:szCs w:val="24"/>
              </w:rPr>
              <w:t>5000</w:t>
            </w:r>
            <w:r w:rsidRPr="00531223">
              <w:rPr>
                <w:color w:val="000000"/>
                <w:sz w:val="24"/>
                <w:szCs w:val="24"/>
              </w:rPr>
              <w:t>个机架，茂名数据中心</w:t>
            </w:r>
            <w:r w:rsidR="00381154">
              <w:rPr>
                <w:rFonts w:hint="eastAsia"/>
                <w:color w:val="000000"/>
                <w:sz w:val="24"/>
                <w:szCs w:val="24"/>
              </w:rPr>
              <w:t>项目</w:t>
            </w:r>
            <w:r w:rsidRPr="00531223">
              <w:rPr>
                <w:color w:val="000000"/>
                <w:sz w:val="24"/>
                <w:szCs w:val="24"/>
              </w:rPr>
              <w:t>5000</w:t>
            </w:r>
            <w:r w:rsidRPr="00531223">
              <w:rPr>
                <w:color w:val="000000"/>
                <w:sz w:val="24"/>
                <w:szCs w:val="24"/>
              </w:rPr>
              <w:t>机架</w:t>
            </w:r>
            <w:r w:rsidR="00381154">
              <w:rPr>
                <w:rFonts w:hint="eastAsia"/>
                <w:color w:val="000000"/>
                <w:sz w:val="24"/>
                <w:szCs w:val="24"/>
              </w:rPr>
              <w:t>和</w:t>
            </w:r>
            <w:r w:rsidRPr="00531223">
              <w:rPr>
                <w:color w:val="000000"/>
                <w:sz w:val="24"/>
                <w:szCs w:val="24"/>
              </w:rPr>
              <w:t>无锡数据中心</w:t>
            </w:r>
            <w:r w:rsidR="00381154">
              <w:rPr>
                <w:rFonts w:hint="eastAsia"/>
                <w:color w:val="000000"/>
                <w:sz w:val="24"/>
                <w:szCs w:val="24"/>
              </w:rPr>
              <w:t>项目</w:t>
            </w:r>
            <w:r w:rsidRPr="00531223">
              <w:rPr>
                <w:color w:val="000000"/>
                <w:sz w:val="24"/>
                <w:szCs w:val="24"/>
              </w:rPr>
              <w:t>1000</w:t>
            </w:r>
            <w:r w:rsidR="00381154">
              <w:rPr>
                <w:rFonts w:hint="eastAsia"/>
                <w:color w:val="000000"/>
                <w:sz w:val="24"/>
                <w:szCs w:val="24"/>
              </w:rPr>
              <w:t>个</w:t>
            </w:r>
            <w:r w:rsidRPr="00531223">
              <w:rPr>
                <w:color w:val="000000"/>
                <w:sz w:val="24"/>
                <w:szCs w:val="24"/>
              </w:rPr>
              <w:t>机架</w:t>
            </w:r>
            <w:r w:rsidR="00381154">
              <w:rPr>
                <w:rFonts w:hint="eastAsia"/>
                <w:color w:val="000000"/>
                <w:sz w:val="24"/>
                <w:szCs w:val="24"/>
              </w:rPr>
              <w:t>的</w:t>
            </w:r>
            <w:r w:rsidRPr="00531223">
              <w:rPr>
                <w:color w:val="000000"/>
                <w:sz w:val="24"/>
                <w:szCs w:val="24"/>
              </w:rPr>
              <w:t>备案。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outlineLvl w:val="1"/>
              <w:rPr>
                <w:color w:val="000000"/>
                <w:sz w:val="24"/>
                <w:szCs w:val="24"/>
              </w:rPr>
            </w:pPr>
            <w:r w:rsidRPr="00531223">
              <w:rPr>
                <w:color w:val="000000"/>
                <w:sz w:val="24"/>
                <w:szCs w:val="24"/>
              </w:rPr>
              <w:t>今年公司围绕两条主线：清洁能源热电联产继续推进具有高竞争力热电联产以及加大平价</w:t>
            </w:r>
            <w:proofErr w:type="gramStart"/>
            <w:r w:rsidRPr="00531223">
              <w:rPr>
                <w:color w:val="000000"/>
                <w:sz w:val="24"/>
                <w:szCs w:val="24"/>
              </w:rPr>
              <w:t>上网风</w:t>
            </w:r>
            <w:proofErr w:type="gramEnd"/>
            <w:r w:rsidRPr="00531223">
              <w:rPr>
                <w:color w:val="000000"/>
                <w:sz w:val="24"/>
                <w:szCs w:val="24"/>
              </w:rPr>
              <w:t>电项目，同时推进垃圾发电及静脉产业园项目；综合能源服务重点围绕数据中心、储能、售电、能效方面，关注区域上重点开发的粤港澳大湾区、长三角、珠三角、新疆开发能源服务，聚焦中小企业客户开展</w:t>
            </w:r>
            <w:proofErr w:type="gramStart"/>
            <w:r w:rsidRPr="00531223">
              <w:rPr>
                <w:color w:val="000000"/>
                <w:sz w:val="24"/>
                <w:szCs w:val="24"/>
              </w:rPr>
              <w:t>冷热电业务</w:t>
            </w:r>
            <w:proofErr w:type="gramEnd"/>
            <w:r w:rsidRPr="00531223">
              <w:rPr>
                <w:color w:val="000000"/>
                <w:sz w:val="24"/>
                <w:szCs w:val="24"/>
              </w:rPr>
              <w:t>。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2"/>
              <w:outlineLvl w:val="1"/>
              <w:rPr>
                <w:b/>
                <w:color w:val="000000"/>
                <w:sz w:val="24"/>
                <w:szCs w:val="24"/>
              </w:rPr>
            </w:pPr>
          </w:p>
          <w:bookmarkEnd w:id="1"/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color w:val="000000"/>
                <w:kern w:val="44"/>
                <w:sz w:val="24"/>
                <w:szCs w:val="24"/>
              </w:rPr>
            </w:pPr>
            <w:r w:rsidRPr="00531223">
              <w:rPr>
                <w:b/>
                <w:bCs/>
                <w:color w:val="000000"/>
                <w:kern w:val="44"/>
                <w:sz w:val="24"/>
                <w:szCs w:val="24"/>
              </w:rPr>
              <w:t>2</w:t>
            </w:r>
            <w:r w:rsidRPr="00531223">
              <w:rPr>
                <w:b/>
                <w:bCs/>
                <w:color w:val="000000"/>
                <w:kern w:val="44"/>
                <w:sz w:val="24"/>
                <w:szCs w:val="24"/>
              </w:rPr>
              <w:t>、热电联产装机快速增长的推动原因？</w:t>
            </w:r>
          </w:p>
          <w:p w:rsidR="00F835DE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531223">
              <w:rPr>
                <w:color w:val="000000"/>
                <w:sz w:val="24"/>
                <w:szCs w:val="24"/>
              </w:rPr>
              <w:t>答复：</w:t>
            </w:r>
            <w:r w:rsidR="00F835DE">
              <w:rPr>
                <w:sz w:val="24"/>
                <w:szCs w:val="24"/>
              </w:rPr>
              <w:t>热电联产是公司主</w:t>
            </w:r>
            <w:r w:rsidR="00F835DE">
              <w:rPr>
                <w:rFonts w:hint="eastAsia"/>
                <w:sz w:val="24"/>
                <w:szCs w:val="24"/>
              </w:rPr>
              <w:t>打</w:t>
            </w:r>
            <w:r w:rsidRPr="00531223">
              <w:rPr>
                <w:sz w:val="24"/>
                <w:szCs w:val="24"/>
              </w:rPr>
              <w:t>业务，主要布局在江苏、浙江、广东等区域；现在在建拟建燃机项目规模约</w:t>
            </w:r>
            <w:r w:rsidRPr="00531223">
              <w:rPr>
                <w:sz w:val="24"/>
                <w:szCs w:val="24"/>
              </w:rPr>
              <w:t>100</w:t>
            </w:r>
            <w:r w:rsidRPr="00531223">
              <w:rPr>
                <w:sz w:val="24"/>
                <w:szCs w:val="24"/>
              </w:rPr>
              <w:t>万千瓦，主要仍在广东、江苏区域，其他区域也有局部布局，比如湖北襄阳等</w:t>
            </w:r>
            <w:r w:rsidR="00F835DE">
              <w:rPr>
                <w:rFonts w:hint="eastAsia"/>
                <w:sz w:val="24"/>
                <w:szCs w:val="24"/>
              </w:rPr>
              <w:t>。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531223">
              <w:rPr>
                <w:sz w:val="24"/>
                <w:szCs w:val="24"/>
              </w:rPr>
              <w:t>热电联产主要和工业结合，在长三角、珠三角、京津冀地区，热电联产行业前景广阔。公司现有的项目所在开发区供热需求持续增长，对内生发展带来潜力。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531223">
              <w:rPr>
                <w:b/>
                <w:sz w:val="24"/>
                <w:szCs w:val="24"/>
              </w:rPr>
              <w:t>3</w:t>
            </w:r>
            <w:r w:rsidRPr="00531223">
              <w:rPr>
                <w:b/>
                <w:sz w:val="24"/>
                <w:szCs w:val="24"/>
              </w:rPr>
              <w:t>、公司在建项目的</w:t>
            </w:r>
            <w:r w:rsidRPr="00531223">
              <w:rPr>
                <w:b/>
                <w:sz w:val="24"/>
                <w:szCs w:val="24"/>
              </w:rPr>
              <w:t>1400MW</w:t>
            </w:r>
            <w:r w:rsidRPr="00531223">
              <w:rPr>
                <w:b/>
                <w:sz w:val="24"/>
                <w:szCs w:val="24"/>
              </w:rPr>
              <w:t>装机电源结构拆分情况，预计投产时间？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531223">
              <w:rPr>
                <w:color w:val="000000"/>
                <w:sz w:val="24"/>
                <w:szCs w:val="24"/>
              </w:rPr>
              <w:t>答复：</w:t>
            </w:r>
            <w:r w:rsidRPr="00531223">
              <w:rPr>
                <w:sz w:val="24"/>
                <w:szCs w:val="24"/>
              </w:rPr>
              <w:t>燃机热电联产：目前公司在建、拟建的燃机热电联产项目容量约</w:t>
            </w:r>
            <w:r w:rsidRPr="00531223">
              <w:rPr>
                <w:sz w:val="24"/>
                <w:szCs w:val="24"/>
              </w:rPr>
              <w:t>100</w:t>
            </w:r>
            <w:r w:rsidRPr="00531223">
              <w:rPr>
                <w:sz w:val="24"/>
                <w:szCs w:val="24"/>
              </w:rPr>
              <w:t>万千瓦，分别位于广东高州、佛冈和东莞，江苏南京，以及湖北襄阳、湖南长沙及广西钦州。未来</w:t>
            </w:r>
            <w:r w:rsidRPr="00531223">
              <w:rPr>
                <w:sz w:val="24"/>
                <w:szCs w:val="24"/>
              </w:rPr>
              <w:t>3</w:t>
            </w:r>
            <w:r w:rsidRPr="00531223">
              <w:rPr>
                <w:sz w:val="24"/>
                <w:szCs w:val="24"/>
              </w:rPr>
              <w:t>年公司燃机热电联产装机将超过</w:t>
            </w:r>
            <w:r w:rsidRPr="00531223">
              <w:rPr>
                <w:sz w:val="24"/>
                <w:szCs w:val="24"/>
              </w:rPr>
              <w:t>350</w:t>
            </w:r>
            <w:r w:rsidRPr="00531223">
              <w:rPr>
                <w:sz w:val="24"/>
                <w:szCs w:val="24"/>
              </w:rPr>
              <w:t>万千瓦。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531223">
              <w:rPr>
                <w:sz w:val="24"/>
                <w:szCs w:val="24"/>
              </w:rPr>
              <w:t>风电项目：公司</w:t>
            </w:r>
            <w:proofErr w:type="gramStart"/>
            <w:r w:rsidRPr="00531223">
              <w:rPr>
                <w:sz w:val="24"/>
                <w:szCs w:val="24"/>
              </w:rPr>
              <w:t>在建风电项目</w:t>
            </w:r>
            <w:proofErr w:type="gramEnd"/>
            <w:r w:rsidRPr="00531223">
              <w:rPr>
                <w:sz w:val="24"/>
                <w:szCs w:val="24"/>
              </w:rPr>
              <w:t>容量约</w:t>
            </w:r>
            <w:r w:rsidRPr="00531223">
              <w:rPr>
                <w:sz w:val="24"/>
                <w:szCs w:val="24"/>
              </w:rPr>
              <w:t>80</w:t>
            </w:r>
            <w:r w:rsidRPr="00531223">
              <w:rPr>
                <w:sz w:val="24"/>
                <w:szCs w:val="24"/>
              </w:rPr>
              <w:t>万千瓦，目前在建的风</w:t>
            </w:r>
            <w:proofErr w:type="gramStart"/>
            <w:r w:rsidRPr="00531223">
              <w:rPr>
                <w:sz w:val="24"/>
                <w:szCs w:val="24"/>
              </w:rPr>
              <w:t>电项目</w:t>
            </w:r>
            <w:proofErr w:type="gramEnd"/>
            <w:r w:rsidRPr="00531223">
              <w:rPr>
                <w:sz w:val="24"/>
                <w:szCs w:val="24"/>
              </w:rPr>
              <w:t>将于</w:t>
            </w:r>
            <w:r w:rsidRPr="00531223">
              <w:rPr>
                <w:sz w:val="24"/>
                <w:szCs w:val="24"/>
              </w:rPr>
              <w:t>2020</w:t>
            </w:r>
            <w:r w:rsidRPr="00531223">
              <w:rPr>
                <w:sz w:val="24"/>
                <w:szCs w:val="24"/>
              </w:rPr>
              <w:t>年集中并网，未来</w:t>
            </w:r>
            <w:r w:rsidRPr="00531223">
              <w:rPr>
                <w:sz w:val="24"/>
                <w:szCs w:val="24"/>
              </w:rPr>
              <w:t>3</w:t>
            </w:r>
            <w:r w:rsidRPr="00531223">
              <w:rPr>
                <w:sz w:val="24"/>
                <w:szCs w:val="24"/>
              </w:rPr>
              <w:t>年公司风</w:t>
            </w:r>
            <w:proofErr w:type="gramStart"/>
            <w:r w:rsidRPr="00531223">
              <w:rPr>
                <w:sz w:val="24"/>
                <w:szCs w:val="24"/>
              </w:rPr>
              <w:t>电项目</w:t>
            </w:r>
            <w:proofErr w:type="gramEnd"/>
            <w:r w:rsidRPr="00531223">
              <w:rPr>
                <w:sz w:val="24"/>
                <w:szCs w:val="24"/>
              </w:rPr>
              <w:t>装机将超过</w:t>
            </w:r>
            <w:r w:rsidRPr="00531223">
              <w:rPr>
                <w:sz w:val="24"/>
                <w:szCs w:val="24"/>
              </w:rPr>
              <w:t>100</w:t>
            </w:r>
            <w:r w:rsidRPr="00531223">
              <w:rPr>
                <w:sz w:val="24"/>
                <w:szCs w:val="24"/>
              </w:rPr>
              <w:t>万千瓦。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531223">
              <w:rPr>
                <w:sz w:val="24"/>
                <w:szCs w:val="24"/>
              </w:rPr>
              <w:t>垃圾发电：公司现在重点推进徐州二期、太仓二期、永城二期等改扩建项目。未来</w:t>
            </w:r>
            <w:r w:rsidRPr="00531223">
              <w:rPr>
                <w:sz w:val="24"/>
                <w:szCs w:val="24"/>
              </w:rPr>
              <w:t>3</w:t>
            </w:r>
            <w:r w:rsidRPr="00531223">
              <w:rPr>
                <w:sz w:val="24"/>
                <w:szCs w:val="24"/>
              </w:rPr>
              <w:t>年公司垃圾发电项目装机将达到</w:t>
            </w:r>
            <w:r w:rsidRPr="00531223">
              <w:rPr>
                <w:sz w:val="24"/>
                <w:szCs w:val="24"/>
              </w:rPr>
              <w:t>17</w:t>
            </w:r>
            <w:r w:rsidRPr="00531223">
              <w:rPr>
                <w:sz w:val="24"/>
                <w:szCs w:val="24"/>
              </w:rPr>
              <w:t>万千瓦，日处理垃圾量接近</w:t>
            </w:r>
            <w:r w:rsidRPr="00531223">
              <w:rPr>
                <w:sz w:val="24"/>
                <w:szCs w:val="24"/>
              </w:rPr>
              <w:t>7000</w:t>
            </w:r>
            <w:r w:rsidRPr="00531223">
              <w:rPr>
                <w:sz w:val="24"/>
                <w:szCs w:val="24"/>
              </w:rPr>
              <w:t>吨。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2"/>
              <w:outlineLvl w:val="1"/>
              <w:rPr>
                <w:b/>
                <w:bCs/>
                <w:color w:val="000000"/>
                <w:kern w:val="44"/>
                <w:sz w:val="24"/>
                <w:szCs w:val="24"/>
              </w:rPr>
            </w:pPr>
            <w:r w:rsidRPr="00531223">
              <w:rPr>
                <w:b/>
                <w:color w:val="000000"/>
                <w:sz w:val="24"/>
                <w:szCs w:val="24"/>
              </w:rPr>
              <w:t>4</w:t>
            </w:r>
            <w:r w:rsidRPr="00531223">
              <w:rPr>
                <w:b/>
                <w:color w:val="000000"/>
                <w:sz w:val="24"/>
                <w:szCs w:val="24"/>
              </w:rPr>
              <w:t>、</w:t>
            </w:r>
            <w:r w:rsidRPr="00531223">
              <w:rPr>
                <w:b/>
                <w:bCs/>
                <w:color w:val="000000"/>
                <w:kern w:val="44"/>
                <w:sz w:val="24"/>
                <w:szCs w:val="24"/>
              </w:rPr>
              <w:t>综合能源服务的优势、重点领域？</w:t>
            </w:r>
            <w:r w:rsidRPr="00531223">
              <w:rPr>
                <w:b/>
                <w:bCs/>
                <w:color w:val="000000" w:themeColor="text1"/>
                <w:kern w:val="44"/>
                <w:sz w:val="24"/>
                <w:szCs w:val="24"/>
              </w:rPr>
              <w:t xml:space="preserve"> 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531223">
              <w:rPr>
                <w:color w:val="000000"/>
                <w:sz w:val="24"/>
                <w:szCs w:val="24"/>
              </w:rPr>
              <w:lastRenderedPageBreak/>
              <w:t>答复：</w:t>
            </w:r>
            <w:r w:rsidRPr="00531223">
              <w:rPr>
                <w:sz w:val="24"/>
                <w:szCs w:val="24"/>
              </w:rPr>
              <w:t>公司能源服务方面具有市场、数据、技术、创新等各种优势。（</w:t>
            </w:r>
            <w:r w:rsidRPr="00531223">
              <w:rPr>
                <w:sz w:val="24"/>
                <w:szCs w:val="24"/>
              </w:rPr>
              <w:t>1</w:t>
            </w:r>
            <w:r w:rsidRPr="00531223">
              <w:rPr>
                <w:sz w:val="24"/>
                <w:szCs w:val="24"/>
              </w:rPr>
              <w:t>）市场、客户优势：工商业用户因为其用用能量大成为综合能源服务业务的客户主体，公司热网业务布局经济发达区域长三角、珠三角等数十个工业园区，拥有众多的工商业优质客户群体。（</w:t>
            </w:r>
            <w:r w:rsidRPr="00531223">
              <w:rPr>
                <w:sz w:val="24"/>
                <w:szCs w:val="24"/>
              </w:rPr>
              <w:t>2</w:t>
            </w:r>
            <w:r w:rsidRPr="00531223">
              <w:rPr>
                <w:sz w:val="24"/>
                <w:szCs w:val="24"/>
              </w:rPr>
              <w:t>）数据优势：公司具有国家一级需求侧数据管理资质，管理的工商业用户容量达</w:t>
            </w:r>
            <w:r w:rsidRPr="00531223">
              <w:rPr>
                <w:sz w:val="24"/>
                <w:szCs w:val="24"/>
              </w:rPr>
              <w:t>1200</w:t>
            </w:r>
            <w:r w:rsidRPr="00531223">
              <w:rPr>
                <w:sz w:val="24"/>
                <w:szCs w:val="24"/>
              </w:rPr>
              <w:t>万</w:t>
            </w:r>
            <w:r w:rsidRPr="00531223">
              <w:rPr>
                <w:sz w:val="24"/>
                <w:szCs w:val="24"/>
              </w:rPr>
              <w:t>KVA</w:t>
            </w:r>
            <w:r w:rsidRPr="00531223">
              <w:rPr>
                <w:sz w:val="24"/>
                <w:szCs w:val="24"/>
              </w:rPr>
              <w:t>，具有强大的数据管控平台，对用户全面深入能源数据分析，提供能源解决方案的优势。（</w:t>
            </w:r>
            <w:r w:rsidRPr="00531223">
              <w:rPr>
                <w:sz w:val="24"/>
                <w:szCs w:val="24"/>
              </w:rPr>
              <w:t>3</w:t>
            </w:r>
            <w:r w:rsidRPr="00531223">
              <w:rPr>
                <w:sz w:val="24"/>
                <w:szCs w:val="24"/>
              </w:rPr>
              <w:t>）技术优势：公司从事电力、热力业务超过</w:t>
            </w:r>
            <w:r w:rsidRPr="00531223">
              <w:rPr>
                <w:sz w:val="24"/>
                <w:szCs w:val="24"/>
              </w:rPr>
              <w:t>20</w:t>
            </w:r>
            <w:r w:rsidRPr="00531223">
              <w:rPr>
                <w:sz w:val="24"/>
                <w:szCs w:val="24"/>
              </w:rPr>
              <w:t>年，具有众多电力、热力等能源专业人才，公司获批的国家级多能互补示范工程、新能源微电网工程均取得了很好的效果，拥有先进的</w:t>
            </w:r>
            <w:r w:rsidRPr="00531223">
              <w:rPr>
                <w:sz w:val="24"/>
                <w:szCs w:val="24"/>
              </w:rPr>
              <w:t>“</w:t>
            </w:r>
            <w:r w:rsidRPr="00531223">
              <w:rPr>
                <w:sz w:val="24"/>
                <w:szCs w:val="24"/>
              </w:rPr>
              <w:t>六位一体</w:t>
            </w:r>
            <w:r w:rsidRPr="00531223">
              <w:rPr>
                <w:sz w:val="24"/>
                <w:szCs w:val="24"/>
              </w:rPr>
              <w:t>”</w:t>
            </w:r>
            <w:proofErr w:type="gramStart"/>
            <w:r w:rsidRPr="00531223">
              <w:rPr>
                <w:sz w:val="24"/>
                <w:szCs w:val="24"/>
              </w:rPr>
              <w:t>能源网</w:t>
            </w:r>
            <w:proofErr w:type="gramEnd"/>
            <w:r w:rsidRPr="00531223">
              <w:rPr>
                <w:sz w:val="24"/>
                <w:szCs w:val="24"/>
              </w:rPr>
              <w:t>技术等多种能源技术。（</w:t>
            </w:r>
            <w:r w:rsidRPr="00531223">
              <w:rPr>
                <w:sz w:val="24"/>
                <w:szCs w:val="24"/>
              </w:rPr>
              <w:t>4</w:t>
            </w:r>
            <w:r w:rsidRPr="00531223">
              <w:rPr>
                <w:sz w:val="24"/>
                <w:szCs w:val="24"/>
              </w:rPr>
              <w:t>）创新优势：公司建立了</w:t>
            </w:r>
            <w:proofErr w:type="gramStart"/>
            <w:r w:rsidRPr="00531223">
              <w:rPr>
                <w:sz w:val="24"/>
                <w:szCs w:val="24"/>
              </w:rPr>
              <w:t>源网售用</w:t>
            </w:r>
            <w:proofErr w:type="gramEnd"/>
            <w:r w:rsidRPr="00531223">
              <w:rPr>
                <w:sz w:val="24"/>
                <w:szCs w:val="24"/>
              </w:rPr>
              <w:t>云的发展体系，建立了</w:t>
            </w:r>
            <w:proofErr w:type="gramStart"/>
            <w:r w:rsidRPr="00531223">
              <w:rPr>
                <w:sz w:val="24"/>
                <w:szCs w:val="24"/>
              </w:rPr>
              <w:t>鑫能网</w:t>
            </w:r>
            <w:proofErr w:type="gramEnd"/>
            <w:r w:rsidRPr="00531223">
              <w:rPr>
                <w:sz w:val="24"/>
                <w:szCs w:val="24"/>
              </w:rPr>
              <w:t>等互联网智慧运营平台，与众多国内优势能源服务资源企业搭建了生态服务平台。上述优势将深度推进公司综合能源服务业务的快速发展和盈利提升。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531223">
              <w:rPr>
                <w:sz w:val="24"/>
                <w:szCs w:val="24"/>
              </w:rPr>
              <w:t>公司是国内领先的综合能源服务商，在策略方面，客户群体聚焦于发达地区工商业用户，业务聚焦在配售电、储能、能效三大领域，目标以配售</w:t>
            </w:r>
            <w:proofErr w:type="gramStart"/>
            <w:r w:rsidRPr="00531223">
              <w:rPr>
                <w:sz w:val="24"/>
                <w:szCs w:val="24"/>
              </w:rPr>
              <w:t>电业务</w:t>
            </w:r>
            <w:proofErr w:type="gramEnd"/>
            <w:r w:rsidRPr="00531223">
              <w:rPr>
                <w:sz w:val="24"/>
                <w:szCs w:val="24"/>
              </w:rPr>
              <w:t>为平台，为用户提供储能、节能、能源管理、能源数据等增值服务。公司以大数据管理和多能互补微能网为能效管理两大抓手，为用户提供热电冷等综合能源个性解决方案，在保障客户用能更安全、更经济、更绿色的同时，提升了综合能源服务的盈利空间。</w:t>
            </w: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245FA" w:rsidRPr="00531223" w:rsidRDefault="00B245FA" w:rsidP="00B245FA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 w:rsidRPr="00531223">
              <w:rPr>
                <w:b/>
                <w:sz w:val="24"/>
                <w:szCs w:val="24"/>
              </w:rPr>
              <w:t>5</w:t>
            </w:r>
            <w:r w:rsidRPr="00531223">
              <w:rPr>
                <w:b/>
                <w:sz w:val="24"/>
                <w:szCs w:val="24"/>
              </w:rPr>
              <w:t>、综合能源业务中，储能业务现有的规模体量，项目储备情况，如何保证综合能源业务每年增长？</w:t>
            </w:r>
          </w:p>
          <w:p w:rsidR="00531223" w:rsidRPr="00531223" w:rsidRDefault="00B245FA" w:rsidP="00531223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223">
              <w:rPr>
                <w:color w:val="000000"/>
                <w:sz w:val="24"/>
                <w:szCs w:val="24"/>
              </w:rPr>
              <w:t>答复：</w:t>
            </w:r>
            <w:r w:rsidR="00531223" w:rsidRPr="00531223">
              <w:rPr>
                <w:color w:val="000000"/>
                <w:sz w:val="24"/>
                <w:szCs w:val="24"/>
                <w:shd w:val="clear" w:color="auto" w:fill="FFFFFF"/>
              </w:rPr>
              <w:t>目前公司管理储能规模</w:t>
            </w:r>
            <w:r w:rsidR="00531223" w:rsidRPr="00531223">
              <w:rPr>
                <w:color w:val="000000"/>
                <w:sz w:val="24"/>
                <w:szCs w:val="24"/>
                <w:shd w:val="clear" w:color="auto" w:fill="FFFFFF"/>
              </w:rPr>
              <w:t>26MWh</w:t>
            </w:r>
            <w:r w:rsidR="00531223" w:rsidRPr="00531223">
              <w:rPr>
                <w:color w:val="000000"/>
                <w:sz w:val="24"/>
                <w:szCs w:val="24"/>
                <w:shd w:val="clear" w:color="auto" w:fill="FFFFFF"/>
              </w:rPr>
              <w:t>，投运了江苏省容量最大的用户侧锂电池储能项目，同时以高效锂电为技术路线，以经济发达地区为主要市场，正在积极发展发电侧，电网侧，用户侧共享储能。</w:t>
            </w:r>
          </w:p>
          <w:p w:rsidR="00531223" w:rsidRPr="00531223" w:rsidRDefault="00531223" w:rsidP="00531223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223">
              <w:rPr>
                <w:color w:val="000000"/>
                <w:sz w:val="24"/>
                <w:szCs w:val="24"/>
                <w:shd w:val="clear" w:color="auto" w:fill="FFFFFF"/>
              </w:rPr>
              <w:t>公司未来业务增长主要从三个方面：第一个是规模扩大，公司业务每年以</w:t>
            </w:r>
            <w:r w:rsidRPr="00531223">
              <w:rPr>
                <w:color w:val="000000"/>
                <w:sz w:val="24"/>
                <w:szCs w:val="24"/>
                <w:shd w:val="clear" w:color="auto" w:fill="FFFFFF"/>
              </w:rPr>
              <w:t>30%</w:t>
            </w:r>
            <w:r w:rsidRPr="00531223">
              <w:rPr>
                <w:color w:val="000000"/>
                <w:sz w:val="24"/>
                <w:szCs w:val="24"/>
                <w:shd w:val="clear" w:color="auto" w:fill="FFFFFF"/>
              </w:rPr>
              <w:t>的速度增长；第二是核心能力的提升，如我们具有国家一级需求侧的管理资质，同时有储能技术能力与很强数据管理能力；第三是业务集成的正向影响，像售电市场的扩大会对能效和储能形成</w:t>
            </w:r>
            <w:r w:rsidRPr="0053122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对客户的引流、增加客户粘性，同时能效管理和储能的提升又会增加售电粘性，以用户侧的电力市场为主提高集成能力。</w:t>
            </w:r>
          </w:p>
          <w:p w:rsidR="00B64CC1" w:rsidRPr="00531223" w:rsidRDefault="00B64CC1" w:rsidP="0053122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bCs/>
                <w:iCs/>
                <w:sz w:val="24"/>
                <w:szCs w:val="24"/>
              </w:rPr>
            </w:pPr>
          </w:p>
        </w:tc>
      </w:tr>
      <w:tr w:rsidR="00731740" w:rsidRPr="00531223" w:rsidTr="00667BFA">
        <w:trPr>
          <w:trHeight w:val="701"/>
        </w:trPr>
        <w:tc>
          <w:tcPr>
            <w:tcW w:w="1252" w:type="dxa"/>
            <w:vAlign w:val="center"/>
          </w:tcPr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379" w:type="dxa"/>
            <w:vAlign w:val="center"/>
          </w:tcPr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无</w:t>
            </w:r>
          </w:p>
        </w:tc>
      </w:tr>
      <w:tr w:rsidR="00731740" w:rsidRPr="00531223" w:rsidTr="00667BFA">
        <w:trPr>
          <w:trHeight w:val="350"/>
        </w:trPr>
        <w:tc>
          <w:tcPr>
            <w:tcW w:w="1252" w:type="dxa"/>
            <w:vAlign w:val="center"/>
          </w:tcPr>
          <w:p w:rsidR="00731740" w:rsidRPr="00531223" w:rsidRDefault="00731740" w:rsidP="00452B5A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379" w:type="dxa"/>
            <w:vAlign w:val="center"/>
          </w:tcPr>
          <w:p w:rsidR="00731740" w:rsidRPr="00531223" w:rsidRDefault="00731740" w:rsidP="008970FF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20</w:t>
            </w:r>
            <w:r w:rsidR="008970FF" w:rsidRPr="00531223">
              <w:rPr>
                <w:rFonts w:eastAsiaTheme="minorEastAsia"/>
                <w:bCs/>
                <w:iCs/>
                <w:sz w:val="24"/>
                <w:szCs w:val="24"/>
              </w:rPr>
              <w:t>20</w:t>
            </w: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年</w:t>
            </w:r>
            <w:r w:rsidR="00333B55" w:rsidRPr="00531223">
              <w:rPr>
                <w:rFonts w:eastAsiaTheme="minorEastAsia"/>
                <w:bCs/>
                <w:iCs/>
                <w:sz w:val="24"/>
                <w:szCs w:val="24"/>
              </w:rPr>
              <w:t>9</w:t>
            </w: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月</w:t>
            </w:r>
            <w:r w:rsidR="00333B55" w:rsidRPr="00531223">
              <w:rPr>
                <w:rFonts w:eastAsiaTheme="minorEastAsia"/>
                <w:bCs/>
                <w:iCs/>
                <w:sz w:val="24"/>
                <w:szCs w:val="24"/>
              </w:rPr>
              <w:t>3</w:t>
            </w:r>
            <w:r w:rsidRPr="00531223">
              <w:rPr>
                <w:rFonts w:eastAsiaTheme="minor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0236FB" w:rsidRPr="00531223" w:rsidRDefault="000236FB" w:rsidP="00667BFA">
      <w:pPr>
        <w:adjustRightInd w:val="0"/>
        <w:snapToGrid w:val="0"/>
        <w:spacing w:line="360" w:lineRule="auto"/>
      </w:pPr>
      <w:bookmarkStart w:id="2" w:name="_GoBack"/>
      <w:bookmarkEnd w:id="2"/>
    </w:p>
    <w:sectPr w:rsidR="000236FB" w:rsidRPr="00531223" w:rsidSect="000D6F2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0B" w:rsidRDefault="0002240B" w:rsidP="00731740">
      <w:r>
        <w:separator/>
      </w:r>
    </w:p>
  </w:endnote>
  <w:endnote w:type="continuationSeparator" w:id="0">
    <w:p w:rsidR="0002240B" w:rsidRDefault="0002240B" w:rsidP="007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0B" w:rsidRDefault="0002240B" w:rsidP="00731740">
      <w:r>
        <w:separator/>
      </w:r>
    </w:p>
  </w:footnote>
  <w:footnote w:type="continuationSeparator" w:id="0">
    <w:p w:rsidR="0002240B" w:rsidRDefault="0002240B" w:rsidP="0073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34" w:rsidRPr="006B16FC" w:rsidRDefault="0002240B" w:rsidP="00AE737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42FA"/>
    <w:multiLevelType w:val="hybridMultilevel"/>
    <w:tmpl w:val="93FA6D0A"/>
    <w:lvl w:ilvl="0" w:tplc="56BE1784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0D43EA"/>
    <w:multiLevelType w:val="hybridMultilevel"/>
    <w:tmpl w:val="5F62B79C"/>
    <w:lvl w:ilvl="0" w:tplc="AE68519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4B"/>
    <w:rsid w:val="00011326"/>
    <w:rsid w:val="00011FCE"/>
    <w:rsid w:val="0002240B"/>
    <w:rsid w:val="000236FB"/>
    <w:rsid w:val="00024356"/>
    <w:rsid w:val="00030394"/>
    <w:rsid w:val="000A0D3E"/>
    <w:rsid w:val="000B66D4"/>
    <w:rsid w:val="000E6EC8"/>
    <w:rsid w:val="00114D9B"/>
    <w:rsid w:val="00116AED"/>
    <w:rsid w:val="001257C1"/>
    <w:rsid w:val="0012679D"/>
    <w:rsid w:val="00150514"/>
    <w:rsid w:val="0015313D"/>
    <w:rsid w:val="00154DB4"/>
    <w:rsid w:val="0015507D"/>
    <w:rsid w:val="00170237"/>
    <w:rsid w:val="001850B3"/>
    <w:rsid w:val="001912CB"/>
    <w:rsid w:val="00192B45"/>
    <w:rsid w:val="00197FAA"/>
    <w:rsid w:val="001A2D2B"/>
    <w:rsid w:val="001A4C66"/>
    <w:rsid w:val="001E4C64"/>
    <w:rsid w:val="001E6657"/>
    <w:rsid w:val="001F538C"/>
    <w:rsid w:val="00203E3D"/>
    <w:rsid w:val="00225943"/>
    <w:rsid w:val="00230831"/>
    <w:rsid w:val="00240B9C"/>
    <w:rsid w:val="00282FD6"/>
    <w:rsid w:val="0028326B"/>
    <w:rsid w:val="00287111"/>
    <w:rsid w:val="002A3E94"/>
    <w:rsid w:val="002E1DDB"/>
    <w:rsid w:val="00304DE0"/>
    <w:rsid w:val="00312B9E"/>
    <w:rsid w:val="00324EE1"/>
    <w:rsid w:val="00333B55"/>
    <w:rsid w:val="00342674"/>
    <w:rsid w:val="00353B12"/>
    <w:rsid w:val="00363A01"/>
    <w:rsid w:val="00381154"/>
    <w:rsid w:val="00381426"/>
    <w:rsid w:val="003A49CD"/>
    <w:rsid w:val="003B18B7"/>
    <w:rsid w:val="003B6A9F"/>
    <w:rsid w:val="003B6E54"/>
    <w:rsid w:val="003E0AE2"/>
    <w:rsid w:val="003E3AEF"/>
    <w:rsid w:val="003E6D32"/>
    <w:rsid w:val="0040041B"/>
    <w:rsid w:val="004131A3"/>
    <w:rsid w:val="0041556D"/>
    <w:rsid w:val="0044002A"/>
    <w:rsid w:val="00452B5A"/>
    <w:rsid w:val="00453248"/>
    <w:rsid w:val="00466D19"/>
    <w:rsid w:val="004700C1"/>
    <w:rsid w:val="004D504B"/>
    <w:rsid w:val="004F5F73"/>
    <w:rsid w:val="004F7BA2"/>
    <w:rsid w:val="0052437E"/>
    <w:rsid w:val="00524FC4"/>
    <w:rsid w:val="00531223"/>
    <w:rsid w:val="00531D40"/>
    <w:rsid w:val="005368B6"/>
    <w:rsid w:val="005471E8"/>
    <w:rsid w:val="00553C1D"/>
    <w:rsid w:val="00556328"/>
    <w:rsid w:val="00571323"/>
    <w:rsid w:val="00592C4E"/>
    <w:rsid w:val="00594350"/>
    <w:rsid w:val="005D494B"/>
    <w:rsid w:val="005E1CE2"/>
    <w:rsid w:val="00607C33"/>
    <w:rsid w:val="00611EDB"/>
    <w:rsid w:val="00620C59"/>
    <w:rsid w:val="0064681E"/>
    <w:rsid w:val="00647A6B"/>
    <w:rsid w:val="00667BFA"/>
    <w:rsid w:val="0068469B"/>
    <w:rsid w:val="006A02A7"/>
    <w:rsid w:val="006B16FC"/>
    <w:rsid w:val="006B5D24"/>
    <w:rsid w:val="00724612"/>
    <w:rsid w:val="00731740"/>
    <w:rsid w:val="007331BF"/>
    <w:rsid w:val="007373FF"/>
    <w:rsid w:val="0077098F"/>
    <w:rsid w:val="007765D1"/>
    <w:rsid w:val="007852D3"/>
    <w:rsid w:val="00791E12"/>
    <w:rsid w:val="007A17CE"/>
    <w:rsid w:val="007A561C"/>
    <w:rsid w:val="007C2E01"/>
    <w:rsid w:val="007C41FA"/>
    <w:rsid w:val="0080141F"/>
    <w:rsid w:val="00821347"/>
    <w:rsid w:val="00824C68"/>
    <w:rsid w:val="0083579B"/>
    <w:rsid w:val="00857C4D"/>
    <w:rsid w:val="00873FE9"/>
    <w:rsid w:val="008755D4"/>
    <w:rsid w:val="00880F4E"/>
    <w:rsid w:val="00891B1B"/>
    <w:rsid w:val="008970FF"/>
    <w:rsid w:val="008A6F91"/>
    <w:rsid w:val="008B21D0"/>
    <w:rsid w:val="008B5516"/>
    <w:rsid w:val="008F1270"/>
    <w:rsid w:val="00900812"/>
    <w:rsid w:val="00900E1F"/>
    <w:rsid w:val="009341A5"/>
    <w:rsid w:val="009620DE"/>
    <w:rsid w:val="00975D1B"/>
    <w:rsid w:val="00977A5C"/>
    <w:rsid w:val="00985B18"/>
    <w:rsid w:val="009C43CF"/>
    <w:rsid w:val="009F0EA2"/>
    <w:rsid w:val="009F2700"/>
    <w:rsid w:val="00A04DC3"/>
    <w:rsid w:val="00A36FB9"/>
    <w:rsid w:val="00A50E20"/>
    <w:rsid w:val="00A5597C"/>
    <w:rsid w:val="00A657F7"/>
    <w:rsid w:val="00AA2C58"/>
    <w:rsid w:val="00AA3570"/>
    <w:rsid w:val="00AA484B"/>
    <w:rsid w:val="00AB69D2"/>
    <w:rsid w:val="00AC1816"/>
    <w:rsid w:val="00AD26AB"/>
    <w:rsid w:val="00AE19D1"/>
    <w:rsid w:val="00B127D5"/>
    <w:rsid w:val="00B1603E"/>
    <w:rsid w:val="00B245FA"/>
    <w:rsid w:val="00B25F06"/>
    <w:rsid w:val="00B43666"/>
    <w:rsid w:val="00B64A7A"/>
    <w:rsid w:val="00B64CC1"/>
    <w:rsid w:val="00B95126"/>
    <w:rsid w:val="00BA54C6"/>
    <w:rsid w:val="00BA649D"/>
    <w:rsid w:val="00BB2B18"/>
    <w:rsid w:val="00BB3097"/>
    <w:rsid w:val="00BD3FE3"/>
    <w:rsid w:val="00BD7F78"/>
    <w:rsid w:val="00BF7BAD"/>
    <w:rsid w:val="00C17ADC"/>
    <w:rsid w:val="00C459ED"/>
    <w:rsid w:val="00C8148A"/>
    <w:rsid w:val="00C8650F"/>
    <w:rsid w:val="00C931BC"/>
    <w:rsid w:val="00C971A5"/>
    <w:rsid w:val="00CA5D69"/>
    <w:rsid w:val="00CB72EF"/>
    <w:rsid w:val="00CC41A1"/>
    <w:rsid w:val="00CF0E6B"/>
    <w:rsid w:val="00CF216F"/>
    <w:rsid w:val="00D02A72"/>
    <w:rsid w:val="00D0379A"/>
    <w:rsid w:val="00D2191D"/>
    <w:rsid w:val="00D34DF5"/>
    <w:rsid w:val="00D407C5"/>
    <w:rsid w:val="00D4636F"/>
    <w:rsid w:val="00D53C0F"/>
    <w:rsid w:val="00D61344"/>
    <w:rsid w:val="00D72550"/>
    <w:rsid w:val="00D865A3"/>
    <w:rsid w:val="00D97AE7"/>
    <w:rsid w:val="00DA72A1"/>
    <w:rsid w:val="00DB57F6"/>
    <w:rsid w:val="00DC552A"/>
    <w:rsid w:val="00DD19A4"/>
    <w:rsid w:val="00DD1C58"/>
    <w:rsid w:val="00DD30C4"/>
    <w:rsid w:val="00DD492A"/>
    <w:rsid w:val="00DD4B69"/>
    <w:rsid w:val="00DE32A8"/>
    <w:rsid w:val="00DE3F67"/>
    <w:rsid w:val="00DE7564"/>
    <w:rsid w:val="00DF600E"/>
    <w:rsid w:val="00E0274C"/>
    <w:rsid w:val="00E309BE"/>
    <w:rsid w:val="00E35096"/>
    <w:rsid w:val="00E77904"/>
    <w:rsid w:val="00E8705B"/>
    <w:rsid w:val="00E91A1D"/>
    <w:rsid w:val="00EA053E"/>
    <w:rsid w:val="00EA43FC"/>
    <w:rsid w:val="00EB506F"/>
    <w:rsid w:val="00EE5067"/>
    <w:rsid w:val="00EF1802"/>
    <w:rsid w:val="00F03F24"/>
    <w:rsid w:val="00F311E0"/>
    <w:rsid w:val="00F6145B"/>
    <w:rsid w:val="00F64C4D"/>
    <w:rsid w:val="00F6693A"/>
    <w:rsid w:val="00F72125"/>
    <w:rsid w:val="00F75A94"/>
    <w:rsid w:val="00F835DE"/>
    <w:rsid w:val="00FA10C3"/>
    <w:rsid w:val="00FC2069"/>
    <w:rsid w:val="00FD1251"/>
    <w:rsid w:val="00FD1904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4F0B4"/>
  <w15:docId w15:val="{3F03DB06-5447-4FA0-830B-38ED40FE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1D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0"/>
    <w:uiPriority w:val="9"/>
    <w:unhideWhenUsed/>
    <w:qFormat/>
    <w:rsid w:val="002E1DDB"/>
    <w:pPr>
      <w:keepNext w:val="0"/>
      <w:keepLines w:val="0"/>
      <w:spacing w:before="360" w:after="120" w:line="360" w:lineRule="auto"/>
      <w:ind w:firstLineChars="200" w:firstLine="482"/>
      <w:outlineLvl w:val="1"/>
    </w:pPr>
    <w:rPr>
      <w:rFonts w:eastAsia="楷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7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7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174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1740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F0EA2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2E1DDB"/>
    <w:rPr>
      <w:rFonts w:ascii="Times New Roman" w:eastAsia="楷体" w:hAnsi="Times New Roman" w:cs="Times New Roman"/>
      <w:b/>
      <w:bCs/>
      <w:color w:val="000000"/>
      <w:kern w:val="44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2E1DD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A117-B969-4C30-88A8-03BD2349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333</Words>
  <Characters>1904</Characters>
  <Application>Microsoft Office Word</Application>
  <DocSecurity>0</DocSecurity>
  <Lines>15</Lines>
  <Paragraphs>4</Paragraphs>
  <ScaleCrop>false</ScaleCrop>
  <Company>china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陈银凤</dc:creator>
  <cp:keywords/>
  <dc:description/>
  <cp:lastModifiedBy>chen yinfeng 陈银凤</cp:lastModifiedBy>
  <cp:revision>128</cp:revision>
  <dcterms:created xsi:type="dcterms:W3CDTF">2019-09-10T09:27:00Z</dcterms:created>
  <dcterms:modified xsi:type="dcterms:W3CDTF">2020-09-04T08:46:00Z</dcterms:modified>
</cp:coreProperties>
</file>