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960" w:firstLineChars="400"/>
        <w:rPr>
          <w:rFonts w:hint="default" w:ascii="Times New Roman" w:hAnsi="Times New Roman" w:eastAsia="宋体" w:cs="Times New Roman"/>
          <w:bCs/>
          <w:iCs/>
          <w:sz w:val="24"/>
          <w:lang w:eastAsia="zh-CN"/>
        </w:rPr>
      </w:pPr>
      <w:r>
        <w:rPr>
          <w:rFonts w:hint="default" w:ascii="Times New Roman" w:hAnsi="Times New Roman" w:cs="Times New Roman"/>
          <w:bCs/>
          <w:iCs/>
          <w:sz w:val="24"/>
        </w:rPr>
        <w:t>证券代码：</w:t>
      </w:r>
      <w:r>
        <w:rPr>
          <w:rFonts w:hint="default" w:ascii="Times New Roman" w:hAnsi="Times New Roman" w:cs="Times New Roman"/>
          <w:bCs/>
          <w:iCs/>
          <w:sz w:val="24"/>
          <w:lang w:val="en-US" w:eastAsia="zh-CN"/>
        </w:rPr>
        <w:t>002406</w:t>
      </w:r>
      <w:r>
        <w:rPr>
          <w:rFonts w:hint="default" w:ascii="Times New Roman" w:hAnsi="Times New Roman" w:cs="Times New Roman"/>
          <w:bCs/>
          <w:iCs/>
          <w:sz w:val="24"/>
        </w:rPr>
        <w:t xml:space="preserve">                 </w:t>
      </w:r>
      <w:r>
        <w:rPr>
          <w:rFonts w:hint="default" w:ascii="Times New Roman" w:hAnsi="Times New Roman" w:cs="Times New Roman"/>
          <w:bCs/>
          <w:iCs/>
          <w:sz w:val="24"/>
          <w:lang w:val="en-US" w:eastAsia="zh-CN"/>
        </w:rPr>
        <w:t xml:space="preserve"> </w:t>
      </w:r>
      <w:r>
        <w:rPr>
          <w:rFonts w:hint="default" w:ascii="Times New Roman" w:hAnsi="Times New Roman" w:cs="Times New Roman"/>
          <w:bCs/>
          <w:iCs/>
          <w:sz w:val="24"/>
        </w:rPr>
        <w:t xml:space="preserve">      证券简称：</w:t>
      </w:r>
      <w:r>
        <w:rPr>
          <w:rFonts w:hint="default" w:ascii="Times New Roman" w:hAnsi="Times New Roman" w:cs="Times New Roman"/>
          <w:bCs/>
          <w:iCs/>
          <w:sz w:val="24"/>
          <w:lang w:eastAsia="zh-CN"/>
        </w:rPr>
        <w:t>远东传动</w:t>
      </w:r>
    </w:p>
    <w:p>
      <w:pPr>
        <w:spacing w:before="156" w:beforeLines="50" w:after="156" w:afterLines="50" w:line="400" w:lineRule="exact"/>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lang w:eastAsia="zh-CN"/>
        </w:rPr>
        <w:t>许昌远东传动轴</w:t>
      </w:r>
      <w:r>
        <w:rPr>
          <w:rFonts w:hint="default" w:ascii="Times New Roman" w:hAnsi="Times New Roman" w:cs="Times New Roman"/>
          <w:b/>
          <w:bCs/>
          <w:iCs/>
          <w:sz w:val="24"/>
          <w:szCs w:val="24"/>
        </w:rPr>
        <w:t>股份有限公司投资者关系活动记录表</w:t>
      </w:r>
    </w:p>
    <w:p>
      <w:pPr>
        <w:spacing w:line="400" w:lineRule="exact"/>
        <w:rPr>
          <w:rFonts w:hint="default" w:ascii="Times New Roman" w:hAnsi="Times New Roman" w:eastAsia="宋体" w:cs="Times New Roman"/>
          <w:bCs/>
          <w:iCs/>
          <w:sz w:val="24"/>
          <w:szCs w:val="24"/>
          <w:lang w:val="en-US" w:eastAsia="zh-CN"/>
        </w:rPr>
      </w:pPr>
      <w:r>
        <w:rPr>
          <w:rFonts w:hint="default" w:ascii="Times New Roman" w:hAnsi="Times New Roman" w:cs="Times New Roman"/>
          <w:bCs/>
          <w:iCs/>
          <w:sz w:val="24"/>
          <w:szCs w:val="24"/>
        </w:rPr>
        <w:t xml:space="preserve">                                                      编号：</w:t>
      </w:r>
      <w:r>
        <w:rPr>
          <w:rFonts w:hint="default" w:ascii="Times New Roman" w:hAnsi="Times New Roman" w:cs="Times New Roman"/>
          <w:bCs/>
          <w:iCs/>
          <w:sz w:val="24"/>
          <w:szCs w:val="24"/>
          <w:lang w:val="en-US" w:eastAsia="zh-CN"/>
        </w:rPr>
        <w:t>2020-0</w:t>
      </w:r>
      <w:r>
        <w:rPr>
          <w:rFonts w:hint="eastAsia" w:cs="Times New Roman"/>
          <w:bCs/>
          <w:iCs/>
          <w:sz w:val="24"/>
          <w:szCs w:val="24"/>
          <w:lang w:val="en-US" w:eastAsia="zh-CN"/>
        </w:rPr>
        <w:t>6</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7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tcPr>
          <w:p>
            <w:pPr>
              <w:spacing w:line="480" w:lineRule="atLeast"/>
              <w:rPr>
                <w:rFonts w:hint="default" w:ascii="Times New Roman" w:hAnsi="Times New Roman" w:cs="Times New Roman"/>
                <w:b/>
                <w:bCs/>
                <w:iCs/>
                <w:sz w:val="24"/>
                <w:szCs w:val="24"/>
              </w:rPr>
            </w:pPr>
            <w:r>
              <w:rPr>
                <w:rFonts w:hint="default" w:ascii="Times New Roman" w:hAnsi="Times New Roman" w:cs="Times New Roman"/>
                <w:b/>
                <w:bCs/>
                <w:iCs/>
                <w:sz w:val="24"/>
                <w:szCs w:val="24"/>
              </w:rPr>
              <w:t>投资者关系活动类别</w:t>
            </w:r>
          </w:p>
          <w:p>
            <w:pPr>
              <w:spacing w:line="480" w:lineRule="atLeast"/>
              <w:rPr>
                <w:rFonts w:hint="default" w:ascii="Times New Roman" w:hAnsi="Times New Roman" w:cs="Times New Roman"/>
                <w:b/>
                <w:bCs/>
                <w:iCs/>
                <w:sz w:val="24"/>
                <w:szCs w:val="24"/>
              </w:rPr>
            </w:pPr>
          </w:p>
        </w:tc>
        <w:tc>
          <w:tcPr>
            <w:tcW w:w="3881" w:type="pct"/>
            <w:shd w:val="clear" w:color="auto" w:fill="auto"/>
          </w:tcPr>
          <w:p>
            <w:pPr>
              <w:spacing w:line="480" w:lineRule="atLeast"/>
              <w:rPr>
                <w:rFonts w:hint="default" w:ascii="Times New Roman" w:hAnsi="Times New Roman" w:cs="Times New Roman"/>
                <w:bCs/>
                <w:iCs/>
                <w:sz w:val="24"/>
                <w:szCs w:val="24"/>
              </w:rPr>
            </w:pPr>
            <w:r>
              <w:rPr>
                <w:rFonts w:hint="default" w:ascii="Times New Roman" w:hAnsi="Times New Roman" w:cs="Times New Roman"/>
                <w:bCs/>
                <w:iCs/>
                <w:sz w:val="24"/>
                <w:szCs w:val="24"/>
              </w:rPr>
              <w:sym w:font="Wingdings 2" w:char="0052"/>
            </w:r>
            <w:r>
              <w:rPr>
                <w:rFonts w:hint="default" w:ascii="Times New Roman" w:hAnsi="Times New Roman" w:cs="Times New Roman"/>
                <w:sz w:val="24"/>
                <w:szCs w:val="24"/>
              </w:rPr>
              <w:t xml:space="preserve">特定对象调研        </w:t>
            </w:r>
            <w:r>
              <w:rPr>
                <w:rFonts w:hint="default" w:ascii="Times New Roman" w:hAnsi="Times New Roman" w:cs="Times New Roman"/>
                <w:bCs/>
                <w:iCs/>
                <w:sz w:val="24"/>
                <w:szCs w:val="24"/>
              </w:rPr>
              <w:t>□</w:t>
            </w:r>
            <w:r>
              <w:rPr>
                <w:rFonts w:hint="default" w:ascii="Times New Roman" w:hAnsi="Times New Roman" w:cs="Times New Roman"/>
                <w:sz w:val="24"/>
                <w:szCs w:val="24"/>
              </w:rPr>
              <w:t>分析师会议</w:t>
            </w:r>
          </w:p>
          <w:p>
            <w:pPr>
              <w:spacing w:line="480" w:lineRule="atLeast"/>
              <w:rPr>
                <w:rFonts w:hint="default" w:ascii="Times New Roman" w:hAnsi="Times New Roman" w:cs="Times New Roman"/>
                <w:bCs/>
                <w:iCs/>
                <w:sz w:val="24"/>
                <w:szCs w:val="24"/>
              </w:rPr>
            </w:pPr>
            <w:r>
              <w:rPr>
                <w:rFonts w:hint="default" w:ascii="Times New Roman" w:hAnsi="Times New Roman" w:cs="Times New Roman"/>
                <w:bCs/>
                <w:iCs/>
                <w:sz w:val="24"/>
                <w:szCs w:val="24"/>
              </w:rPr>
              <w:t>□</w:t>
            </w:r>
            <w:r>
              <w:rPr>
                <w:rFonts w:hint="default" w:ascii="Times New Roman" w:hAnsi="Times New Roman" w:cs="Times New Roman"/>
                <w:sz w:val="24"/>
                <w:szCs w:val="24"/>
              </w:rPr>
              <w:t xml:space="preserve">媒体采访            </w:t>
            </w:r>
            <w:r>
              <w:rPr>
                <w:rFonts w:hint="default" w:ascii="Times New Roman" w:hAnsi="Times New Roman" w:cs="Times New Roman"/>
                <w:bCs/>
                <w:iCs/>
                <w:sz w:val="24"/>
                <w:szCs w:val="24"/>
              </w:rPr>
              <w:t>□</w:t>
            </w:r>
            <w:r>
              <w:rPr>
                <w:rFonts w:hint="default" w:ascii="Times New Roman" w:hAnsi="Times New Roman" w:cs="Times New Roman"/>
                <w:sz w:val="24"/>
                <w:szCs w:val="24"/>
              </w:rPr>
              <w:t>业绩说明会</w:t>
            </w:r>
          </w:p>
          <w:p>
            <w:pPr>
              <w:spacing w:line="480" w:lineRule="atLeast"/>
              <w:rPr>
                <w:rFonts w:hint="default" w:ascii="Times New Roman" w:hAnsi="Times New Roman" w:cs="Times New Roman"/>
                <w:bCs/>
                <w:iCs/>
                <w:sz w:val="24"/>
                <w:szCs w:val="24"/>
              </w:rPr>
            </w:pPr>
            <w:r>
              <w:rPr>
                <w:rFonts w:hint="default" w:ascii="Times New Roman" w:hAnsi="Times New Roman" w:cs="Times New Roman"/>
                <w:bCs/>
                <w:iCs/>
                <w:sz w:val="24"/>
                <w:szCs w:val="24"/>
              </w:rPr>
              <w:t>□</w:t>
            </w:r>
            <w:r>
              <w:rPr>
                <w:rFonts w:hint="default" w:ascii="Times New Roman" w:hAnsi="Times New Roman" w:cs="Times New Roman"/>
                <w:sz w:val="24"/>
                <w:szCs w:val="24"/>
              </w:rPr>
              <w:t xml:space="preserve">新闻发布会          </w:t>
            </w:r>
            <w:r>
              <w:rPr>
                <w:rFonts w:hint="default" w:ascii="Times New Roman" w:hAnsi="Times New Roman" w:cs="Times New Roman"/>
                <w:bCs/>
                <w:iCs/>
                <w:sz w:val="24"/>
                <w:szCs w:val="24"/>
              </w:rPr>
              <w:t>□</w:t>
            </w:r>
            <w:r>
              <w:rPr>
                <w:rFonts w:hint="default" w:ascii="Times New Roman" w:hAnsi="Times New Roman" w:cs="Times New Roman"/>
                <w:sz w:val="24"/>
                <w:szCs w:val="24"/>
              </w:rPr>
              <w:t>路演活动</w:t>
            </w:r>
          </w:p>
          <w:p>
            <w:pPr>
              <w:tabs>
                <w:tab w:val="left" w:pos="3045"/>
                <w:tab w:val="center" w:pos="3199"/>
              </w:tabs>
              <w:spacing w:line="480" w:lineRule="atLeast"/>
              <w:rPr>
                <w:rFonts w:hint="default" w:ascii="Times New Roman" w:hAnsi="Times New Roman" w:cs="Times New Roman"/>
                <w:bCs/>
                <w:iCs/>
                <w:sz w:val="24"/>
                <w:szCs w:val="24"/>
              </w:rPr>
            </w:pPr>
            <w:r>
              <w:rPr>
                <w:rFonts w:hint="default" w:ascii="Times New Roman" w:hAnsi="Times New Roman" w:cs="Times New Roman"/>
                <w:bCs/>
                <w:iCs/>
                <w:sz w:val="24"/>
                <w:szCs w:val="24"/>
              </w:rPr>
              <w:t>□</w:t>
            </w:r>
            <w:r>
              <w:rPr>
                <w:rFonts w:hint="default" w:ascii="Times New Roman" w:hAnsi="Times New Roman" w:cs="Times New Roman"/>
                <w:sz w:val="24"/>
                <w:szCs w:val="24"/>
              </w:rPr>
              <w:t>现场参观</w:t>
            </w:r>
            <w:r>
              <w:rPr>
                <w:rFonts w:hint="default" w:ascii="Times New Roman" w:hAnsi="Times New Roman" w:cs="Times New Roman"/>
                <w:bCs/>
                <w:iCs/>
                <w:sz w:val="24"/>
                <w:szCs w:val="24"/>
              </w:rPr>
              <w:tab/>
            </w:r>
          </w:p>
          <w:p>
            <w:pPr>
              <w:tabs>
                <w:tab w:val="center" w:pos="3199"/>
              </w:tabs>
              <w:spacing w:line="480" w:lineRule="atLeast"/>
              <w:rPr>
                <w:rFonts w:hint="default" w:ascii="Times New Roman" w:hAnsi="Times New Roman" w:cs="Times New Roman"/>
                <w:bCs/>
                <w:iCs/>
                <w:sz w:val="24"/>
                <w:szCs w:val="24"/>
              </w:rPr>
            </w:pPr>
            <w:r>
              <w:rPr>
                <w:rFonts w:hint="default" w:ascii="Times New Roman" w:hAnsi="Times New Roman" w:cs="Times New Roman"/>
                <w:bCs/>
                <w:iCs/>
                <w:sz w:val="24"/>
                <w:szCs w:val="24"/>
              </w:rPr>
              <w:t>□</w:t>
            </w:r>
            <w:r>
              <w:rPr>
                <w:rFonts w:hint="default" w:ascii="Times New Roman" w:hAnsi="Times New Roman" w:cs="Times New Roman"/>
                <w:sz w:val="24"/>
                <w:szCs w:val="24"/>
              </w:rPr>
              <w:t>其他 （</w:t>
            </w:r>
            <w:r>
              <w:rPr>
                <w:rFonts w:hint="default" w:ascii="Times New Roman" w:hAnsi="Times New Roman" w:cs="Times New Roman"/>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tcPr>
          <w:p>
            <w:pPr>
              <w:spacing w:line="480" w:lineRule="atLeast"/>
              <w:rPr>
                <w:rFonts w:hint="default" w:ascii="Times New Roman" w:hAnsi="Times New Roman" w:cs="Times New Roman"/>
                <w:b/>
                <w:bCs/>
                <w:iCs/>
                <w:sz w:val="24"/>
                <w:szCs w:val="24"/>
              </w:rPr>
            </w:pPr>
            <w:r>
              <w:rPr>
                <w:rFonts w:hint="default" w:ascii="Times New Roman" w:hAnsi="Times New Roman" w:cs="Times New Roman"/>
                <w:b/>
                <w:bCs/>
                <w:iCs/>
                <w:sz w:val="24"/>
                <w:szCs w:val="24"/>
              </w:rPr>
              <w:t>参与单位名称及人员姓名</w:t>
            </w:r>
          </w:p>
        </w:tc>
        <w:tc>
          <w:tcPr>
            <w:tcW w:w="3881" w:type="pct"/>
            <w:shd w:val="clear" w:color="auto" w:fill="auto"/>
          </w:tcPr>
          <w:p>
            <w:pPr>
              <w:spacing w:line="480" w:lineRule="atLeast"/>
              <w:rPr>
                <w:rFonts w:hint="eastAsia" w:cs="Times New Roman"/>
                <w:b w:val="0"/>
                <w:bCs/>
                <w:iCs/>
                <w:sz w:val="21"/>
                <w:szCs w:val="21"/>
                <w:lang w:val="en-US" w:eastAsia="zh-CN"/>
              </w:rPr>
            </w:pPr>
            <w:r>
              <w:rPr>
                <w:rFonts w:hint="eastAsia" w:cs="Times New Roman"/>
                <w:b w:val="0"/>
                <w:bCs/>
                <w:iCs/>
                <w:sz w:val="21"/>
                <w:szCs w:val="21"/>
                <w:lang w:val="en-US" w:eastAsia="zh-CN"/>
              </w:rPr>
              <w:t>华泰证券研究所：殷超、张劭文；东吴证券：侯爽；中海基金：邵强；交银施罗德基金：黄强；光大保德信基金管理有限公司：华叶舒；兴业银行：贺玉文；华夏基金：吴娜娜、吴凡；华夏银行：张薇薇；华泰证券：张耀娟、王涛；华泰证券（上海）资产管理有限公司：陈晨、阮毅；博时基金管理有限公司：乔奇兵；博远基金：潘俊伊；国开证券：周成娟；天治基金：万鹏程；工银瑞信基金管理有限公司：黄杨励；广发基金管理有限公司：吴敌；开元证券：陈璐；泰康资产：袁毓泽；浦银安盛基金：苏聪伟；海通资管：王学思；申能财务：金勇彬；西南证券：夏健全；西部利格基金：梁晓明；长信基金管理有限责任公司：韩洲枫；鹏华基金：程卿云、萧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tcPr>
          <w:p>
            <w:pPr>
              <w:spacing w:line="480" w:lineRule="atLeast"/>
              <w:rPr>
                <w:rFonts w:hint="default" w:ascii="Times New Roman" w:hAnsi="Times New Roman" w:cs="Times New Roman"/>
                <w:b/>
                <w:bCs/>
                <w:iCs/>
                <w:sz w:val="24"/>
                <w:szCs w:val="24"/>
              </w:rPr>
            </w:pPr>
            <w:r>
              <w:rPr>
                <w:rFonts w:hint="default" w:ascii="Times New Roman" w:hAnsi="Times New Roman" w:cs="Times New Roman"/>
                <w:b/>
                <w:bCs/>
                <w:iCs/>
                <w:sz w:val="24"/>
                <w:szCs w:val="24"/>
              </w:rPr>
              <w:t>时间</w:t>
            </w:r>
          </w:p>
        </w:tc>
        <w:tc>
          <w:tcPr>
            <w:tcW w:w="3881" w:type="pct"/>
            <w:shd w:val="clear" w:color="auto" w:fill="auto"/>
          </w:tcPr>
          <w:p>
            <w:pPr>
              <w:spacing w:line="480" w:lineRule="atLeast"/>
              <w:rPr>
                <w:rFonts w:hint="default" w:ascii="Times New Roman" w:hAnsi="Times New Roman" w:eastAsia="宋体" w:cs="Times New Roman"/>
                <w:b w:val="0"/>
                <w:bCs/>
                <w:iCs/>
                <w:sz w:val="21"/>
                <w:szCs w:val="21"/>
                <w:lang w:val="en-US" w:eastAsia="zh-CN"/>
              </w:rPr>
            </w:pPr>
            <w:r>
              <w:rPr>
                <w:rFonts w:hint="default" w:ascii="Times New Roman" w:hAnsi="Times New Roman" w:cs="Times New Roman"/>
                <w:b w:val="0"/>
                <w:bCs/>
                <w:iCs/>
                <w:sz w:val="21"/>
                <w:szCs w:val="21"/>
                <w:lang w:val="en-US" w:eastAsia="zh-CN"/>
              </w:rPr>
              <w:t>2020年</w:t>
            </w:r>
            <w:r>
              <w:rPr>
                <w:rFonts w:hint="eastAsia" w:cs="Times New Roman"/>
                <w:b w:val="0"/>
                <w:bCs/>
                <w:iCs/>
                <w:sz w:val="21"/>
                <w:szCs w:val="21"/>
                <w:lang w:val="en-US" w:eastAsia="zh-CN"/>
              </w:rPr>
              <w:t>9</w:t>
            </w:r>
            <w:r>
              <w:rPr>
                <w:rFonts w:hint="default" w:ascii="Times New Roman" w:hAnsi="Times New Roman" w:cs="Times New Roman"/>
                <w:b w:val="0"/>
                <w:bCs/>
                <w:iCs/>
                <w:sz w:val="21"/>
                <w:szCs w:val="21"/>
                <w:lang w:val="en-US" w:eastAsia="zh-CN"/>
              </w:rPr>
              <w:t>月</w:t>
            </w:r>
            <w:r>
              <w:rPr>
                <w:rFonts w:hint="eastAsia" w:cs="Times New Roman"/>
                <w:b w:val="0"/>
                <w:bCs/>
                <w:iCs/>
                <w:sz w:val="21"/>
                <w:szCs w:val="21"/>
                <w:lang w:val="en-US" w:eastAsia="zh-CN"/>
              </w:rPr>
              <w:t>3</w:t>
            </w:r>
            <w:r>
              <w:rPr>
                <w:rFonts w:hint="default" w:ascii="Times New Roman" w:hAnsi="Times New Roman" w:cs="Times New Roman"/>
                <w:b w:val="0"/>
                <w:bCs/>
                <w:iCs/>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tcPr>
          <w:p>
            <w:pPr>
              <w:spacing w:line="480" w:lineRule="atLeast"/>
              <w:rPr>
                <w:rFonts w:hint="default" w:ascii="Times New Roman" w:hAnsi="Times New Roman" w:cs="Times New Roman"/>
                <w:b/>
                <w:bCs/>
                <w:iCs/>
                <w:sz w:val="24"/>
                <w:szCs w:val="24"/>
              </w:rPr>
            </w:pPr>
            <w:r>
              <w:rPr>
                <w:rFonts w:hint="default" w:ascii="Times New Roman" w:hAnsi="Times New Roman" w:cs="Times New Roman"/>
                <w:b/>
                <w:bCs/>
                <w:iCs/>
                <w:sz w:val="24"/>
                <w:szCs w:val="24"/>
              </w:rPr>
              <w:t>地点</w:t>
            </w:r>
          </w:p>
        </w:tc>
        <w:tc>
          <w:tcPr>
            <w:tcW w:w="3881" w:type="pct"/>
            <w:shd w:val="clear" w:color="auto" w:fill="auto"/>
          </w:tcPr>
          <w:p>
            <w:pPr>
              <w:spacing w:line="480" w:lineRule="atLeast"/>
              <w:rPr>
                <w:rFonts w:hint="default" w:ascii="Times New Roman" w:hAnsi="Times New Roman" w:eastAsia="宋体" w:cs="Times New Roman"/>
                <w:b w:val="0"/>
                <w:bCs/>
                <w:iCs/>
                <w:sz w:val="21"/>
                <w:szCs w:val="21"/>
                <w:lang w:eastAsia="zh-CN"/>
              </w:rPr>
            </w:pPr>
            <w:r>
              <w:rPr>
                <w:rFonts w:hint="default" w:ascii="Times New Roman" w:hAnsi="Times New Roman" w:cs="Times New Roman"/>
                <w:b w:val="0"/>
                <w:bCs/>
                <w:iCs/>
                <w:sz w:val="21"/>
                <w:szCs w:val="21"/>
              </w:rPr>
              <w:t>公司</w:t>
            </w:r>
            <w:r>
              <w:rPr>
                <w:rFonts w:hint="default" w:ascii="Times New Roman" w:hAnsi="Times New Roman" w:cs="Times New Roman"/>
                <w:b w:val="0"/>
                <w:bCs/>
                <w:iCs/>
                <w:sz w:val="21"/>
                <w:szCs w:val="21"/>
                <w:lang w:eastAsia="zh-CN"/>
              </w:rPr>
              <w:t>证券部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tcPr>
          <w:p>
            <w:pPr>
              <w:spacing w:line="480" w:lineRule="atLeast"/>
              <w:rPr>
                <w:rFonts w:hint="default" w:ascii="Times New Roman" w:hAnsi="Times New Roman" w:cs="Times New Roman"/>
                <w:b/>
                <w:bCs/>
                <w:iCs/>
                <w:sz w:val="24"/>
                <w:szCs w:val="24"/>
              </w:rPr>
            </w:pPr>
            <w:r>
              <w:rPr>
                <w:rFonts w:hint="default" w:ascii="Times New Roman" w:hAnsi="Times New Roman" w:cs="Times New Roman"/>
                <w:b/>
                <w:bCs/>
                <w:iCs/>
                <w:sz w:val="24"/>
                <w:szCs w:val="24"/>
              </w:rPr>
              <w:t>上市公司接待人员姓名</w:t>
            </w:r>
          </w:p>
        </w:tc>
        <w:tc>
          <w:tcPr>
            <w:tcW w:w="3881" w:type="pct"/>
            <w:shd w:val="clear" w:color="auto" w:fill="auto"/>
          </w:tcPr>
          <w:p>
            <w:pPr>
              <w:spacing w:line="480" w:lineRule="atLeast"/>
              <w:rPr>
                <w:rFonts w:hint="default" w:ascii="Times New Roman" w:hAnsi="Times New Roman" w:eastAsia="宋体" w:cs="Times New Roman"/>
                <w:bCs/>
                <w:iCs/>
                <w:sz w:val="21"/>
                <w:szCs w:val="21"/>
                <w:lang w:eastAsia="zh-CN"/>
              </w:rPr>
            </w:pPr>
            <w:r>
              <w:rPr>
                <w:rFonts w:hint="default" w:ascii="Times New Roman" w:hAnsi="Times New Roman" w:cs="Times New Roman"/>
                <w:bCs/>
                <w:iCs/>
                <w:sz w:val="21"/>
                <w:szCs w:val="21"/>
                <w:lang w:eastAsia="zh-CN"/>
              </w:rPr>
              <w:t>证券事务代表张鹏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118" w:type="pct"/>
            <w:shd w:val="clear" w:color="auto" w:fill="auto"/>
            <w:vAlign w:val="center"/>
          </w:tcPr>
          <w:p>
            <w:pPr>
              <w:spacing w:line="480" w:lineRule="atLeast"/>
              <w:rPr>
                <w:rFonts w:hint="default" w:ascii="Times New Roman" w:hAnsi="Times New Roman" w:cs="Times New Roman"/>
                <w:b/>
                <w:bCs/>
                <w:iCs/>
                <w:sz w:val="24"/>
                <w:szCs w:val="24"/>
              </w:rPr>
            </w:pPr>
            <w:r>
              <w:rPr>
                <w:rFonts w:hint="default" w:ascii="Times New Roman" w:hAnsi="Times New Roman" w:cs="Times New Roman"/>
                <w:b/>
                <w:bCs/>
                <w:iCs/>
                <w:sz w:val="24"/>
                <w:szCs w:val="24"/>
              </w:rPr>
              <w:t>投资者关系活动主要内容介绍</w:t>
            </w:r>
          </w:p>
          <w:p>
            <w:pPr>
              <w:spacing w:line="480" w:lineRule="atLeast"/>
              <w:rPr>
                <w:rFonts w:hint="default" w:ascii="Times New Roman" w:hAnsi="Times New Roman" w:cs="Times New Roman"/>
                <w:b/>
                <w:bCs/>
                <w:iCs/>
                <w:sz w:val="24"/>
                <w:szCs w:val="24"/>
              </w:rPr>
            </w:pPr>
          </w:p>
        </w:tc>
        <w:tc>
          <w:tcPr>
            <w:tcW w:w="3881" w:type="pct"/>
            <w:shd w:val="clear" w:color="auto" w:fill="auto"/>
          </w:tcPr>
          <w:p>
            <w:pPr>
              <w:spacing w:line="360" w:lineRule="auto"/>
              <w:rPr>
                <w:rFonts w:hint="default" w:ascii="Times New Roman" w:hAnsi="Times New Roman" w:eastAsia="宋体" w:cs="Times New Roman"/>
                <w:b w:val="0"/>
                <w:bCs/>
                <w:iCs/>
                <w:color w:val="auto"/>
                <w:sz w:val="21"/>
                <w:szCs w:val="21"/>
                <w:lang w:val="en-US" w:eastAsia="zh-CN"/>
              </w:rPr>
            </w:pPr>
            <w:r>
              <w:rPr>
                <w:rFonts w:hint="eastAsia" w:cs="Times New Roman"/>
                <w:b w:val="0"/>
                <w:bCs/>
                <w:iCs/>
                <w:color w:val="auto"/>
                <w:sz w:val="21"/>
                <w:szCs w:val="21"/>
                <w:lang w:val="en-US" w:eastAsia="zh-CN"/>
              </w:rPr>
              <w:t>部分互动交流问题：</w:t>
            </w:r>
          </w:p>
          <w:p>
            <w:pPr>
              <w:spacing w:line="360" w:lineRule="auto"/>
              <w:rPr>
                <w:rFonts w:hint="eastAsia" w:ascii="Times New Roman" w:hAnsi="Times New Roman" w:eastAsia="宋体" w:cs="Times New Roman"/>
                <w:b w:val="0"/>
                <w:bCs/>
                <w:iCs/>
                <w:color w:val="auto"/>
                <w:sz w:val="21"/>
                <w:szCs w:val="21"/>
                <w:lang w:val="en-US" w:eastAsia="zh-CN"/>
              </w:rPr>
            </w:pPr>
            <w:r>
              <w:rPr>
                <w:rFonts w:hint="default" w:ascii="Times New Roman" w:hAnsi="Times New Roman" w:eastAsia="宋体" w:cs="Times New Roman"/>
                <w:b w:val="0"/>
                <w:bCs/>
                <w:iCs/>
                <w:color w:val="auto"/>
                <w:sz w:val="21"/>
                <w:szCs w:val="21"/>
                <w:lang w:val="en-US" w:eastAsia="zh-CN"/>
              </w:rPr>
              <w:t>Q1：</w:t>
            </w:r>
            <w:r>
              <w:rPr>
                <w:rFonts w:hint="eastAsia" w:cs="Times New Roman"/>
                <w:b w:val="0"/>
                <w:bCs/>
                <w:color w:val="auto"/>
                <w:sz w:val="21"/>
                <w:szCs w:val="21"/>
                <w:lang w:eastAsia="zh-CN"/>
              </w:rPr>
              <w:t>公司订单周期、收入确认周期一般多久</w:t>
            </w:r>
            <w:r>
              <w:rPr>
                <w:rFonts w:hint="eastAsia" w:cs="Times New Roman"/>
                <w:b w:val="0"/>
                <w:bCs/>
                <w:color w:val="auto"/>
                <w:sz w:val="21"/>
                <w:szCs w:val="21"/>
                <w:lang w:val="en-US" w:eastAsia="zh-CN"/>
              </w:rPr>
              <w:t>?</w:t>
            </w:r>
          </w:p>
          <w:p>
            <w:pPr>
              <w:spacing w:line="360" w:lineRule="auto"/>
              <w:rPr>
                <w:rFonts w:hint="default" w:ascii="Times New Roman" w:hAnsi="Times New Roman" w:eastAsia="宋体" w:cs="Times New Roman"/>
                <w:b w:val="0"/>
                <w:bCs/>
                <w:iCs/>
                <w:color w:val="auto"/>
                <w:sz w:val="21"/>
                <w:szCs w:val="21"/>
                <w:lang w:val="en-US" w:eastAsia="zh-CN"/>
              </w:rPr>
            </w:pPr>
            <w:r>
              <w:rPr>
                <w:rFonts w:hint="default" w:ascii="Times New Roman" w:hAnsi="Times New Roman" w:eastAsia="宋体" w:cs="Times New Roman"/>
                <w:b w:val="0"/>
                <w:bCs/>
                <w:iCs/>
                <w:color w:val="auto"/>
                <w:sz w:val="21"/>
                <w:szCs w:val="21"/>
                <w:lang w:val="en-US" w:eastAsia="zh-CN"/>
              </w:rPr>
              <w:t>A1：</w:t>
            </w:r>
            <w:r>
              <w:rPr>
                <w:rFonts w:hint="eastAsia" w:cs="Times New Roman"/>
                <w:b w:val="0"/>
                <w:bCs/>
                <w:color w:val="auto"/>
                <w:sz w:val="21"/>
                <w:szCs w:val="21"/>
                <w:lang w:val="en-US" w:eastAsia="zh-CN"/>
              </w:rPr>
              <w:t>首先</w:t>
            </w:r>
            <w:r>
              <w:rPr>
                <w:rFonts w:hint="eastAsia" w:cs="Times New Roman"/>
                <w:b w:val="0"/>
                <w:bCs/>
                <w:color w:val="auto"/>
                <w:sz w:val="21"/>
                <w:szCs w:val="21"/>
                <w:lang w:eastAsia="zh-CN"/>
              </w:rPr>
              <w:t>公司会与客户签订以年度生产计划为基础的订单，然后根据客户以每月、每周、甚至到每天为周期的装车量计划组织生产。产品于仓库发出商品、开具出库通知单并取得客户签收单据或取得客户系统确认的结算信息，获得收取货款的权利时确认收入，一般需要</w:t>
            </w:r>
            <w:r>
              <w:rPr>
                <w:rFonts w:hint="eastAsia" w:cs="Times New Roman"/>
                <w:b w:val="0"/>
                <w:bCs/>
                <w:color w:val="auto"/>
                <w:sz w:val="21"/>
                <w:szCs w:val="21"/>
                <w:lang w:val="en-US" w:eastAsia="zh-CN"/>
              </w:rPr>
              <w:t>60天左右。</w:t>
            </w:r>
          </w:p>
          <w:p>
            <w:pPr>
              <w:spacing w:line="360" w:lineRule="auto"/>
              <w:rPr>
                <w:rFonts w:hint="eastAsia" w:ascii="Times New Roman" w:hAnsi="Times New Roman" w:eastAsia="宋体" w:cs="Times New Roman"/>
                <w:b w:val="0"/>
                <w:bCs/>
                <w:iCs/>
                <w:color w:val="auto"/>
                <w:sz w:val="21"/>
                <w:szCs w:val="21"/>
                <w:lang w:val="en-US" w:eastAsia="zh-CN"/>
              </w:rPr>
            </w:pPr>
            <w:r>
              <w:rPr>
                <w:rFonts w:hint="default" w:ascii="Times New Roman" w:hAnsi="Times New Roman" w:eastAsia="宋体" w:cs="Times New Roman"/>
                <w:b w:val="0"/>
                <w:bCs/>
                <w:iCs/>
                <w:color w:val="auto"/>
                <w:sz w:val="21"/>
                <w:szCs w:val="21"/>
                <w:lang w:val="en-US" w:eastAsia="zh-CN"/>
              </w:rPr>
              <w:t>Q2：</w:t>
            </w:r>
            <w:r>
              <w:rPr>
                <w:rFonts w:hint="eastAsia" w:cs="Times New Roman"/>
                <w:b w:val="0"/>
                <w:bCs/>
                <w:iCs/>
                <w:color w:val="auto"/>
                <w:sz w:val="21"/>
                <w:szCs w:val="21"/>
                <w:lang w:val="en-US" w:eastAsia="zh-CN"/>
              </w:rPr>
              <w:t>公司三季度订单情况如何</w:t>
            </w:r>
            <w:r>
              <w:rPr>
                <w:rFonts w:hint="eastAsia" w:cs="Times New Roman"/>
                <w:b w:val="0"/>
                <w:bCs/>
                <w:color w:val="auto"/>
                <w:sz w:val="21"/>
                <w:szCs w:val="21"/>
                <w:lang w:val="en-US" w:eastAsia="zh-CN"/>
              </w:rPr>
              <w:t>?</w:t>
            </w:r>
          </w:p>
          <w:p>
            <w:pPr>
              <w:numPr>
                <w:ilvl w:val="0"/>
                <w:numId w:val="0"/>
              </w:numPr>
              <w:spacing w:line="360" w:lineRule="auto"/>
              <w:rPr>
                <w:rFonts w:hint="eastAsia" w:cs="Times New Roman"/>
                <w:b w:val="0"/>
                <w:bCs w:val="0"/>
                <w:color w:val="000000"/>
                <w:sz w:val="28"/>
                <w:szCs w:val="28"/>
                <w:lang w:val="en-US" w:eastAsia="zh-CN"/>
              </w:rPr>
            </w:pPr>
            <w:r>
              <w:rPr>
                <w:rFonts w:hint="default" w:ascii="Times New Roman" w:hAnsi="Times New Roman" w:eastAsia="宋体" w:cs="Times New Roman"/>
                <w:b w:val="0"/>
                <w:bCs/>
                <w:iCs/>
                <w:color w:val="auto"/>
                <w:sz w:val="21"/>
                <w:szCs w:val="21"/>
                <w:lang w:val="en-US" w:eastAsia="zh-CN"/>
              </w:rPr>
              <w:t>A2：</w:t>
            </w:r>
            <w:r>
              <w:rPr>
                <w:rFonts w:hint="eastAsia" w:cs="Times New Roman"/>
                <w:b w:val="0"/>
                <w:bCs/>
                <w:color w:val="auto"/>
                <w:sz w:val="21"/>
                <w:szCs w:val="21"/>
                <w:lang w:eastAsia="zh-CN"/>
              </w:rPr>
              <w:t>上半年重卡市场的大涨，国内部分大型重卡企业均上调了销量目标，</w:t>
            </w:r>
            <w:r>
              <w:rPr>
                <w:rFonts w:hint="eastAsia" w:cs="Times New Roman"/>
                <w:b w:val="0"/>
                <w:bCs/>
                <w:color w:val="auto"/>
                <w:sz w:val="21"/>
                <w:szCs w:val="21"/>
                <w:lang w:val="en-US" w:eastAsia="zh-CN"/>
              </w:rPr>
              <w:t>截止到目前，公司整轴及零部件的订单量同比增长有30%以上，根据主要大客户对市场的研判，公司订单旺盛的状态会持续到年末。</w:t>
            </w:r>
          </w:p>
          <w:p>
            <w:pPr>
              <w:numPr>
                <w:ilvl w:val="0"/>
                <w:numId w:val="0"/>
              </w:numPr>
              <w:spacing w:line="360" w:lineRule="auto"/>
              <w:rPr>
                <w:rFonts w:hint="eastAsia" w:cs="Times New Roman"/>
                <w:b w:val="0"/>
                <w:bCs/>
                <w:iCs/>
                <w:color w:val="auto"/>
                <w:sz w:val="21"/>
                <w:szCs w:val="21"/>
                <w:lang w:val="en-US" w:eastAsia="zh-CN"/>
              </w:rPr>
            </w:pPr>
            <w:r>
              <w:rPr>
                <w:rFonts w:hint="eastAsia" w:cs="Times New Roman"/>
                <w:b w:val="0"/>
                <w:bCs/>
                <w:iCs/>
                <w:color w:val="auto"/>
                <w:sz w:val="21"/>
                <w:szCs w:val="21"/>
                <w:lang w:val="en-US" w:eastAsia="zh-CN"/>
              </w:rPr>
              <w:t>Q3：远东转债触发有条件赎回后将会是怎样的安排？</w:t>
            </w:r>
          </w:p>
          <w:p>
            <w:pPr>
              <w:numPr>
                <w:ilvl w:val="0"/>
                <w:numId w:val="0"/>
              </w:numPr>
              <w:spacing w:line="360" w:lineRule="auto"/>
              <w:rPr>
                <w:rFonts w:hint="eastAsia" w:cs="Times New Roman"/>
                <w:b w:val="0"/>
                <w:bCs/>
                <w:iCs/>
                <w:color w:val="auto"/>
                <w:sz w:val="21"/>
                <w:szCs w:val="21"/>
                <w:lang w:val="en-US" w:eastAsia="zh-CN"/>
              </w:rPr>
            </w:pPr>
            <w:r>
              <w:rPr>
                <w:rFonts w:hint="eastAsia" w:cs="Times New Roman"/>
                <w:b w:val="0"/>
                <w:bCs/>
                <w:color w:val="auto"/>
                <w:sz w:val="21"/>
                <w:szCs w:val="21"/>
                <w:lang w:val="en-US" w:eastAsia="zh-CN"/>
              </w:rPr>
              <w:t>A3：</w:t>
            </w:r>
            <w:r>
              <w:rPr>
                <w:rFonts w:hint="eastAsia" w:cs="Times New Roman"/>
                <w:b w:val="0"/>
                <w:bCs/>
                <w:color w:val="auto"/>
                <w:sz w:val="21"/>
                <w:szCs w:val="21"/>
                <w:lang w:val="en-US" w:eastAsia="zh-CN"/>
              </w:rPr>
              <w:t>公司于8月26日披露《</w:t>
            </w:r>
            <w:r>
              <w:rPr>
                <w:rFonts w:hint="eastAsia" w:cs="Times New Roman"/>
                <w:b w:val="0"/>
                <w:bCs/>
                <w:color w:val="auto"/>
                <w:sz w:val="21"/>
                <w:szCs w:val="21"/>
                <w:lang w:eastAsia="zh-CN"/>
              </w:rPr>
              <w:t>关于不提前赎回“远东转债”的提示性公告</w:t>
            </w:r>
            <w:r>
              <w:rPr>
                <w:rFonts w:hint="eastAsia" w:cs="Times New Roman"/>
                <w:b w:val="0"/>
                <w:bCs/>
                <w:color w:val="auto"/>
                <w:sz w:val="21"/>
                <w:szCs w:val="21"/>
                <w:lang w:val="en-US" w:eastAsia="zh-CN"/>
              </w:rPr>
              <w:t>》，</w:t>
            </w:r>
            <w:r>
              <w:rPr>
                <w:rFonts w:hint="eastAsia" w:cs="Times New Roman"/>
                <w:b w:val="0"/>
                <w:bCs/>
                <w:color w:val="auto"/>
                <w:sz w:val="21"/>
                <w:szCs w:val="21"/>
                <w:lang w:eastAsia="zh-CN"/>
              </w:rPr>
              <w:t>董事会决定在未来三个月内（即2020年8月</w:t>
            </w:r>
            <w:r>
              <w:rPr>
                <w:rFonts w:hint="eastAsia" w:cs="Times New Roman"/>
                <w:b w:val="0"/>
                <w:bCs/>
                <w:color w:val="auto"/>
                <w:sz w:val="21"/>
                <w:szCs w:val="21"/>
                <w:lang w:val="en-US" w:eastAsia="zh-CN"/>
              </w:rPr>
              <w:t>2</w:t>
            </w:r>
            <w:r>
              <w:rPr>
                <w:rFonts w:hint="eastAsia" w:cs="Times New Roman"/>
                <w:b w:val="0"/>
                <w:bCs/>
                <w:color w:val="auto"/>
                <w:sz w:val="21"/>
                <w:szCs w:val="21"/>
                <w:lang w:eastAsia="zh-CN"/>
              </w:rPr>
              <w:t>5日至2020年11月24日），如公司触发“远东转债”的赎回条款均不行使“远东转债”的提前赎回权利。</w:t>
            </w:r>
            <w:r>
              <w:rPr>
                <w:rFonts w:hint="eastAsia" w:cs="Times New Roman"/>
                <w:b w:val="0"/>
                <w:bCs/>
                <w:color w:val="auto"/>
                <w:sz w:val="21"/>
                <w:szCs w:val="21"/>
                <w:lang w:eastAsia="zh-CN"/>
              </w:rPr>
              <w:t>考虑到公司的可转债项目是公司进军乘用车等速驱动轴市场，进一步提升智能制造水平，创造新的利润增长点的重点开发项目，目前相关募集资金已有支出安排，拟用于募投项目建设支出，若未来再次触发有条件赎回条款，公司会根据项目进展、可转债转股等情况，由董事会讨论决定是否行使权利，需要投资者及时关注公司的后续公告。</w:t>
            </w:r>
          </w:p>
          <w:p>
            <w:pPr>
              <w:numPr>
                <w:ilvl w:val="0"/>
                <w:numId w:val="0"/>
              </w:numPr>
              <w:spacing w:line="360" w:lineRule="auto"/>
              <w:rPr>
                <w:rFonts w:hint="eastAsia" w:cs="Times New Roman"/>
                <w:b w:val="0"/>
                <w:bCs/>
                <w:iCs/>
                <w:color w:val="auto"/>
                <w:sz w:val="21"/>
                <w:szCs w:val="21"/>
                <w:lang w:val="en-US" w:eastAsia="zh-CN"/>
              </w:rPr>
            </w:pPr>
            <w:r>
              <w:rPr>
                <w:rFonts w:hint="eastAsia" w:cs="Times New Roman"/>
                <w:b w:val="0"/>
                <w:bCs/>
                <w:iCs/>
                <w:color w:val="auto"/>
                <w:sz w:val="21"/>
                <w:szCs w:val="21"/>
                <w:lang w:val="en-US" w:eastAsia="zh-CN"/>
              </w:rPr>
              <w:t>Q4：公司等速驱动轴项目有没有考虑新能源汽车方向？</w:t>
            </w:r>
          </w:p>
          <w:p>
            <w:pPr>
              <w:numPr>
                <w:ilvl w:val="0"/>
                <w:numId w:val="0"/>
              </w:numPr>
              <w:spacing w:line="360" w:lineRule="auto"/>
              <w:rPr>
                <w:rFonts w:hint="default" w:cs="Times New Roman"/>
                <w:b w:val="0"/>
                <w:bCs/>
                <w:iCs/>
                <w:color w:val="auto"/>
                <w:sz w:val="21"/>
                <w:szCs w:val="21"/>
                <w:lang w:val="en-US" w:eastAsia="zh-CN"/>
              </w:rPr>
            </w:pPr>
            <w:r>
              <w:rPr>
                <w:rFonts w:hint="eastAsia" w:cs="Times New Roman"/>
                <w:b w:val="0"/>
                <w:bCs/>
                <w:iCs/>
                <w:color w:val="auto"/>
                <w:sz w:val="21"/>
                <w:szCs w:val="21"/>
                <w:lang w:val="en-US" w:eastAsia="zh-CN"/>
              </w:rPr>
              <w:t>A4：</w:t>
            </w:r>
            <w:r>
              <w:rPr>
                <w:rFonts w:hint="eastAsia" w:cs="Times New Roman"/>
                <w:b w:val="0"/>
                <w:bCs/>
                <w:color w:val="auto"/>
                <w:sz w:val="21"/>
                <w:szCs w:val="21"/>
                <w:lang w:eastAsia="zh-CN"/>
              </w:rPr>
              <w:t>新能源汽车是市场热点，公司一直在密切关注行业动向，公司的等速驱动轴产品能够应用于新能源汽车领域，无论从设备的先进性和产品的质量均具备向新能源汽车客户配套供货的能力，公司也一直在创造条件和机会拓展渠道。目前公司按照募投项目计划在分步实施、有序推进。</w:t>
            </w:r>
          </w:p>
          <w:p>
            <w:pPr>
              <w:numPr>
                <w:ilvl w:val="0"/>
                <w:numId w:val="0"/>
              </w:numPr>
              <w:spacing w:line="360" w:lineRule="auto"/>
              <w:rPr>
                <w:rFonts w:hint="eastAsia" w:cs="Times New Roman"/>
                <w:b w:val="0"/>
                <w:bCs/>
                <w:iCs/>
                <w:color w:val="auto"/>
                <w:sz w:val="21"/>
                <w:szCs w:val="21"/>
                <w:lang w:val="en-US" w:eastAsia="zh-CN"/>
              </w:rPr>
            </w:pPr>
            <w:r>
              <w:rPr>
                <w:rFonts w:hint="eastAsia" w:cs="Times New Roman"/>
                <w:b w:val="0"/>
                <w:bCs/>
                <w:iCs/>
                <w:color w:val="auto"/>
                <w:sz w:val="21"/>
                <w:szCs w:val="21"/>
                <w:lang w:val="en-US" w:eastAsia="zh-CN"/>
              </w:rPr>
              <w:t>Q5：公司等速驱动轴产品与国内合资、</w:t>
            </w:r>
            <w:bookmarkStart w:id="0" w:name="_GoBack"/>
            <w:bookmarkEnd w:id="0"/>
            <w:r>
              <w:rPr>
                <w:rFonts w:hint="eastAsia" w:cs="Times New Roman"/>
                <w:b w:val="0"/>
                <w:bCs/>
                <w:iCs/>
                <w:color w:val="auto"/>
                <w:sz w:val="21"/>
                <w:szCs w:val="21"/>
                <w:lang w:val="en-US" w:eastAsia="zh-CN"/>
              </w:rPr>
              <w:t>外资品牌产品的差异化？</w:t>
            </w:r>
          </w:p>
          <w:p>
            <w:pPr>
              <w:numPr>
                <w:ilvl w:val="0"/>
                <w:numId w:val="0"/>
              </w:numPr>
              <w:spacing w:line="360" w:lineRule="auto"/>
              <w:rPr>
                <w:rFonts w:hint="default" w:cs="Times New Roman"/>
                <w:b w:val="0"/>
                <w:bCs/>
                <w:iCs/>
                <w:color w:val="auto"/>
                <w:sz w:val="21"/>
                <w:szCs w:val="21"/>
                <w:lang w:val="en-US" w:eastAsia="zh-CN"/>
              </w:rPr>
            </w:pPr>
            <w:r>
              <w:rPr>
                <w:rFonts w:hint="eastAsia" w:cs="Times New Roman"/>
                <w:b w:val="0"/>
                <w:bCs/>
                <w:iCs/>
                <w:color w:val="auto"/>
                <w:sz w:val="21"/>
                <w:szCs w:val="21"/>
                <w:lang w:val="en-US" w:eastAsia="zh-CN"/>
              </w:rPr>
              <w:t>A5：公司等速驱动轴项目配置的是高端自动化设备，</w:t>
            </w:r>
            <w:r>
              <w:rPr>
                <w:rFonts w:hint="default" w:cs="Times New Roman"/>
                <w:b w:val="0"/>
                <w:bCs/>
                <w:iCs/>
                <w:color w:val="auto"/>
                <w:sz w:val="21"/>
                <w:szCs w:val="21"/>
                <w:lang w:val="en-US" w:eastAsia="zh-CN"/>
              </w:rPr>
              <w:t>设备包括自动化生产线、装配线、测量检测设备，因此跟竞争对手相比公司加工设备最新、</w:t>
            </w:r>
            <w:r>
              <w:rPr>
                <w:rFonts w:hint="eastAsia" w:cs="Times New Roman"/>
                <w:b w:val="0"/>
                <w:bCs/>
                <w:iCs/>
                <w:color w:val="auto"/>
                <w:sz w:val="21"/>
                <w:szCs w:val="21"/>
                <w:lang w:val="en-US" w:eastAsia="zh-CN"/>
              </w:rPr>
              <w:t>加工精度和</w:t>
            </w:r>
            <w:r>
              <w:rPr>
                <w:rFonts w:hint="default" w:cs="Times New Roman"/>
                <w:b w:val="0"/>
                <w:bCs/>
                <w:iCs/>
                <w:color w:val="auto"/>
                <w:sz w:val="21"/>
                <w:szCs w:val="21"/>
                <w:lang w:val="en-US" w:eastAsia="zh-CN"/>
              </w:rPr>
              <w:t>自动化程度高</w:t>
            </w:r>
            <w:r>
              <w:rPr>
                <w:rFonts w:hint="eastAsia" w:cs="Times New Roman"/>
                <w:b w:val="0"/>
                <w:bCs/>
                <w:iCs/>
                <w:color w:val="auto"/>
                <w:sz w:val="21"/>
                <w:szCs w:val="21"/>
                <w:lang w:val="en-US" w:eastAsia="zh-CN"/>
              </w:rPr>
              <w:t>，因此在产品质量方面具备一定的竞争优势。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pacing w:line="480" w:lineRule="atLeast"/>
              <w:rPr>
                <w:rFonts w:hint="default" w:ascii="Times New Roman" w:hAnsi="Times New Roman" w:cs="Times New Roman"/>
                <w:b/>
                <w:bCs/>
                <w:iCs/>
                <w:sz w:val="24"/>
                <w:szCs w:val="24"/>
              </w:rPr>
            </w:pPr>
            <w:r>
              <w:rPr>
                <w:rFonts w:hint="default" w:ascii="Times New Roman" w:hAnsi="Times New Roman" w:cs="Times New Roman"/>
                <w:b/>
                <w:bCs/>
                <w:iCs/>
                <w:sz w:val="24"/>
                <w:szCs w:val="24"/>
              </w:rPr>
              <w:t>附件清单（如有）</w:t>
            </w:r>
          </w:p>
        </w:tc>
        <w:tc>
          <w:tcPr>
            <w:tcW w:w="3881" w:type="pct"/>
            <w:shd w:val="clear" w:color="auto" w:fill="auto"/>
          </w:tcPr>
          <w:p>
            <w:pPr>
              <w:spacing w:line="480" w:lineRule="atLeast"/>
              <w:rPr>
                <w:rFonts w:hint="default" w:ascii="Times New Roman" w:hAnsi="Times New Roman" w:eastAsia="宋体" w:cs="Times New Roman"/>
                <w:bCs/>
                <w:iCs/>
                <w:sz w:val="24"/>
                <w:szCs w:val="24"/>
                <w:lang w:eastAsia="zh-CN"/>
              </w:rPr>
            </w:pPr>
            <w:r>
              <w:rPr>
                <w:rFonts w:hint="default" w:ascii="Times New Roman" w:hAnsi="Times New Roman" w:cs="Times New Roman"/>
                <w:bCs/>
                <w:i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pacing w:line="480" w:lineRule="atLeast"/>
              <w:rPr>
                <w:rFonts w:hint="default" w:ascii="Times New Roman" w:hAnsi="Times New Roman" w:cs="Times New Roman"/>
                <w:b/>
                <w:bCs/>
                <w:iCs/>
                <w:sz w:val="24"/>
                <w:szCs w:val="24"/>
              </w:rPr>
            </w:pPr>
            <w:r>
              <w:rPr>
                <w:rFonts w:hint="default" w:ascii="Times New Roman" w:hAnsi="Times New Roman" w:cs="Times New Roman"/>
                <w:b/>
                <w:bCs/>
                <w:iCs/>
                <w:sz w:val="24"/>
                <w:szCs w:val="24"/>
              </w:rPr>
              <w:t>日期</w:t>
            </w:r>
          </w:p>
        </w:tc>
        <w:tc>
          <w:tcPr>
            <w:tcW w:w="3881" w:type="pct"/>
            <w:shd w:val="clear" w:color="auto" w:fill="auto"/>
          </w:tcPr>
          <w:p>
            <w:pPr>
              <w:spacing w:line="480" w:lineRule="atLeast"/>
              <w:rPr>
                <w:rFonts w:hint="default" w:ascii="Times New Roman" w:hAnsi="Times New Roman" w:eastAsia="宋体" w:cs="Times New Roman"/>
                <w:b/>
                <w:bCs w:val="0"/>
                <w:iCs/>
                <w:sz w:val="21"/>
                <w:szCs w:val="21"/>
                <w:lang w:val="en-US" w:eastAsia="zh-CN"/>
              </w:rPr>
            </w:pPr>
            <w:r>
              <w:rPr>
                <w:rFonts w:hint="default" w:ascii="Times New Roman" w:hAnsi="Times New Roman" w:cs="Times New Roman"/>
                <w:b/>
                <w:bCs w:val="0"/>
                <w:iCs/>
                <w:sz w:val="21"/>
                <w:szCs w:val="21"/>
                <w:lang w:val="en-US" w:eastAsia="zh-CN"/>
              </w:rPr>
              <w:t>2020年</w:t>
            </w:r>
            <w:r>
              <w:rPr>
                <w:rFonts w:hint="eastAsia" w:cs="Times New Roman"/>
                <w:b/>
                <w:bCs w:val="0"/>
                <w:iCs/>
                <w:sz w:val="21"/>
                <w:szCs w:val="21"/>
                <w:lang w:val="en-US" w:eastAsia="zh-CN"/>
              </w:rPr>
              <w:t>9</w:t>
            </w:r>
            <w:r>
              <w:rPr>
                <w:rFonts w:hint="default" w:ascii="Times New Roman" w:hAnsi="Times New Roman" w:cs="Times New Roman"/>
                <w:b/>
                <w:bCs w:val="0"/>
                <w:iCs/>
                <w:sz w:val="21"/>
                <w:szCs w:val="21"/>
                <w:lang w:val="en-US" w:eastAsia="zh-CN"/>
              </w:rPr>
              <w:t>月</w:t>
            </w:r>
            <w:r>
              <w:rPr>
                <w:rFonts w:hint="eastAsia" w:cs="Times New Roman"/>
                <w:b/>
                <w:bCs w:val="0"/>
                <w:iCs/>
                <w:sz w:val="21"/>
                <w:szCs w:val="21"/>
                <w:lang w:val="en-US" w:eastAsia="zh-CN"/>
              </w:rPr>
              <w:t>3</w:t>
            </w:r>
            <w:r>
              <w:rPr>
                <w:rFonts w:hint="default" w:ascii="Times New Roman" w:hAnsi="Times New Roman" w:cs="Times New Roman"/>
                <w:b/>
                <w:bCs w:val="0"/>
                <w:iCs/>
                <w:sz w:val="21"/>
                <w:szCs w:val="21"/>
                <w:lang w:val="en-US" w:eastAsia="zh-CN"/>
              </w:rPr>
              <w:t>日</w:t>
            </w:r>
          </w:p>
        </w:tc>
      </w:tr>
    </w:tbl>
    <w:p>
      <w:pPr>
        <w:rPr>
          <w:rFonts w:hint="default" w:ascii="Times New Roman" w:hAnsi="Times New Roman" w:cs="Times New Roma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81AB8"/>
    <w:rsid w:val="07BD3305"/>
    <w:rsid w:val="11434C4D"/>
    <w:rsid w:val="20042A44"/>
    <w:rsid w:val="23300F65"/>
    <w:rsid w:val="24D249A5"/>
    <w:rsid w:val="251C6DD8"/>
    <w:rsid w:val="360162B8"/>
    <w:rsid w:val="3BAC3813"/>
    <w:rsid w:val="3D382291"/>
    <w:rsid w:val="49D71EF1"/>
    <w:rsid w:val="4AEE0B07"/>
    <w:rsid w:val="52D472AF"/>
    <w:rsid w:val="535D15AE"/>
    <w:rsid w:val="59AE5CAC"/>
    <w:rsid w:val="62C8380F"/>
    <w:rsid w:val="6DA66233"/>
    <w:rsid w:val="74FF0003"/>
    <w:rsid w:val="768559FC"/>
    <w:rsid w:val="773D05CA"/>
    <w:rsid w:val="7E5A515C"/>
    <w:rsid w:val="7F88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3"/>
    <w:next w:val="1"/>
    <w:qFormat/>
    <w:uiPriority w:val="0"/>
    <w:pPr>
      <w:keepNext/>
      <w:keepLines/>
      <w:spacing w:beforeLines="0" w:beforeAutospacing="0" w:afterLines="0" w:afterAutospacing="0" w:line="240" w:lineRule="auto"/>
      <w:ind w:firstLine="0" w:firstLineChars="0"/>
      <w:jc w:val="left"/>
      <w:outlineLvl w:val="0"/>
    </w:pPr>
    <w:rPr>
      <w:rFonts w:ascii="Times New Roman" w:hAnsi="Times New Roman"/>
      <w:b w:val="0"/>
      <w:color w:val="FF0000"/>
      <w:kern w:val="44"/>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2020-06-01T10:16:00Z</dcterms:created>
  <dc:creator>张鹏</dc:creator>
  <cp:lastModifiedBy>张鹏</cp:lastModifiedBy>
  <cp:lastPrinted>2020-06-01T23:56:00Z</cp:lastPrinted>
  <dcterms:modified xsi:type="dcterms:W3CDTF">2020-09-04T10:34:40Z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