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360" w:lineRule="auto"/>
        <w:jc w:val="both"/>
        <w:textAlignment w:val="auto"/>
        <w:rPr>
          <w:rFonts w:ascii="宋体" w:hAnsi="宋体" w:eastAsia="宋体" w:cs="宋体"/>
          <w:b/>
          <w:bCs/>
          <w:sz w:val="24"/>
          <w:szCs w:val="22"/>
        </w:rPr>
      </w:pPr>
      <w:r>
        <w:rPr>
          <w:rFonts w:hint="eastAsia" w:ascii="宋体" w:hAnsi="宋体" w:eastAsia="宋体" w:cs="宋体"/>
          <w:b/>
          <w:bCs/>
          <w:sz w:val="24"/>
          <w:szCs w:val="22"/>
        </w:rPr>
        <w:t>证券代码：300541           证券简称：先进数通         编号：20200</w:t>
      </w:r>
      <w:r>
        <w:rPr>
          <w:rFonts w:hint="eastAsia" w:ascii="宋体" w:hAnsi="宋体" w:eastAsia="宋体" w:cs="宋体"/>
          <w:b/>
          <w:bCs/>
          <w:sz w:val="24"/>
          <w:szCs w:val="22"/>
          <w:lang w:val="en-US" w:eastAsia="zh-CN"/>
        </w:rPr>
        <w:t>904</w:t>
      </w:r>
      <w:r>
        <w:rPr>
          <w:rFonts w:hint="eastAsia" w:ascii="宋体" w:hAnsi="宋体" w:eastAsia="宋体" w:cs="宋体"/>
          <w:b/>
          <w:bCs/>
          <w:sz w:val="24"/>
          <w:szCs w:val="22"/>
        </w:rPr>
        <w:t>-1</w:t>
      </w:r>
    </w:p>
    <w:p>
      <w:pPr>
        <w:rPr>
          <w:rFonts w:ascii="宋体" w:hAnsi="宋体" w:eastAsia="宋体" w:cs="宋体"/>
        </w:rPr>
      </w:pPr>
    </w:p>
    <w:p>
      <w:pPr>
        <w:spacing w:before="156" w:beforeLines="50" w:after="156" w:afterLines="50" w:line="400" w:lineRule="exact"/>
        <w:jc w:val="center"/>
        <w:rPr>
          <w:rFonts w:ascii="宋体" w:hAnsi="宋体" w:eastAsia="宋体" w:cs="宋体"/>
          <w:b/>
          <w:bCs/>
          <w:iCs/>
          <w:color w:val="000000"/>
          <w:sz w:val="32"/>
          <w:szCs w:val="32"/>
        </w:rPr>
      </w:pPr>
      <w:r>
        <w:rPr>
          <w:rFonts w:hint="eastAsia" w:ascii="宋体" w:hAnsi="宋体" w:eastAsia="宋体" w:cs="宋体"/>
          <w:b/>
          <w:bCs/>
          <w:iCs/>
          <w:color w:val="000000"/>
          <w:sz w:val="32"/>
          <w:szCs w:val="32"/>
        </w:rPr>
        <w:t>北京先进数通信息技术股份公司投资者关系活动记录表</w:t>
      </w:r>
    </w:p>
    <w:p>
      <w:pPr>
        <w:rPr>
          <w:rFonts w:ascii="宋体" w:hAnsi="宋体" w:eastAsia="宋体" w:cs="宋体"/>
        </w:rPr>
      </w:pPr>
    </w:p>
    <w:tbl>
      <w:tblPr>
        <w:tblStyle w:val="6"/>
        <w:tblW w:w="858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73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1259" w:type="dxa"/>
            <w:tcBorders>
              <w:tl2br w:val="nil"/>
              <w:tr2bl w:val="nil"/>
            </w:tcBorders>
            <w:vAlign w:val="center"/>
          </w:tcPr>
          <w:p>
            <w:pPr>
              <w:jc w:val="center"/>
              <w:rPr>
                <w:b/>
                <w:bCs/>
                <w:sz w:val="24"/>
              </w:rPr>
            </w:pPr>
            <w:r>
              <w:rPr>
                <w:rFonts w:hint="eastAsia"/>
                <w:b/>
                <w:bCs/>
                <w:sz w:val="24"/>
              </w:rPr>
              <w:t>投资者</w:t>
            </w:r>
            <w:r>
              <w:rPr>
                <w:rFonts w:hint="eastAsia"/>
                <w:b/>
                <w:bCs/>
                <w:sz w:val="24"/>
              </w:rPr>
              <w:br w:type="textWrapping"/>
            </w:r>
            <w:r>
              <w:rPr>
                <w:rFonts w:hint="eastAsia"/>
                <w:b/>
                <w:bCs/>
                <w:sz w:val="24"/>
              </w:rPr>
              <w:t>关系活动</w:t>
            </w:r>
            <w:r>
              <w:rPr>
                <w:rFonts w:hint="eastAsia"/>
                <w:b/>
                <w:bCs/>
                <w:sz w:val="24"/>
              </w:rPr>
              <w:br w:type="textWrapping"/>
            </w:r>
            <w:r>
              <w:rPr>
                <w:rFonts w:hint="eastAsia"/>
                <w:b/>
                <w:bCs/>
                <w:sz w:val="24"/>
              </w:rPr>
              <w:t>类别</w:t>
            </w:r>
          </w:p>
        </w:tc>
        <w:tc>
          <w:tcPr>
            <w:tcW w:w="7328" w:type="dxa"/>
            <w:tcBorders>
              <w:tl2br w:val="nil"/>
              <w:tr2bl w:val="nil"/>
            </w:tcBorders>
            <w:vAlign w:val="center"/>
          </w:tcPr>
          <w:p>
            <w:pPr>
              <w:rPr>
                <w:sz w:val="24"/>
              </w:rPr>
            </w:pPr>
            <w:r>
              <w:rPr>
                <w:rFonts w:hint="eastAsia"/>
                <w:sz w:val="24"/>
              </w:rPr>
              <w:t>√ 特定对象调研        □ 分析师会议          □ 媒体采访</w:t>
            </w:r>
          </w:p>
          <w:p>
            <w:pPr>
              <w:rPr>
                <w:sz w:val="24"/>
              </w:rPr>
            </w:pPr>
            <w:r>
              <w:rPr>
                <w:rFonts w:hint="eastAsia"/>
                <w:sz w:val="24"/>
              </w:rPr>
              <w:t>□ 业绩说明会          □ 新闻发布会          □ 路演活动</w:t>
            </w:r>
          </w:p>
          <w:p>
            <w:pPr>
              <w:rPr>
                <w:sz w:val="24"/>
              </w:rPr>
            </w:pPr>
            <w:r>
              <w:rPr>
                <w:rFonts w:hint="eastAsia"/>
                <w:sz w:val="24"/>
              </w:rPr>
              <w:t>□ 现场参观</w:t>
            </w:r>
            <w:r>
              <w:rPr>
                <w:rFonts w:hint="eastAsia"/>
                <w:sz w:val="24"/>
              </w:rPr>
              <w:tab/>
            </w:r>
            <w:r>
              <w:rPr>
                <w:rFonts w:hint="eastAsia"/>
                <w:sz w:val="24"/>
              </w:rPr>
              <w:t xml:space="preserve">         □ 其他：</w:t>
            </w:r>
            <w:r>
              <w:rPr>
                <w:rFonts w:hint="eastAsia"/>
                <w:sz w:val="24"/>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99" w:hRule="atLeast"/>
          <w:jc w:val="center"/>
        </w:trPr>
        <w:tc>
          <w:tcPr>
            <w:tcW w:w="1259" w:type="dxa"/>
            <w:tcBorders>
              <w:tl2br w:val="nil"/>
              <w:tr2bl w:val="nil"/>
            </w:tcBorders>
            <w:vAlign w:val="center"/>
          </w:tcPr>
          <w:p>
            <w:pPr>
              <w:jc w:val="center"/>
              <w:rPr>
                <w:b/>
                <w:bCs/>
                <w:sz w:val="24"/>
              </w:rPr>
            </w:pPr>
            <w:r>
              <w:rPr>
                <w:rFonts w:hint="eastAsia"/>
                <w:b/>
                <w:bCs/>
                <w:sz w:val="24"/>
              </w:rPr>
              <w:t>参与单位</w:t>
            </w:r>
            <w:r>
              <w:rPr>
                <w:rFonts w:hint="eastAsia"/>
                <w:b/>
                <w:bCs/>
                <w:sz w:val="24"/>
              </w:rPr>
              <w:br w:type="textWrapping"/>
            </w:r>
            <w:r>
              <w:rPr>
                <w:rFonts w:hint="eastAsia"/>
                <w:b/>
                <w:bCs/>
                <w:sz w:val="24"/>
              </w:rPr>
              <w:t>及人员</w:t>
            </w:r>
          </w:p>
        </w:tc>
        <w:tc>
          <w:tcPr>
            <w:tcW w:w="7328" w:type="dxa"/>
            <w:tcBorders>
              <w:tl2br w:val="nil"/>
              <w:tr2bl w:val="nil"/>
            </w:tcBorders>
            <w:vAlign w:val="center"/>
          </w:tcPr>
          <w:p>
            <w:pPr>
              <w:rPr>
                <w:rFonts w:hint="eastAsia"/>
                <w:sz w:val="24"/>
                <w:lang w:val="en-US" w:eastAsia="zh-CN"/>
              </w:rPr>
            </w:pPr>
            <w:r>
              <w:rPr>
                <w:rFonts w:hint="eastAsia"/>
                <w:sz w:val="24"/>
                <w:lang w:val="en-US" w:eastAsia="zh-CN"/>
              </w:rPr>
              <w:t>兴业</w:t>
            </w:r>
            <w:r>
              <w:rPr>
                <w:rFonts w:hint="eastAsia"/>
                <w:sz w:val="24"/>
              </w:rPr>
              <w:t>证券：</w:t>
            </w:r>
            <w:r>
              <w:rPr>
                <w:rFonts w:hint="eastAsia"/>
                <w:sz w:val="24"/>
                <w:lang w:val="en-US" w:eastAsia="zh-CN"/>
              </w:rPr>
              <w:t>吴鸣远</w:t>
            </w:r>
          </w:p>
          <w:p>
            <w:pPr>
              <w:rPr>
                <w:rFonts w:hint="eastAsia"/>
                <w:sz w:val="24"/>
                <w:lang w:val="en-US" w:eastAsia="zh-CN"/>
              </w:rPr>
            </w:pPr>
            <w:r>
              <w:rPr>
                <w:rFonts w:hint="eastAsia"/>
                <w:sz w:val="24"/>
                <w:lang w:val="en-US" w:eastAsia="zh-CN"/>
              </w:rPr>
              <w:t>东方基金：朱翔</w:t>
            </w:r>
          </w:p>
          <w:p>
            <w:pPr>
              <w:rPr>
                <w:rFonts w:hint="default"/>
                <w:sz w:val="24"/>
                <w:lang w:val="en-US" w:eastAsia="zh-CN"/>
              </w:rPr>
            </w:pPr>
            <w:r>
              <w:rPr>
                <w:rFonts w:hint="eastAsia"/>
                <w:sz w:val="24"/>
                <w:lang w:val="en-US" w:eastAsia="zh-CN"/>
              </w:rPr>
              <w:t>北京信托：康子冉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259" w:type="dxa"/>
            <w:tcBorders>
              <w:tl2br w:val="nil"/>
              <w:tr2bl w:val="nil"/>
            </w:tcBorders>
            <w:vAlign w:val="center"/>
          </w:tcPr>
          <w:p>
            <w:pPr>
              <w:jc w:val="center"/>
              <w:rPr>
                <w:b/>
                <w:bCs/>
                <w:sz w:val="24"/>
              </w:rPr>
            </w:pPr>
            <w:r>
              <w:rPr>
                <w:rFonts w:hint="eastAsia"/>
                <w:b/>
                <w:bCs/>
                <w:sz w:val="24"/>
              </w:rPr>
              <w:t>时间</w:t>
            </w:r>
          </w:p>
        </w:tc>
        <w:tc>
          <w:tcPr>
            <w:tcW w:w="7328" w:type="dxa"/>
            <w:tcBorders>
              <w:tl2br w:val="nil"/>
              <w:tr2bl w:val="nil"/>
            </w:tcBorders>
            <w:vAlign w:val="center"/>
          </w:tcPr>
          <w:p>
            <w:pPr>
              <w:rPr>
                <w:sz w:val="24"/>
              </w:rPr>
            </w:pPr>
            <w:r>
              <w:rPr>
                <w:rFonts w:hint="eastAsia"/>
                <w:sz w:val="24"/>
              </w:rPr>
              <w:t>2020年</w:t>
            </w:r>
            <w:r>
              <w:rPr>
                <w:rFonts w:hint="eastAsia"/>
                <w:sz w:val="24"/>
                <w:lang w:val="en-US" w:eastAsia="zh-CN"/>
              </w:rPr>
              <w:t>9</w:t>
            </w:r>
            <w:r>
              <w:rPr>
                <w:rFonts w:hint="eastAsia"/>
                <w:sz w:val="24"/>
              </w:rPr>
              <w:t>月</w:t>
            </w:r>
            <w:r>
              <w:rPr>
                <w:rFonts w:hint="eastAsia"/>
                <w:sz w:val="24"/>
                <w:lang w:val="en-US" w:eastAsia="zh-CN"/>
              </w:rPr>
              <w:t>4</w:t>
            </w:r>
            <w:r>
              <w:rPr>
                <w:rFonts w:hint="eastAsia"/>
                <w:sz w:val="24"/>
              </w:rPr>
              <w:t>日 1</w:t>
            </w:r>
            <w:r>
              <w:rPr>
                <w:rFonts w:hint="eastAsia"/>
                <w:sz w:val="24"/>
                <w:lang w:val="en-US" w:eastAsia="zh-CN"/>
              </w:rPr>
              <w:t>5</w:t>
            </w:r>
            <w:r>
              <w:rPr>
                <w:rFonts w:hint="eastAsia"/>
                <w:sz w:val="24"/>
              </w:rPr>
              <w:t>:</w:t>
            </w:r>
            <w:r>
              <w:rPr>
                <w:rFonts w:hint="eastAsia"/>
                <w:sz w:val="24"/>
                <w:lang w:val="en-US" w:eastAsia="zh-CN"/>
              </w:rPr>
              <w:t>3</w:t>
            </w:r>
            <w:r>
              <w:rPr>
                <w:rFonts w:hint="eastAsia"/>
                <w:sz w:val="24"/>
              </w:rPr>
              <w:t>0-1</w:t>
            </w:r>
            <w:r>
              <w:rPr>
                <w:rFonts w:hint="eastAsia"/>
                <w:sz w:val="24"/>
                <w:lang w:val="en-US" w:eastAsia="zh-CN"/>
              </w:rPr>
              <w:t>7</w:t>
            </w:r>
            <w:r>
              <w:rPr>
                <w:rFonts w:hint="eastAsia"/>
                <w:sz w:val="24"/>
              </w:rPr>
              <w:t>:</w:t>
            </w:r>
            <w:r>
              <w:rPr>
                <w:rFonts w:hint="eastAsia"/>
                <w:sz w:val="24"/>
                <w:lang w:val="en-US" w:eastAsia="zh-CN"/>
              </w:rPr>
              <w:t>0</w:t>
            </w:r>
            <w:r>
              <w:rPr>
                <w:rFonts w:hint="eastAsia"/>
                <w:sz w:val="24"/>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259" w:type="dxa"/>
            <w:tcBorders>
              <w:tl2br w:val="nil"/>
              <w:tr2bl w:val="nil"/>
            </w:tcBorders>
            <w:vAlign w:val="center"/>
          </w:tcPr>
          <w:p>
            <w:pPr>
              <w:jc w:val="center"/>
              <w:rPr>
                <w:b/>
                <w:bCs/>
                <w:sz w:val="24"/>
              </w:rPr>
            </w:pPr>
            <w:r>
              <w:rPr>
                <w:rFonts w:hint="eastAsia"/>
                <w:b/>
                <w:bCs/>
                <w:sz w:val="24"/>
              </w:rPr>
              <w:t>地点</w:t>
            </w:r>
          </w:p>
        </w:tc>
        <w:tc>
          <w:tcPr>
            <w:tcW w:w="7328" w:type="dxa"/>
            <w:tcBorders>
              <w:tl2br w:val="nil"/>
              <w:tr2bl w:val="nil"/>
            </w:tcBorders>
            <w:vAlign w:val="center"/>
          </w:tcPr>
          <w:p>
            <w:pPr>
              <w:rPr>
                <w:sz w:val="24"/>
              </w:rPr>
            </w:pPr>
            <w:r>
              <w:rPr>
                <w:rFonts w:hint="eastAsia"/>
                <w:sz w:val="24"/>
                <w:lang w:val="en-US" w:eastAsia="zh-CN"/>
              </w:rPr>
              <w:t>公司6层会议室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1259" w:type="dxa"/>
            <w:tcBorders>
              <w:tl2br w:val="nil"/>
              <w:tr2bl w:val="nil"/>
            </w:tcBorders>
            <w:vAlign w:val="center"/>
          </w:tcPr>
          <w:p>
            <w:pPr>
              <w:jc w:val="center"/>
              <w:rPr>
                <w:b/>
                <w:bCs/>
                <w:sz w:val="24"/>
              </w:rPr>
            </w:pPr>
            <w:r>
              <w:rPr>
                <w:rFonts w:hint="eastAsia"/>
                <w:b/>
                <w:bCs/>
                <w:sz w:val="24"/>
              </w:rPr>
              <w:t>公司接待</w:t>
            </w:r>
            <w:r>
              <w:rPr>
                <w:rFonts w:hint="eastAsia"/>
                <w:b/>
                <w:bCs/>
                <w:sz w:val="24"/>
              </w:rPr>
              <w:br w:type="textWrapping"/>
            </w:r>
            <w:r>
              <w:rPr>
                <w:rFonts w:hint="eastAsia"/>
                <w:b/>
                <w:bCs/>
                <w:sz w:val="24"/>
              </w:rPr>
              <w:t>人员</w:t>
            </w:r>
          </w:p>
        </w:tc>
        <w:tc>
          <w:tcPr>
            <w:tcW w:w="7328" w:type="dxa"/>
            <w:tcBorders>
              <w:tl2br w:val="nil"/>
              <w:tr2bl w:val="nil"/>
            </w:tcBorders>
            <w:vAlign w:val="center"/>
          </w:tcPr>
          <w:p>
            <w:pPr>
              <w:rPr>
                <w:sz w:val="24"/>
              </w:rPr>
            </w:pPr>
            <w:r>
              <w:rPr>
                <w:rFonts w:hint="eastAsia"/>
                <w:sz w:val="24"/>
              </w:rPr>
              <w:t>董事会秘书：朱胡勇</w:t>
            </w:r>
          </w:p>
          <w:p>
            <w:pPr>
              <w:rPr>
                <w:sz w:val="24"/>
              </w:rPr>
            </w:pPr>
            <w:r>
              <w:rPr>
                <w:rFonts w:hint="eastAsia"/>
                <w:sz w:val="24"/>
              </w:rPr>
              <w:t>证券事务代表：王朗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8587" w:type="dxa"/>
            <w:gridSpan w:val="2"/>
            <w:tcBorders>
              <w:tl2br w:val="nil"/>
              <w:tr2bl w:val="nil"/>
            </w:tcBorders>
            <w:vAlign w:val="center"/>
          </w:tcPr>
          <w:p>
            <w:pPr>
              <w:jc w:val="center"/>
            </w:pPr>
            <w:r>
              <w:rPr>
                <w:rFonts w:hint="eastAsia"/>
                <w:b/>
                <w:bCs/>
                <w:sz w:val="24"/>
              </w:rPr>
              <w:t>主要内容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587" w:type="dxa"/>
            <w:gridSpan w:val="2"/>
            <w:tcBorders>
              <w:tl2br w:val="nil"/>
              <w:tr2bl w:val="nil"/>
            </w:tcBorders>
            <w:vAlign w:val="center"/>
          </w:tcPr>
          <w:p>
            <w:pPr>
              <w:pStyle w:val="2"/>
              <w:ind w:firstLine="482"/>
              <w:rPr>
                <w:b/>
                <w:bCs/>
              </w:rPr>
            </w:pPr>
          </w:p>
          <w:p>
            <w:pPr>
              <w:pStyle w:val="2"/>
              <w:ind w:firstLine="480"/>
              <w:rPr>
                <w:rFonts w:hint="eastAsia" w:eastAsia="仿宋"/>
                <w:b/>
                <w:bCs/>
                <w:lang w:eastAsia="zh-CN"/>
              </w:rPr>
            </w:pPr>
            <w:r>
              <w:rPr>
                <w:rFonts w:hint="eastAsia"/>
                <w:b/>
                <w:bCs/>
                <w:lang w:val="en-US" w:eastAsia="zh-CN"/>
              </w:rPr>
              <w:t>请公司介绍一下半年报</w:t>
            </w:r>
            <w:r>
              <w:rPr>
                <w:rFonts w:hint="eastAsia"/>
                <w:b/>
                <w:bCs/>
              </w:rPr>
              <w:t>情况</w:t>
            </w:r>
            <w:r>
              <w:rPr>
                <w:rFonts w:hint="eastAsia"/>
                <w:b/>
                <w:bCs/>
                <w:lang w:eastAsia="zh-CN"/>
              </w:rPr>
              <w:t>：</w:t>
            </w:r>
          </w:p>
          <w:p>
            <w:pPr>
              <w:pStyle w:val="2"/>
              <w:ind w:firstLine="480"/>
            </w:pPr>
          </w:p>
          <w:p>
            <w:pPr>
              <w:pStyle w:val="2"/>
              <w:ind w:firstLine="480"/>
              <w:rPr>
                <w:rFonts w:hint="eastAsia"/>
                <w:lang w:val="en-US" w:eastAsia="zh-CN"/>
              </w:rPr>
            </w:pPr>
            <w:r>
              <w:rPr>
                <w:rFonts w:hint="eastAsia"/>
                <w:lang w:val="en-US" w:eastAsia="zh-CN"/>
              </w:rPr>
              <w:t>公司半年报已经于8月25日发布，其中较为重要的情况包括：</w:t>
            </w:r>
          </w:p>
          <w:p>
            <w:pPr>
              <w:pStyle w:val="2"/>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textAlignment w:val="auto"/>
              <w:rPr>
                <w:rFonts w:hint="eastAsia"/>
                <w:lang w:val="en-US" w:eastAsia="zh-CN"/>
              </w:rPr>
            </w:pPr>
            <w:r>
              <w:rPr>
                <w:rFonts w:hint="eastAsia"/>
                <w:lang w:val="en-US" w:eastAsia="zh-CN"/>
              </w:rPr>
              <w:t>公司2020年上半年度的收入较去年同期增加了13.6%，</w:t>
            </w:r>
            <w:r>
              <w:rPr>
                <w:rFonts w:hint="eastAsia"/>
                <w:lang w:val="zh-CN" w:eastAsia="zh-CN"/>
              </w:rPr>
              <w:t>收入增长主要来自互联网行业客户，2019年末，公司部分互联网行业客户大规模采购IT基础设施相关产品，报告期内完成产品交付验收，形成当期收入，</w:t>
            </w:r>
            <w:r>
              <w:rPr>
                <w:rFonts w:hint="eastAsia"/>
                <w:lang w:val="en-US" w:eastAsia="zh-CN"/>
              </w:rPr>
              <w:t>其中影响最大的因素投资者在近期公司发布的《日常经营重大合同公告》中可以看到详细情况。2019年末期、公司第一季度、半年度存货、现金流的变化，也是由于上述因素造成。</w:t>
            </w:r>
          </w:p>
          <w:p>
            <w:pPr>
              <w:pStyle w:val="2"/>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textAlignment w:val="auto"/>
              <w:rPr>
                <w:rFonts w:hint="eastAsia"/>
                <w:lang w:val="en-US" w:eastAsia="zh-CN"/>
              </w:rPr>
            </w:pPr>
            <w:r>
              <w:rPr>
                <w:rFonts w:hint="eastAsia"/>
                <w:lang w:val="en-US" w:eastAsia="zh-CN"/>
              </w:rPr>
              <w:t>公司2020年上半年费用增加较为明显，其中影响最大的是财务费用及管理费用增加，为应对客户大规模采购而形成的前期资金垫付，公司银行贷款规模大幅增加是财务费用增长的主要原因；受新冠疫情影响，公司员工延期返岗复工，期间照常发放工资，相关损失计入公司管理费用，造成公司上半年管理费用明显增加。</w:t>
            </w:r>
          </w:p>
          <w:p>
            <w:pPr>
              <w:pStyle w:val="2"/>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textAlignment w:val="auto"/>
              <w:rPr>
                <w:rFonts w:hint="eastAsia"/>
                <w:lang w:val="en-US" w:eastAsia="zh-CN"/>
              </w:rPr>
            </w:pPr>
            <w:r>
              <w:rPr>
                <w:rFonts w:hint="eastAsia"/>
                <w:lang w:val="en-US" w:eastAsia="zh-CN"/>
              </w:rPr>
              <w:t>公司2020年上半年净利润增长170.6%，主要源于公司参与设立的共青城银汐对外投资的公允价值变动收益。基于审慎的原则，共青城银汐聘请了独立第三方专业评估机构对其持有的上市公司限售股份进行公允价值评估，公司基于共青城银汐财务报表，根据合伙企业管理协议中约定的分配比例，确认税前投资收益6,245.88万元，对净利润影响为4,684.41万元。</w:t>
            </w:r>
          </w:p>
          <w:p>
            <w:pPr>
              <w:pStyle w:val="2"/>
              <w:ind w:firstLine="480"/>
            </w:pPr>
          </w:p>
          <w:p>
            <w:pPr>
              <w:pStyle w:val="2"/>
              <w:ind w:firstLine="480"/>
              <w:rPr>
                <w:rFonts w:hint="default"/>
                <w:b/>
                <w:bCs/>
                <w:lang w:val="en-US" w:eastAsia="zh-CN"/>
              </w:rPr>
            </w:pPr>
            <w:r>
              <w:rPr>
                <w:rFonts w:hint="eastAsia"/>
                <w:b/>
                <w:bCs/>
                <w:lang w:val="en-US" w:eastAsia="zh-CN"/>
              </w:rPr>
              <w:t>我们注意到公司刚刚发布了限制性股票激励计划，请问该计划中公司未来三年业绩增长目标是如何确定的？</w:t>
            </w:r>
          </w:p>
          <w:p>
            <w:pPr>
              <w:pStyle w:val="2"/>
              <w:ind w:firstLine="482"/>
              <w:rPr>
                <w:rFonts w:hint="eastAsia"/>
                <w:b w:val="0"/>
                <w:bCs w:val="0"/>
                <w:lang w:val="en-US" w:eastAsia="zh-CN"/>
              </w:rPr>
            </w:pPr>
          </w:p>
          <w:p>
            <w:pPr>
              <w:pStyle w:val="2"/>
              <w:ind w:firstLine="482"/>
              <w:rPr>
                <w:rFonts w:hint="eastAsia"/>
                <w:b w:val="0"/>
                <w:bCs w:val="0"/>
                <w:lang w:val="en-US" w:eastAsia="zh-CN"/>
              </w:rPr>
            </w:pPr>
            <w:r>
              <w:rPr>
                <w:rFonts w:hint="eastAsia"/>
                <w:b w:val="0"/>
                <w:bCs w:val="0"/>
                <w:lang w:val="en-US" w:eastAsia="zh-CN"/>
              </w:rPr>
              <w:t>公司2020年限制性股票激励计划是公司长效激励计划的一部分，是一个常规的股权激励计划。公司2018年的股权激励计划即将届满，需要新的持续性的激励计划，来吸引和留住优秀人才，充分调动公司高级管理人员、中层管理人员及业务骨干的积极性。</w:t>
            </w:r>
          </w:p>
          <w:p>
            <w:pPr>
              <w:pStyle w:val="2"/>
              <w:ind w:firstLine="482"/>
              <w:rPr>
                <w:rFonts w:hint="default"/>
                <w:b w:val="0"/>
                <w:bCs w:val="0"/>
                <w:lang w:val="en-US" w:eastAsia="zh-CN"/>
              </w:rPr>
            </w:pPr>
            <w:r>
              <w:rPr>
                <w:rFonts w:hint="eastAsia"/>
                <w:b w:val="0"/>
                <w:bCs w:val="0"/>
                <w:lang w:val="en-US" w:eastAsia="zh-CN"/>
              </w:rPr>
              <w:t>我们无法对公司未来三年的利润情况做出准确预计，公司2020年股权激励计划中设定公司未来三年的利润增长目标可以看作是为激励对象设定的一个最基本的目标，其核心目的还是吸引和留住优秀人才，并不是公司的经营计划。</w:t>
            </w:r>
          </w:p>
          <w:p>
            <w:pPr>
              <w:pStyle w:val="2"/>
              <w:ind w:firstLine="482"/>
              <w:rPr>
                <w:rFonts w:hint="default"/>
                <w:b w:val="0"/>
                <w:bCs w:val="0"/>
                <w:lang w:val="en-US" w:eastAsia="zh-CN"/>
              </w:rPr>
            </w:pPr>
          </w:p>
          <w:p>
            <w:pPr>
              <w:pStyle w:val="2"/>
              <w:ind w:firstLine="480"/>
              <w:rPr>
                <w:rFonts w:hint="eastAsia"/>
                <w:b/>
                <w:bCs/>
                <w:lang w:val="en-US" w:eastAsia="zh-CN"/>
              </w:rPr>
            </w:pPr>
            <w:r>
              <w:rPr>
                <w:rFonts w:hint="eastAsia"/>
                <w:b/>
                <w:bCs/>
                <w:lang w:val="en-US" w:eastAsia="zh-CN"/>
              </w:rPr>
              <w:t>公司近年来IT基础设施建设业务收入增长迅速，请公司介绍一下该业务的业务模式、影响该业务毛利率的主要因素，以及未来业务的前景。</w:t>
            </w:r>
          </w:p>
          <w:p>
            <w:pPr>
              <w:pStyle w:val="2"/>
              <w:ind w:firstLine="482"/>
              <w:rPr>
                <w:rFonts w:hint="default"/>
                <w:b/>
                <w:bCs/>
                <w:lang w:val="en-US" w:eastAsia="zh-CN"/>
              </w:rPr>
            </w:pPr>
          </w:p>
          <w:p>
            <w:pPr>
              <w:pStyle w:val="2"/>
              <w:ind w:firstLine="480"/>
              <w:rPr>
                <w:rFonts w:hint="eastAsia"/>
              </w:rPr>
            </w:pPr>
            <w:r>
              <w:rPr>
                <w:rFonts w:hint="eastAsia"/>
                <w:lang w:val="en-US" w:eastAsia="zh-CN"/>
              </w:rPr>
              <w:t>公司IT基础设施业务的主要客户为银行、大型互联网企业。作为专业的IT基础设施建设服务提供商，我们会参与客户IT基础设施建设工程的全生命周期，包括：规划、设计、产品选型、设备采购交付、项目实施、运营维护等，公司致力于将最新的IT技术、产品，以及公司自有知识产权软件产品，应用于客户IT基础设施建设工程中，为客户提供</w:t>
            </w:r>
            <w:r>
              <w:rPr>
                <w:rFonts w:hint="eastAsia"/>
              </w:rPr>
              <w:t>IT基础设施增值服务。</w:t>
            </w:r>
          </w:p>
          <w:p>
            <w:pPr>
              <w:pStyle w:val="2"/>
              <w:ind w:firstLine="480"/>
              <w:rPr>
                <w:rFonts w:hint="default"/>
                <w:lang w:val="en-US" w:eastAsia="zh-CN"/>
              </w:rPr>
            </w:pPr>
            <w:r>
              <w:rPr>
                <w:rFonts w:hint="eastAsia"/>
                <w:lang w:val="en-US" w:eastAsia="zh-CN"/>
              </w:rPr>
              <w:t>与公司其他业务相比，IT基础设施业务毛利率较低，但其巨大的规模以及快速增长的态势，依然会为公司业绩带来较为明显的正面影响。IT基础设施业务的毛利率主要由销售产品类型、工程复杂程度以及服务内容决定，从公司近年业务情况看，特定产品销售毛利率有下降，但幅度不大，我们认为短期内出现大幅度变化的可能性较低，未来IT基础设施业务空间依然会集中于规模扩张。</w:t>
            </w:r>
          </w:p>
          <w:p>
            <w:pPr>
              <w:pStyle w:val="2"/>
              <w:ind w:firstLine="480"/>
              <w:rPr>
                <w:rFonts w:hint="default"/>
                <w:lang w:val="en-US" w:eastAsia="zh-CN"/>
              </w:rPr>
            </w:pPr>
            <w:r>
              <w:rPr>
                <w:rFonts w:hint="eastAsia"/>
                <w:lang w:val="en-US" w:eastAsia="zh-CN"/>
              </w:rPr>
              <w:t>2020年上半年，公司IT基础设施业务的主要客户受新冠疫情影响，采购进度有所延迟，目前公司互联网客户IT基础设施采购已恢复快速增长，银行客户采购也正在迅速恢复过程中，公司预期下半年IT基础设施业务收入将保持快速增长态势。</w:t>
            </w:r>
          </w:p>
          <w:p>
            <w:pPr>
              <w:pStyle w:val="2"/>
              <w:rPr>
                <w:rFonts w:hint="default"/>
                <w:lang w:val="en-US" w:eastAsia="zh-CN"/>
              </w:rPr>
            </w:pPr>
          </w:p>
          <w:p>
            <w:pPr>
              <w:pStyle w:val="2"/>
              <w:ind w:firstLine="482"/>
              <w:rPr>
                <w:rFonts w:hint="default" w:eastAsia="仿宋"/>
                <w:b/>
                <w:bCs/>
                <w:lang w:val="en-US" w:eastAsia="zh-CN"/>
              </w:rPr>
            </w:pPr>
            <w:r>
              <w:rPr>
                <w:rFonts w:hint="eastAsia"/>
                <w:b/>
                <w:bCs/>
                <w:lang w:val="en-US" w:eastAsia="zh-CN"/>
              </w:rPr>
              <w:t>公司软件解决方案业务的情况：</w:t>
            </w:r>
          </w:p>
          <w:p>
            <w:pPr>
              <w:pStyle w:val="2"/>
              <w:ind w:firstLine="482"/>
              <w:rPr>
                <w:rFonts w:hint="eastAsia"/>
                <w:b w:val="0"/>
                <w:bCs w:val="0"/>
              </w:rPr>
            </w:pPr>
          </w:p>
          <w:p>
            <w:pPr>
              <w:pStyle w:val="2"/>
              <w:ind w:firstLine="482"/>
              <w:rPr>
                <w:rFonts w:hint="default" w:eastAsia="仿宋"/>
                <w:b w:val="0"/>
                <w:bCs w:val="0"/>
                <w:lang w:val="en-US" w:eastAsia="zh-CN"/>
              </w:rPr>
            </w:pPr>
            <w:r>
              <w:rPr>
                <w:rFonts w:hint="eastAsia"/>
                <w:b w:val="0"/>
                <w:bCs w:val="0"/>
                <w:lang w:val="en-US" w:eastAsia="zh-CN"/>
              </w:rPr>
              <w:t>公司软件业务主要客户集中于以银行为主的金融行业，围绕业务处理、数据管理及数据分析形成了两个主要的业务方向。目前公司软件业务的主要业务模式是基于公司自有知识产权软件产品，向客户提供定制软件开发或定量软件开发服务。公司主要软件产品，</w:t>
            </w:r>
            <w:r>
              <w:rPr>
                <w:rFonts w:hint="eastAsia"/>
                <w:lang w:val="en-US" w:eastAsia="zh-CN"/>
              </w:rPr>
              <w:t>是封装于客户IT基础设施之上的平台软件产品，提供开发、部署、运行、维护等平台功能，客户基于上述产品，实现多种应用系统功能。</w:t>
            </w:r>
            <w:r>
              <w:rPr>
                <w:rFonts w:hint="eastAsia"/>
                <w:b w:val="0"/>
                <w:bCs w:val="0"/>
                <w:lang w:val="en-US" w:eastAsia="zh-CN"/>
              </w:rPr>
              <w:t>业务处理领域，以公司金融交易云产品Starring为核心，公司形成的软件解决方案及应用系统几乎涉及银行业务处理的所有领域，目前已有数百个应用系统在线运行，并成为多个大中型银行客户构建业务处理系统的主要平台。数据分析与数据管理领域，以公司自有版权软件产品iMOIA、Shark为核心，基于云计算架构，为客户提供核心的数据管理与数据分析应用功能，公司长期作为多家大中型银行的数据管理服务商，同时提供数据分析应用开发服务，在业界有较强的竞争力。</w:t>
            </w:r>
          </w:p>
          <w:p>
            <w:pPr>
              <w:pStyle w:val="2"/>
              <w:ind w:firstLine="480"/>
              <w:rPr>
                <w:rFonts w:hint="eastAsia"/>
                <w:lang w:val="en-US" w:eastAsia="zh-CN"/>
              </w:rPr>
            </w:pPr>
            <w:r>
              <w:rPr>
                <w:rFonts w:hint="eastAsia"/>
                <w:lang w:val="en-US" w:eastAsia="zh-CN"/>
              </w:rPr>
              <w:t>从公司面对的银行应用软件市场看，近期呈现逐步活跃的态势，我们预期在未来较长时期，将维持这种态势，其核心动力来自云计算技术的成熟与广泛应用以及安全可控的需求，这对于包括本公司在内的行业内服务商，都将带来更多的机会。</w:t>
            </w:r>
          </w:p>
          <w:p>
            <w:pPr>
              <w:pStyle w:val="2"/>
              <w:ind w:firstLine="480"/>
              <w:rPr>
                <w:rFonts w:hint="default"/>
                <w:lang w:val="en-US" w:eastAsia="zh-CN"/>
              </w:rPr>
            </w:pPr>
            <w:r>
              <w:rPr>
                <w:rFonts w:hint="eastAsia"/>
                <w:lang w:val="en-US" w:eastAsia="zh-CN"/>
              </w:rPr>
              <w:t>软件服务行业最关键的资源是人才，银行对服务商技术能力有着较高的要求，技术资源规模扩大、技术能力的培养，需要时间，公司正在尽最大努力，扩大技术团队规模，提升技术能力，以适应未来软件业务发展的需求。</w:t>
            </w:r>
          </w:p>
          <w:p>
            <w:pPr>
              <w:pStyle w:val="2"/>
              <w:ind w:firstLine="480"/>
            </w:pPr>
          </w:p>
          <w:p>
            <w:pPr>
              <w:pStyle w:val="2"/>
              <w:ind w:firstLine="482"/>
              <w:rPr>
                <w:rFonts w:hint="default" w:eastAsia="仿宋"/>
                <w:b/>
                <w:bCs/>
                <w:lang w:val="en-US" w:eastAsia="zh-CN"/>
              </w:rPr>
            </w:pPr>
            <w:r>
              <w:rPr>
                <w:rFonts w:hint="eastAsia"/>
                <w:b/>
                <w:bCs/>
                <w:lang w:val="en-US" w:eastAsia="zh-CN"/>
              </w:rPr>
              <w:t>数字货币的出现，会给公司的业务带来怎样的影响？</w:t>
            </w:r>
          </w:p>
          <w:p>
            <w:pPr>
              <w:pStyle w:val="2"/>
              <w:ind w:firstLine="480"/>
              <w:rPr>
                <w:rFonts w:hint="eastAsia"/>
                <w:lang w:val="en-US" w:eastAsia="zh-CN"/>
              </w:rPr>
            </w:pPr>
          </w:p>
          <w:p>
            <w:pPr>
              <w:pStyle w:val="2"/>
              <w:ind w:firstLine="480"/>
              <w:rPr>
                <w:rFonts w:hint="default"/>
                <w:lang w:val="en-US" w:eastAsia="zh-CN"/>
              </w:rPr>
            </w:pPr>
            <w:r>
              <w:rPr>
                <w:rFonts w:hint="eastAsia"/>
                <w:lang w:val="en-US" w:eastAsia="zh-CN"/>
              </w:rPr>
              <w:t>数字货币处于初期试点阶段，其影响尚未充分体现。随着试点范围的扩大，应用领域的深入，其对未来金融行业应用的潜在影响将逐步体现。作为专业金融行业软件服务商，我们已承担的业务处理、数据分析应用系统，以及未来新的应用系统建设，或多或少都会受到影响，公司会与客户密切合作，采取积极的应对措施，把握相关应用机会。</w:t>
            </w:r>
          </w:p>
          <w:p>
            <w:pPr>
              <w:pStyle w:val="2"/>
              <w:ind w:firstLine="480"/>
            </w:pPr>
          </w:p>
          <w:p>
            <w:pPr>
              <w:pStyle w:val="2"/>
              <w:ind w:firstLine="482"/>
              <w:rPr>
                <w:rFonts w:hint="default"/>
                <w:b/>
                <w:bCs/>
                <w:lang w:val="en-US" w:eastAsia="zh-CN"/>
              </w:rPr>
            </w:pPr>
            <w:r>
              <w:rPr>
                <w:rFonts w:hint="eastAsia"/>
                <w:b/>
                <w:bCs/>
                <w:lang w:val="en-US" w:eastAsia="zh-CN"/>
              </w:rPr>
              <w:t>公司股权相对分散，公司如何看待这一现状？</w:t>
            </w:r>
          </w:p>
          <w:p>
            <w:pPr>
              <w:pStyle w:val="2"/>
              <w:rPr>
                <w:rFonts w:hint="default"/>
                <w:b/>
                <w:bCs/>
                <w:lang w:val="en-US" w:eastAsia="zh-CN"/>
              </w:rPr>
            </w:pPr>
          </w:p>
          <w:p>
            <w:pPr>
              <w:pStyle w:val="2"/>
              <w:ind w:firstLine="480"/>
              <w:rPr>
                <w:rFonts w:hint="default"/>
                <w:lang w:val="en-US" w:eastAsia="zh-CN"/>
              </w:rPr>
            </w:pPr>
            <w:r>
              <w:rPr>
                <w:rFonts w:hint="eastAsia"/>
                <w:lang w:val="en-US" w:eastAsia="zh-CN"/>
              </w:rPr>
              <w:t>公司的股权分散的情况从公司提交IPO申请至今，一直受到关注，对此我们也反复进行了说明。首先，公司股权分散是历史形成的，由来已久，一直延续至今；其次，我们并不认为这是个问题，IT行业股权分散并不是个别现象，很多公司都存在股权分散的情况，IT行业的核心资产是人才，更多的公司骨干成为公司股东，对公司的长期发展有利；最后，公司经过近20年的发展，已形成了成熟的管理、决策机制，股权分散并没有成为公司发展的阻碍。公司已上市多年，公司员工依然是公司最大的股东群体，我们会继续通过股权激励等方式，让更多的公司骨干员工成为股东，分享公司成长的成果。</w:t>
            </w:r>
          </w:p>
          <w:p>
            <w:pPr>
              <w:pStyle w:val="2"/>
              <w:ind w:firstLine="480"/>
            </w:pPr>
          </w:p>
          <w:p>
            <w:pPr>
              <w:pStyle w:val="2"/>
              <w:ind w:firstLine="480"/>
              <w:rPr>
                <w:rFonts w:hint="eastAsia"/>
                <w:b/>
                <w:bCs/>
                <w:lang w:val="en-US" w:eastAsia="zh-CN"/>
              </w:rPr>
            </w:pPr>
            <w:r>
              <w:rPr>
                <w:rFonts w:hint="eastAsia"/>
                <w:b/>
                <w:bCs/>
                <w:lang w:val="en-US" w:eastAsia="zh-CN"/>
              </w:rPr>
              <w:t>公司2019年年度报告显示，公司研发人员数量为143人，请公司介绍一下研发体系的具体情况？</w:t>
            </w:r>
          </w:p>
          <w:p>
            <w:pPr>
              <w:pStyle w:val="2"/>
              <w:ind w:firstLine="480"/>
              <w:rPr>
                <w:rFonts w:hint="default"/>
                <w:b/>
                <w:bCs/>
                <w:lang w:val="en-US" w:eastAsia="zh-CN"/>
              </w:rPr>
            </w:pPr>
          </w:p>
          <w:p>
            <w:pPr>
              <w:pStyle w:val="2"/>
              <w:ind w:firstLine="480"/>
              <w:rPr>
                <w:rFonts w:hint="default"/>
                <w:lang w:val="en-US" w:eastAsia="zh-CN"/>
              </w:rPr>
            </w:pPr>
            <w:r>
              <w:rPr>
                <w:rFonts w:hint="eastAsia"/>
                <w:lang w:val="en-US" w:eastAsia="zh-CN"/>
              </w:rPr>
              <w:t>公司年度报告中披露的研发人员数量，是指公司专职研发部门在册员工数量，主要包括公司Starring、iMOIA、Shark、智能运维平台等产品研发部门在册员工人数。公司人员主要由技术人员构成，截止6月末，公司技术人员总数为1677人，占员工总数的87%。公司研发项目并非全部由研发部门承担，研发项目立项后，公司会根据研发项目的需求，调集研发部门、应用部门合适的技术人员参与研发项目，公司投入研发的人员规模远大于专职研发人员规模。</w:t>
            </w:r>
          </w:p>
          <w:p>
            <w:pPr>
              <w:pStyle w:val="2"/>
              <w:ind w:firstLine="480"/>
            </w:pPr>
          </w:p>
          <w:p>
            <w:pPr>
              <w:pStyle w:val="2"/>
              <w:ind w:firstLine="482"/>
              <w:rPr>
                <w:b/>
                <w:bCs/>
              </w:rPr>
            </w:pPr>
            <w:r>
              <w:rPr>
                <w:rFonts w:hint="eastAsia"/>
                <w:b/>
                <w:bCs/>
              </w:rPr>
              <w:t>公司</w:t>
            </w:r>
            <w:r>
              <w:rPr>
                <w:rFonts w:hint="eastAsia"/>
                <w:b/>
                <w:bCs/>
                <w:lang w:val="en-US" w:eastAsia="zh-CN"/>
              </w:rPr>
              <w:t>近期是否有再融资的安排</w:t>
            </w:r>
            <w:r>
              <w:rPr>
                <w:rFonts w:hint="eastAsia"/>
                <w:b/>
                <w:bCs/>
              </w:rPr>
              <w:t>？</w:t>
            </w:r>
          </w:p>
          <w:p>
            <w:pPr>
              <w:pStyle w:val="2"/>
              <w:ind w:firstLine="480"/>
            </w:pPr>
          </w:p>
          <w:p>
            <w:pPr>
              <w:pStyle w:val="2"/>
              <w:ind w:firstLine="480"/>
              <w:rPr>
                <w:rFonts w:hint="eastAsia"/>
                <w:lang w:val="en-US" w:eastAsia="zh-CN"/>
              </w:rPr>
            </w:pPr>
            <w:r>
              <w:rPr>
                <w:rFonts w:hint="eastAsia"/>
                <w:lang w:val="en-US" w:eastAsia="zh-CN"/>
              </w:rPr>
              <w:t>目前公司没有再融资计划。</w:t>
            </w:r>
          </w:p>
          <w:p>
            <w:pPr>
              <w:pStyle w:val="2"/>
              <w:ind w:firstLine="480"/>
              <w:rPr>
                <w:rFonts w:hint="default"/>
                <w:lang w:val="en-US" w:eastAsia="zh-CN"/>
              </w:rPr>
            </w:pPr>
            <w:r>
              <w:rPr>
                <w:rFonts w:hint="eastAsia"/>
                <w:lang w:val="en-US" w:eastAsia="zh-CN"/>
              </w:rPr>
              <w:t>公司属于轻资产行业，大规模资产性投入并不常见，主要的项目投入形式，是软件产品或解决方案研发，项目投入更多体现为人员相关费用，按照现行政策，属于流动资金，募投项目选择、再融资方式受到很大制约。目前公司解决资金需求主要还是依赖银行信贷，好在公司与多家银行建立了长期持续的合作关系，银行融资渠道比较顺畅。</w:t>
            </w:r>
          </w:p>
          <w:p>
            <w:pPr>
              <w:pStyle w:val="2"/>
              <w:ind w:firstLine="480"/>
              <w:rPr>
                <w:rFonts w:hint="eastAsia"/>
                <w:lang w:val="en-US" w:eastAsia="zh-CN"/>
              </w:rPr>
            </w:pPr>
          </w:p>
          <w:p>
            <w:pPr>
              <w:pStyle w:val="2"/>
              <w:ind w:firstLine="482"/>
              <w:rPr>
                <w:rFonts w:hint="eastAsia"/>
                <w:b/>
                <w:bCs/>
              </w:rPr>
            </w:pPr>
            <w:r>
              <w:rPr>
                <w:rFonts w:hint="eastAsia"/>
                <w:b/>
                <w:bCs/>
                <w:lang w:val="en-US" w:eastAsia="zh-CN"/>
              </w:rPr>
              <w:t>我们关注到公司近期有多个股东减持公司股份，公司如何看待这种情况？</w:t>
            </w:r>
          </w:p>
          <w:p>
            <w:pPr>
              <w:pStyle w:val="2"/>
              <w:ind w:firstLine="482"/>
              <w:rPr>
                <w:rFonts w:hint="eastAsia"/>
                <w:b/>
                <w:bCs/>
              </w:rPr>
            </w:pPr>
          </w:p>
          <w:p>
            <w:pPr>
              <w:pStyle w:val="2"/>
              <w:ind w:firstLine="482"/>
              <w:rPr>
                <w:rFonts w:hint="eastAsia"/>
                <w:b/>
                <w:bCs/>
              </w:rPr>
            </w:pPr>
          </w:p>
          <w:p>
            <w:pPr>
              <w:pStyle w:val="2"/>
              <w:ind w:firstLine="482"/>
              <w:rPr>
                <w:rFonts w:hint="eastAsia"/>
                <w:b/>
                <w:bCs/>
              </w:rPr>
            </w:pPr>
          </w:p>
          <w:p>
            <w:pPr>
              <w:pStyle w:val="2"/>
              <w:ind w:firstLine="480"/>
              <w:rPr>
                <w:rFonts w:hint="eastAsia"/>
                <w:lang w:val="en-US" w:eastAsia="zh-CN"/>
              </w:rPr>
            </w:pPr>
            <w:r>
              <w:rPr>
                <w:rFonts w:hint="eastAsia"/>
                <w:lang w:val="en-US" w:eastAsia="zh-CN"/>
              </w:rPr>
              <w:t>公司股权较为分散，没有实际控制人，在IPO过程中，采纳了由多个股东承担实际控制人信息披露义务的方式，因此较有实际控制人的公司，会看到更多的股东披露减持情况，这是由公司实际情况决定的。</w:t>
            </w:r>
          </w:p>
          <w:p>
            <w:pPr>
              <w:pStyle w:val="2"/>
              <w:ind w:firstLine="480"/>
              <w:rPr>
                <w:rFonts w:hint="default"/>
                <w:lang w:val="en-US" w:eastAsia="zh-CN"/>
              </w:rPr>
            </w:pPr>
            <w:r>
              <w:rPr>
                <w:rFonts w:hint="eastAsia"/>
                <w:lang w:val="en-US" w:eastAsia="zh-CN"/>
              </w:rPr>
              <w:t>近期披露减持情况的股东，最晚投资</w:t>
            </w:r>
            <w:bookmarkStart w:id="0" w:name="_GoBack"/>
            <w:bookmarkEnd w:id="0"/>
            <w:r>
              <w:rPr>
                <w:rFonts w:hint="eastAsia"/>
                <w:lang w:val="en-US" w:eastAsia="zh-CN"/>
              </w:rPr>
              <w:t>公司的时间为2012年，投资本公司的周期已经很长，在历史上为公司的发展做出了重要的贡献。经过了较长周期的投资，股东有自身的资金需求，公司对此予以理解。同时我们也可以看到，公司原始股东仍然持有较大比例的公司股份，对公司未来发展仍然充满信心。</w:t>
            </w:r>
          </w:p>
          <w:p>
            <w:pPr>
              <w:pStyle w:val="2"/>
              <w:ind w:firstLine="480"/>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59" w:type="dxa"/>
            <w:tcBorders>
              <w:tl2br w:val="nil"/>
              <w:tr2bl w:val="nil"/>
            </w:tcBorders>
            <w:vAlign w:val="center"/>
          </w:tcPr>
          <w:p>
            <w:r>
              <w:rPr>
                <w:rFonts w:hint="eastAsia"/>
              </w:rPr>
              <w:t>附件清单（如有）</w:t>
            </w:r>
          </w:p>
        </w:tc>
        <w:tc>
          <w:tcPr>
            <w:tcW w:w="7328" w:type="dxa"/>
            <w:tcBorders>
              <w:tl2br w:val="nil"/>
              <w:tr2bl w:val="nil"/>
            </w:tcBorders>
            <w:vAlign w:val="center"/>
          </w:tcPr>
          <w:p>
            <w:r>
              <w:rPr>
                <w:rFonts w:hint="eastAsia"/>
              </w:rPr>
              <w:t>无</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rPr>
      <w:t>-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E9A4072"/>
    <w:rsid w:val="00247BA7"/>
    <w:rsid w:val="004319EE"/>
    <w:rsid w:val="005708B1"/>
    <w:rsid w:val="006916CA"/>
    <w:rsid w:val="00922D59"/>
    <w:rsid w:val="009C6466"/>
    <w:rsid w:val="00AB3D2E"/>
    <w:rsid w:val="036B1C94"/>
    <w:rsid w:val="04BD1EE5"/>
    <w:rsid w:val="075564B5"/>
    <w:rsid w:val="0C6F1EF9"/>
    <w:rsid w:val="128A03B6"/>
    <w:rsid w:val="1AEF3D20"/>
    <w:rsid w:val="1B9F7F42"/>
    <w:rsid w:val="1EF41AA3"/>
    <w:rsid w:val="1FD51C7A"/>
    <w:rsid w:val="1FF34AE3"/>
    <w:rsid w:val="219570D1"/>
    <w:rsid w:val="24153C35"/>
    <w:rsid w:val="25123235"/>
    <w:rsid w:val="255338A8"/>
    <w:rsid w:val="26297A55"/>
    <w:rsid w:val="2861768F"/>
    <w:rsid w:val="29177C34"/>
    <w:rsid w:val="2C544A2D"/>
    <w:rsid w:val="2FC25684"/>
    <w:rsid w:val="372C2DC6"/>
    <w:rsid w:val="3BDC2673"/>
    <w:rsid w:val="40F204D5"/>
    <w:rsid w:val="41C31DF9"/>
    <w:rsid w:val="437F55D7"/>
    <w:rsid w:val="444D382C"/>
    <w:rsid w:val="447466DC"/>
    <w:rsid w:val="45671D88"/>
    <w:rsid w:val="5230307F"/>
    <w:rsid w:val="5C0A048F"/>
    <w:rsid w:val="5D6968C5"/>
    <w:rsid w:val="667C61DC"/>
    <w:rsid w:val="68144076"/>
    <w:rsid w:val="6DF552EB"/>
    <w:rsid w:val="6E9A4072"/>
    <w:rsid w:val="73A50654"/>
    <w:rsid w:val="772405CF"/>
    <w:rsid w:val="78793ED7"/>
    <w:rsid w:val="7D9A2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rPr>
      <w:rFonts w:ascii="仿宋" w:hAnsi="仿宋" w:eastAsia="仿宋" w:cs="仿宋"/>
      <w:sz w:val="24"/>
    </w:rPr>
  </w:style>
  <w:style w:type="paragraph" w:styleId="3">
    <w:name w:val="Balloon Text"/>
    <w:basedOn w:val="1"/>
    <w:link w:val="8"/>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8">
    <w:name w:val="批注框文本 Char"/>
    <w:basedOn w:val="7"/>
    <w:link w:val="3"/>
    <w:qFormat/>
    <w:uiPriority w:val="0"/>
    <w:rPr>
      <w:rFonts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661</Words>
  <Characters>3769</Characters>
  <Lines>31</Lines>
  <Paragraphs>8</Paragraphs>
  <TotalTime>156</TotalTime>
  <ScaleCrop>false</ScaleCrop>
  <LinksUpToDate>false</LinksUpToDate>
  <CharactersWithSpaces>4422</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2020-06-21T02:11:00Z</dcterms:created>
  <dc:creator>老朱</dc:creator>
  <cp:lastModifiedBy>老朱</cp:lastModifiedBy>
  <dcterms:modified xsi:type="dcterms:W3CDTF">2020-09-06T09:38:51Z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