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5.xml" ContentType="application/vnd.openxmlformats-officedocument.customXmlProperties+xml"/>
  <Override PartName="/word/fontTable.xml" ContentType="application/vnd.openxmlformats-officedocument.wordprocessingml.fontTable+xml"/>
  <Override PartName="/customXml/itemProps13.xml" ContentType="application/vnd.openxmlformats-officedocument.customXmlProperties+xml"/>
  <Override PartName="/customXml/itemProps10.xml" ContentType="application/vnd.openxmlformats-officedocument.customXmlProperties+xml"/>
  <Override PartName="/customXml/itemProps8.xml" ContentType="application/vnd.openxmlformats-officedocument.customXmlProperties+xml"/>
  <Override PartName="/customXml/itemProps3.xml" ContentType="application/vnd.openxmlformats-officedocument.customXmlProperties+xml"/>
  <Override PartName="/word/footer2.xml" ContentType="application/vnd.openxmlformats-officedocument.wordprocessingml.footer+xml"/>
  <Override PartName="/customXml/itemProps4.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14.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customXml/itemProps9.xml" ContentType="application/vnd.openxmlformats-officedocument.customXmlProperties+xml"/>
  <Override PartName="/word/header1.xml" ContentType="application/vnd.openxmlformats-officedocument.wordprocessingml.header+xml"/>
  <Override PartName="/word/styles.xml" ContentType="application/vnd.openxmlformats-officedocument.wordprocessingml.styles+xml"/>
  <Override PartName="/customXml/itemProps12.xml" ContentType="application/vnd.openxmlformats-officedocument.customXmlProperties+xml"/>
  <Override PartName="/customXml/itemProps5.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customXml/itemProps11.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Override PartName="/word/theme/theme1.xml" ContentType="application/vnd.openxmlformats-officedocument.theme+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156" w:beforeLines="50"/>
        <w:rPr>
          <w:rFonts w:ascii="宋体" w:hAnsi="宋体"/>
          <w:bCs/>
          <w:iCs/>
          <w:color w:val="000000"/>
          <w:sz w:val="24"/>
        </w:rPr>
      </w:pPr>
      <w:r>
        <w:rPr>
          <w:rFonts w:ascii="Times New Roman" w:cs="Times New Roman" w:hAnsi="Times New Roman" w:hint="default"/>
          <w:bCs/>
          <w:iCs/>
          <w:color w:val="000000"/>
          <w:sz w:val="24"/>
        </w:rPr>
        <w:t xml:space="preserve">证券代码：300083  </w:t>
      </w:r>
      <w:r>
        <w:rPr>
          <w:rFonts w:ascii="宋体" w:hAnsi="宋体" w:hint="eastAsia"/>
          <w:bCs/>
          <w:iCs/>
          <w:color w:val="000000"/>
          <w:sz w:val="24"/>
        </w:rPr>
        <w:t xml:space="preserve">                                 证券简称：创世纪</w:t>
      </w:r>
    </w:p>
    <w:p>
      <w:pPr>
        <w:pStyle w:val="style0"/>
        <w:spacing w:before="156" w:beforeLines="50" w:lineRule="auto" w:line="360"/>
        <w:jc w:val="center"/>
        <w:outlineLvl w:val="0"/>
        <w:rPr>
          <w:rFonts w:ascii="黑体" w:cs="黑体" w:eastAsia="黑体" w:hAnsi="黑体" w:hint="eastAsia"/>
          <w:b/>
          <w:bCs/>
          <w:iCs/>
          <w:color w:val="000000"/>
          <w:sz w:val="28"/>
          <w:szCs w:val="28"/>
        </w:rPr>
      </w:pPr>
      <w:r>
        <w:rPr>
          <w:rFonts w:ascii="黑体" w:cs="黑体" w:eastAsia="黑体" w:hAnsi="黑体" w:hint="eastAsia"/>
          <w:b/>
          <w:bCs/>
          <w:iCs/>
          <w:color w:val="000000"/>
          <w:sz w:val="28"/>
          <w:szCs w:val="28"/>
        </w:rPr>
        <w:t>广东创世纪智能装备股份有限公司</w:t>
      </w:r>
    </w:p>
    <w:p>
      <w:pPr>
        <w:pStyle w:val="style0"/>
        <w:jc w:val="center"/>
        <w:outlineLvl w:val="0"/>
        <w:rPr>
          <w:rFonts w:ascii="宋体" w:hAnsi="宋体"/>
          <w:b/>
          <w:bCs/>
          <w:iCs/>
          <w:color w:val="000000"/>
          <w:sz w:val="28"/>
          <w:szCs w:val="28"/>
        </w:rPr>
      </w:pPr>
      <w:r>
        <w:rPr>
          <w:rFonts w:ascii="黑体" w:cs="黑体" w:eastAsia="黑体" w:hAnsi="黑体" w:hint="eastAsia"/>
          <w:b/>
          <w:bCs/>
          <w:iCs/>
          <w:color w:val="000000"/>
          <w:sz w:val="28"/>
          <w:szCs w:val="28"/>
        </w:rPr>
        <w:t>投资者关系活动记录表</w:t>
      </w:r>
    </w:p>
    <w:p>
      <w:pPr>
        <w:pStyle w:val="style0"/>
        <w:jc w:val="right"/>
        <w:rPr>
          <w:rFonts w:ascii="宋体" w:hAnsi="宋体"/>
          <w:bCs/>
          <w:iCs/>
          <w:color w:val="000000"/>
          <w:sz w:val="24"/>
        </w:rPr>
      </w:pPr>
      <w:r>
        <w:rPr>
          <w:rFonts w:ascii="宋体" w:hAnsi="宋体" w:hint="eastAsia"/>
          <w:bCs/>
          <w:iCs/>
          <w:color w:val="000000"/>
          <w:sz w:val="24"/>
        </w:rPr>
        <w:t>编号：</w:t>
      </w:r>
      <w:r>
        <w:rPr>
          <w:rFonts w:ascii="Times New Roman" w:cs="Times New Roman" w:hAnsi="Times New Roman" w:hint="default"/>
          <w:bCs/>
          <w:iCs/>
          <w:color w:val="000000"/>
          <w:sz w:val="24"/>
        </w:rPr>
        <w:t>2020-008</w:t>
      </w:r>
    </w:p>
    <w:tbl>
      <w:tblPr>
        <w:tblStyle w:val="style105"/>
        <w:tblpPr w:leftFromText="158" w:rightFromText="158" w:topFromText="0" w:bottomFromText="0" w:vertAnchor="text" w:tblpXSpec="center" w:tblpYSpec="inline"/>
        <w:tblW w:w="946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CellMar>
          <w:top w:w="0" w:type="dxa"/>
          <w:left w:w="0" w:type="dxa"/>
          <w:bottom w:w="0" w:type="dxa"/>
          <w:right w:w="0" w:type="dxa"/>
        </w:tblCellMar>
      </w:tblPr>
      <w:tblGrid>
        <w:gridCol w:w="1668"/>
        <w:gridCol w:w="7793"/>
      </w:tblGrid>
      <w:tr>
        <w:trPr>
          <w:trHeight w:val="1099" w:hRule="atLeast"/>
          <w:jc w:val="center"/>
        </w:trPr>
        <w:tc>
          <w:tcPr>
            <w:tcW w:w="1668" w:type="dxa"/>
            <w:tcBorders>
              <w:tl2br w:val="nil"/>
              <w:tr2bl w:val="nil"/>
            </w:tcBorders>
            <w:shd w:val="clear" w:color="auto" w:fill="ffffff"/>
            <w:tcMar>
              <w:top w:w="0" w:type="dxa"/>
              <w:left w:w="108" w:type="dxa"/>
              <w:bottom w:w="0" w:type="dxa"/>
              <w:right w:w="108" w:type="dxa"/>
            </w:tcMar>
            <w:vAlign w:val="center"/>
          </w:tcPr>
          <w:p>
            <w:pPr>
              <w:pStyle w:val="style0"/>
              <w:rPr>
                <w:rFonts w:ascii="Times New Roman" w:cs="Times New Roman" w:hAnsi="Times New Roman" w:hint="default"/>
                <w:b/>
                <w:bCs w:val="false"/>
                <w:iCs/>
                <w:color w:val="000000"/>
                <w:szCs w:val="21"/>
              </w:rPr>
            </w:pPr>
            <w:r>
              <w:rPr>
                <w:rFonts w:ascii="Times New Roman" w:cs="Times New Roman" w:hAnsi="Times New Roman" w:hint="default"/>
                <w:b/>
                <w:bCs w:val="false"/>
                <w:iCs/>
                <w:color w:val="000000"/>
                <w:szCs w:val="21"/>
              </w:rPr>
              <w:t>投资者关系活动类别</w:t>
            </w:r>
          </w:p>
        </w:tc>
        <w:tc>
          <w:tcPr>
            <w:tcW w:w="7793" w:type="dxa"/>
            <w:tcBorders>
              <w:tl2br w:val="nil"/>
              <w:tr2bl w:val="nil"/>
            </w:tcBorders>
            <w:shd w:val="clear" w:color="auto" w:fill="ffffff"/>
            <w:tcMar>
              <w:top w:w="0" w:type="dxa"/>
              <w:left w:w="108" w:type="dxa"/>
              <w:bottom w:w="0" w:type="dxa"/>
              <w:right w:w="108" w:type="dxa"/>
            </w:tcMar>
            <w:vAlign w:val="center"/>
          </w:tcPr>
          <w:p>
            <w:pPr>
              <w:pStyle w:val="style0"/>
              <w:spacing w:lineRule="auto" w:line="360"/>
              <w:rPr>
                <w:rFonts w:ascii="宋体" w:cs="宋体" w:eastAsia="宋体" w:hAnsi="宋体" w:hint="eastAsia"/>
                <w:bCs/>
                <w:iCs/>
                <w:color w:val="000000"/>
                <w:szCs w:val="21"/>
              </w:rPr>
            </w:pPr>
            <w:r>
              <w:rPr>
                <w:rFonts w:ascii="宋体" w:cs="宋体" w:eastAsia="宋体" w:hAnsi="宋体" w:hint="eastAsia"/>
                <w:bCs/>
                <w:iCs/>
                <w:color w:val="000000"/>
                <w:szCs w:val="21"/>
              </w:rPr>
              <w:sym w:font="Wingdings 2" w:char="f052"/>
            </w:r>
            <w:r>
              <w:rPr>
                <w:rFonts w:ascii="宋体" w:cs="宋体" w:eastAsia="宋体" w:hAnsi="宋体" w:hint="eastAsia"/>
                <w:bCs/>
                <w:iCs/>
                <w:color w:val="000000"/>
                <w:szCs w:val="21"/>
              </w:rPr>
              <w:t>特定对象调研        □分析师会议</w:t>
            </w:r>
          </w:p>
          <w:p>
            <w:pPr>
              <w:pStyle w:val="style0"/>
              <w:spacing w:lineRule="auto" w:line="360"/>
              <w:rPr>
                <w:rFonts w:ascii="宋体" w:cs="宋体" w:eastAsia="宋体" w:hAnsi="宋体" w:hint="eastAsia"/>
                <w:bCs/>
                <w:iCs/>
                <w:color w:val="000000"/>
                <w:szCs w:val="21"/>
              </w:rPr>
            </w:pPr>
            <w:r>
              <w:rPr>
                <w:rFonts w:ascii="宋体" w:cs="宋体" w:eastAsia="宋体" w:hAnsi="宋体" w:hint="eastAsia"/>
                <w:bCs/>
                <w:iCs/>
                <w:color w:val="000000"/>
                <w:szCs w:val="21"/>
              </w:rPr>
              <w:t>□媒体采访            □业绩说明会          □新闻发布会</w:t>
            </w:r>
          </w:p>
          <w:p>
            <w:pPr>
              <w:pStyle w:val="style0"/>
              <w:spacing w:lineRule="auto" w:line="360"/>
              <w:rPr>
                <w:rFonts w:ascii="Times New Roman" w:cs="Times New Roman" w:hAnsi="Times New Roman" w:hint="default"/>
                <w:bCs/>
                <w:iCs/>
                <w:color w:val="000000"/>
                <w:szCs w:val="21"/>
              </w:rPr>
            </w:pPr>
            <w:r>
              <w:rPr>
                <w:rFonts w:ascii="宋体" w:cs="宋体" w:eastAsia="宋体" w:hAnsi="宋体" w:hint="eastAsia"/>
                <w:bCs/>
                <w:iCs/>
                <w:color w:val="000000"/>
                <w:szCs w:val="21"/>
              </w:rPr>
              <w:t>□路演活动            □现场参观            □其他</w:t>
            </w:r>
          </w:p>
        </w:tc>
      </w:tr>
      <w:tr>
        <w:tblPrEx/>
        <w:trPr>
          <w:trHeight w:val="1107" w:hRule="atLeast"/>
          <w:jc w:val="center"/>
        </w:trPr>
        <w:tc>
          <w:tcPr>
            <w:tcW w:w="1668" w:type="dxa"/>
            <w:tcBorders>
              <w:tl2br w:val="nil"/>
              <w:tr2bl w:val="nil"/>
            </w:tcBorders>
            <w:shd w:val="clear" w:color="auto" w:fill="ffffff"/>
            <w:tcMar>
              <w:top w:w="0" w:type="dxa"/>
              <w:left w:w="108" w:type="dxa"/>
              <w:bottom w:w="0" w:type="dxa"/>
              <w:right w:w="108" w:type="dxa"/>
            </w:tcMar>
            <w:vAlign w:val="center"/>
          </w:tcPr>
          <w:p>
            <w:pPr>
              <w:pStyle w:val="style0"/>
              <w:rPr>
                <w:rFonts w:ascii="Times New Roman" w:cs="Times New Roman" w:hAnsi="Times New Roman" w:hint="default"/>
                <w:b/>
                <w:bCs w:val="false"/>
                <w:iCs/>
                <w:color w:val="000000"/>
                <w:szCs w:val="21"/>
              </w:rPr>
            </w:pPr>
            <w:r>
              <w:rPr>
                <w:rFonts w:ascii="Times New Roman" w:cs="Times New Roman" w:hAnsi="Times New Roman" w:hint="default"/>
                <w:b/>
                <w:bCs w:val="false"/>
                <w:iCs/>
                <w:color w:val="000000"/>
                <w:szCs w:val="21"/>
              </w:rPr>
              <w:t>参与单位名称及人员</w:t>
            </w:r>
          </w:p>
        </w:tc>
        <w:tc>
          <w:tcPr>
            <w:tcW w:w="7793" w:type="dxa"/>
            <w:tcBorders>
              <w:tl2br w:val="nil"/>
              <w:tr2bl w:val="nil"/>
            </w:tcBorders>
            <w:shd w:val="clear" w:color="auto" w:fill="ffffff"/>
            <w:tcMar>
              <w:top w:w="0" w:type="dxa"/>
              <w:left w:w="108" w:type="dxa"/>
              <w:bottom w:w="0" w:type="dxa"/>
              <w:right w:w="108" w:type="dxa"/>
            </w:tcMar>
            <w:vAlign w:val="center"/>
          </w:tcPr>
          <w:p>
            <w:pPr>
              <w:pStyle w:val="style0"/>
              <w:spacing w:lineRule="auto" w:line="360"/>
              <w:rPr>
                <w:rFonts w:ascii="Times New Roman" w:cs="Times New Roman" w:hAnsi="Times New Roman" w:hint="default"/>
                <w:bCs/>
                <w:iCs/>
                <w:color w:val="000000"/>
                <w:szCs w:val="21"/>
              </w:rPr>
            </w:pPr>
            <w:r>
              <w:rPr>
                <w:rFonts w:ascii="Times New Roman" w:cs="Times New Roman" w:hAnsi="Times New Roman" w:hint="default"/>
                <w:bCs/>
                <w:iCs/>
                <w:color w:val="000000"/>
                <w:szCs w:val="21"/>
              </w:rPr>
              <w:t>广发证券发展研究中心 谢淑颖</w:t>
            </w:r>
          </w:p>
          <w:p>
            <w:pPr>
              <w:pStyle w:val="style0"/>
              <w:spacing w:lineRule="auto" w:line="360"/>
              <w:rPr>
                <w:rFonts w:ascii="Times New Roman" w:cs="Times New Roman" w:hAnsi="Times New Roman" w:hint="default"/>
                <w:bCs/>
                <w:iCs/>
                <w:color w:val="000000"/>
                <w:szCs w:val="21"/>
              </w:rPr>
            </w:pPr>
            <w:r>
              <w:rPr>
                <w:rFonts w:ascii="Times New Roman" w:cs="Times New Roman" w:hAnsi="Times New Roman" w:hint="default"/>
                <w:bCs/>
                <w:iCs/>
                <w:color w:val="000000"/>
                <w:szCs w:val="21"/>
              </w:rPr>
              <w:t>华美国际投资集团 何欢</w:t>
            </w:r>
          </w:p>
          <w:p>
            <w:pPr>
              <w:pStyle w:val="style0"/>
              <w:spacing w:lineRule="auto" w:line="360"/>
              <w:rPr>
                <w:rFonts w:ascii="Times New Roman" w:cs="Times New Roman" w:hAnsi="Times New Roman" w:hint="default"/>
                <w:bCs/>
                <w:iCs/>
                <w:color w:val="000000"/>
                <w:szCs w:val="21"/>
              </w:rPr>
            </w:pPr>
            <w:r>
              <w:rPr>
                <w:rFonts w:ascii="Times New Roman" w:cs="Times New Roman" w:hAnsi="Times New Roman" w:hint="default"/>
                <w:bCs/>
                <w:iCs/>
                <w:color w:val="000000"/>
                <w:szCs w:val="21"/>
              </w:rPr>
              <w:t>广州市玄元投资管理有限公司 张震宇</w:t>
            </w:r>
          </w:p>
          <w:p>
            <w:pPr>
              <w:pStyle w:val="style0"/>
              <w:spacing w:lineRule="auto" w:line="360"/>
              <w:rPr>
                <w:rFonts w:ascii="Times New Roman" w:cs="Times New Roman" w:hAnsi="Times New Roman" w:hint="default"/>
                <w:bCs/>
                <w:iCs/>
                <w:color w:val="000000"/>
                <w:szCs w:val="21"/>
              </w:rPr>
            </w:pPr>
            <w:r>
              <w:rPr>
                <w:rFonts w:ascii="Times New Roman" w:cs="Times New Roman" w:hAnsi="Times New Roman" w:hint="default"/>
                <w:bCs/>
                <w:iCs/>
                <w:color w:val="000000"/>
                <w:szCs w:val="21"/>
              </w:rPr>
              <w:t>广东竣弘投资管理有限责任公司 陈翔</w:t>
            </w:r>
          </w:p>
          <w:p>
            <w:pPr>
              <w:pStyle w:val="style0"/>
              <w:spacing w:lineRule="auto" w:line="360"/>
              <w:rPr>
                <w:rFonts w:ascii="Times New Roman" w:cs="Times New Roman" w:hAnsi="Times New Roman" w:hint="default"/>
                <w:bCs/>
                <w:iCs/>
                <w:color w:val="000000"/>
                <w:szCs w:val="21"/>
              </w:rPr>
            </w:pPr>
            <w:r>
              <w:rPr>
                <w:rFonts w:ascii="Times New Roman" w:cs="Times New Roman" w:hAnsi="Times New Roman" w:hint="default"/>
                <w:bCs/>
                <w:iCs/>
                <w:color w:val="000000"/>
                <w:szCs w:val="21"/>
              </w:rPr>
              <w:t>中融鼎（深圳）投资有限公司 吴函亮</w:t>
            </w:r>
          </w:p>
        </w:tc>
      </w:tr>
      <w:tr>
        <w:tblPrEx/>
        <w:trPr>
          <w:trHeight w:val="559" w:hRule="atLeast"/>
          <w:jc w:val="center"/>
        </w:trPr>
        <w:tc>
          <w:tcPr>
            <w:tcW w:w="1668" w:type="dxa"/>
            <w:tcBorders>
              <w:tl2br w:val="nil"/>
              <w:tr2bl w:val="nil"/>
            </w:tcBorders>
            <w:shd w:val="clear" w:color="auto" w:fill="ffffff"/>
            <w:tcMar>
              <w:top w:w="0" w:type="dxa"/>
              <w:left w:w="108" w:type="dxa"/>
              <w:bottom w:w="0" w:type="dxa"/>
              <w:right w:w="108" w:type="dxa"/>
            </w:tcMar>
            <w:vAlign w:val="center"/>
          </w:tcPr>
          <w:p>
            <w:pPr>
              <w:pStyle w:val="style0"/>
              <w:rPr>
                <w:rFonts w:ascii="Times New Roman" w:cs="Times New Roman" w:hAnsi="Times New Roman" w:hint="default"/>
                <w:b/>
                <w:bCs w:val="false"/>
                <w:iCs/>
                <w:color w:val="000000"/>
                <w:szCs w:val="21"/>
              </w:rPr>
            </w:pPr>
            <w:r>
              <w:rPr>
                <w:rFonts w:ascii="Times New Roman" w:cs="Times New Roman" w:hAnsi="Times New Roman" w:hint="default"/>
                <w:b/>
                <w:bCs w:val="false"/>
                <w:iCs/>
                <w:color w:val="000000"/>
                <w:szCs w:val="21"/>
              </w:rPr>
              <w:t>时间</w:t>
            </w:r>
          </w:p>
        </w:tc>
        <w:tc>
          <w:tcPr>
            <w:tcW w:w="7793" w:type="dxa"/>
            <w:tcBorders>
              <w:tl2br w:val="nil"/>
              <w:tr2bl w:val="nil"/>
            </w:tcBorders>
            <w:shd w:val="clear" w:color="auto" w:fill="ffffff"/>
            <w:tcMar>
              <w:top w:w="0" w:type="dxa"/>
              <w:left w:w="108" w:type="dxa"/>
              <w:bottom w:w="0" w:type="dxa"/>
              <w:right w:w="108" w:type="dxa"/>
            </w:tcMar>
            <w:vAlign w:val="center"/>
          </w:tcPr>
          <w:p>
            <w:pPr>
              <w:pStyle w:val="style0"/>
              <w:spacing w:lineRule="auto" w:line="360"/>
              <w:rPr>
                <w:rFonts w:ascii="Times New Roman" w:cs="Times New Roman" w:hAnsi="Times New Roman" w:hint="default"/>
                <w:bCs/>
                <w:iCs/>
                <w:color w:val="000000"/>
                <w:szCs w:val="21"/>
              </w:rPr>
            </w:pPr>
            <w:r>
              <w:rPr>
                <w:rFonts w:ascii="Times New Roman" w:cs="Times New Roman" w:hAnsi="Times New Roman" w:hint="default"/>
                <w:bCs/>
                <w:iCs/>
                <w:color w:val="000000"/>
                <w:szCs w:val="21"/>
              </w:rPr>
              <w:t>2020年9月4日（星期五）上午 10:30-11:30</w:t>
            </w:r>
          </w:p>
        </w:tc>
      </w:tr>
      <w:tr>
        <w:tblPrEx/>
        <w:trPr>
          <w:trHeight w:val="508" w:hRule="atLeast"/>
          <w:jc w:val="center"/>
        </w:trPr>
        <w:tc>
          <w:tcPr>
            <w:tcW w:w="1668" w:type="dxa"/>
            <w:tcBorders>
              <w:tl2br w:val="nil"/>
              <w:tr2bl w:val="nil"/>
            </w:tcBorders>
            <w:shd w:val="clear" w:color="auto" w:fill="ffffff"/>
            <w:tcMar>
              <w:top w:w="0" w:type="dxa"/>
              <w:left w:w="108" w:type="dxa"/>
              <w:bottom w:w="0" w:type="dxa"/>
              <w:right w:w="108" w:type="dxa"/>
            </w:tcMar>
            <w:vAlign w:val="center"/>
          </w:tcPr>
          <w:p>
            <w:pPr>
              <w:pStyle w:val="style0"/>
              <w:rPr>
                <w:rFonts w:ascii="Times New Roman" w:cs="Times New Roman" w:hAnsi="Times New Roman" w:hint="default"/>
                <w:b/>
                <w:bCs w:val="false"/>
                <w:iCs/>
                <w:color w:val="000000"/>
                <w:szCs w:val="21"/>
              </w:rPr>
            </w:pPr>
            <w:r>
              <w:rPr>
                <w:rFonts w:ascii="Times New Roman" w:cs="Times New Roman" w:hAnsi="Times New Roman" w:hint="default"/>
                <w:b/>
                <w:bCs w:val="false"/>
                <w:iCs/>
                <w:color w:val="000000"/>
                <w:szCs w:val="21"/>
              </w:rPr>
              <w:t>地点</w:t>
            </w:r>
          </w:p>
          <w:bookmarkStart w:id="0" w:name="OLE_LINK2"/>
          <w:bookmarkEnd w:id="0"/>
        </w:tc>
        <w:tc>
          <w:tcPr>
            <w:tcW w:w="7793" w:type="dxa"/>
            <w:tcBorders>
              <w:tl2br w:val="nil"/>
              <w:tr2bl w:val="nil"/>
            </w:tcBorders>
            <w:shd w:val="clear" w:color="auto" w:fill="ffffff"/>
            <w:tcMar>
              <w:top w:w="0" w:type="dxa"/>
              <w:left w:w="108" w:type="dxa"/>
              <w:bottom w:w="0" w:type="dxa"/>
              <w:right w:w="108" w:type="dxa"/>
            </w:tcMar>
            <w:vAlign w:val="center"/>
          </w:tcPr>
          <w:p>
            <w:pPr>
              <w:pStyle w:val="style0"/>
              <w:rPr>
                <w:rFonts w:ascii="Times New Roman" w:cs="Times New Roman" w:hAnsi="Times New Roman" w:hint="default"/>
                <w:bCs/>
                <w:iCs/>
                <w:color w:val="000000"/>
                <w:szCs w:val="21"/>
              </w:rPr>
            </w:pPr>
            <w:r>
              <w:rPr>
                <w:rFonts w:ascii="Times New Roman" w:cs="Times New Roman" w:hAnsi="Times New Roman" w:hint="default"/>
                <w:bCs/>
                <w:iCs/>
                <w:color w:val="000000"/>
                <w:szCs w:val="21"/>
              </w:rPr>
              <w:t>东莞市东城区伟丰路劲胜智能制造产业园行政办公楼6楼</w:t>
            </w:r>
          </w:p>
        </w:tc>
      </w:tr>
      <w:tr>
        <w:tblPrEx/>
        <w:trPr>
          <w:trHeight w:val="876" w:hRule="atLeast"/>
          <w:jc w:val="center"/>
        </w:trPr>
        <w:tc>
          <w:tcPr>
            <w:tcW w:w="1668" w:type="dxa"/>
            <w:tcBorders>
              <w:tl2br w:val="nil"/>
              <w:tr2bl w:val="nil"/>
            </w:tcBorders>
            <w:shd w:val="clear" w:color="auto" w:fill="ffffff"/>
            <w:tcMar>
              <w:top w:w="0" w:type="dxa"/>
              <w:left w:w="108" w:type="dxa"/>
              <w:bottom w:w="0" w:type="dxa"/>
              <w:right w:w="108" w:type="dxa"/>
            </w:tcMar>
            <w:vAlign w:val="center"/>
          </w:tcPr>
          <w:p>
            <w:pPr>
              <w:pStyle w:val="style0"/>
              <w:rPr>
                <w:rFonts w:ascii="Times New Roman" w:cs="Times New Roman" w:hAnsi="Times New Roman" w:hint="default"/>
                <w:b/>
                <w:bCs w:val="false"/>
                <w:iCs/>
                <w:color w:val="000000"/>
                <w:szCs w:val="21"/>
              </w:rPr>
            </w:pPr>
            <w:r>
              <w:rPr>
                <w:rFonts w:ascii="Times New Roman" w:cs="Times New Roman" w:hAnsi="Times New Roman" w:hint="default"/>
                <w:b/>
                <w:bCs w:val="false"/>
                <w:iCs/>
                <w:color w:val="000000"/>
                <w:szCs w:val="21"/>
              </w:rPr>
              <w:t>上市公司接待人员姓名</w:t>
            </w:r>
          </w:p>
        </w:tc>
        <w:tc>
          <w:tcPr>
            <w:tcW w:w="7793" w:type="dxa"/>
            <w:tcBorders>
              <w:tl2br w:val="nil"/>
              <w:tr2bl w:val="nil"/>
            </w:tcBorders>
            <w:shd w:val="clear" w:color="auto" w:fill="ffffff"/>
            <w:tcMar>
              <w:top w:w="0" w:type="dxa"/>
              <w:left w:w="108" w:type="dxa"/>
              <w:bottom w:w="0" w:type="dxa"/>
              <w:right w:w="108" w:type="dxa"/>
            </w:tcMar>
            <w:vAlign w:val="center"/>
          </w:tcPr>
          <w:p>
            <w:pPr>
              <w:pStyle w:val="style0"/>
              <w:spacing w:lineRule="auto" w:line="360"/>
              <w:rPr>
                <w:rFonts w:ascii="Times New Roman" w:cs="Times New Roman" w:hAnsi="Times New Roman" w:hint="default"/>
                <w:bCs/>
                <w:iCs/>
                <w:color w:val="000000"/>
                <w:szCs w:val="21"/>
              </w:rPr>
            </w:pPr>
            <w:r>
              <w:rPr>
                <w:rFonts w:ascii="Times New Roman" w:cs="Times New Roman" w:hAnsi="Times New Roman" w:hint="default"/>
                <w:bCs/>
                <w:iCs/>
                <w:color w:val="000000"/>
                <w:szCs w:val="21"/>
              </w:rPr>
              <w:t xml:space="preserve">副总经理、董事会秘书  黄博先生  </w:t>
            </w:r>
          </w:p>
        </w:tc>
      </w:tr>
      <w:tr>
        <w:tblPrEx/>
        <w:trPr>
          <w:trHeight w:val="557" w:hRule="atLeast"/>
          <w:jc w:val="center"/>
        </w:trPr>
        <w:tc>
          <w:tcPr>
            <w:tcW w:w="1668" w:type="dxa"/>
            <w:tcBorders>
              <w:tl2br w:val="nil"/>
              <w:tr2bl w:val="nil"/>
            </w:tcBorders>
            <w:shd w:val="clear" w:color="auto" w:fill="ffffff"/>
            <w:tcMar>
              <w:top w:w="0" w:type="dxa"/>
              <w:left w:w="108" w:type="dxa"/>
              <w:bottom w:w="0" w:type="dxa"/>
              <w:right w:w="108" w:type="dxa"/>
            </w:tcMar>
          </w:tcPr>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
                <w:bCs w:val="false"/>
                <w:iCs/>
                <w:color w:val="000000"/>
                <w:szCs w:val="21"/>
              </w:rPr>
            </w:pPr>
            <w:r>
              <w:rPr>
                <w:rFonts w:ascii="Times New Roman" w:cs="Times New Roman" w:hAnsi="Times New Roman" w:hint="default"/>
                <w:b/>
                <w:bCs w:val="false"/>
                <w:iCs/>
                <w:color w:val="000000"/>
                <w:szCs w:val="21"/>
              </w:rPr>
              <w:t>投资者关系活动主要内容介绍</w:t>
            </w: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
                <w:bCs w:val="false"/>
                <w:iCs/>
                <w:color w:val="000000"/>
                <w:szCs w:val="21"/>
              </w:rPr>
            </w:pPr>
            <w:r>
              <w:rPr>
                <w:rFonts w:ascii="Times New Roman" w:cs="Times New Roman" w:hAnsi="Times New Roman" w:hint="default"/>
                <w:b/>
                <w:bCs w:val="false"/>
                <w:iCs/>
                <w:color w:val="000000"/>
                <w:szCs w:val="21"/>
              </w:rPr>
              <w:t>投资者关系活动主要内容介绍</w:t>
            </w: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
                <w:bCs w:val="false"/>
                <w:iCs/>
                <w:color w:val="000000"/>
                <w:szCs w:val="21"/>
              </w:rPr>
            </w:pPr>
            <w:r>
              <w:rPr>
                <w:rFonts w:ascii="Times New Roman" w:cs="Times New Roman" w:hAnsi="Times New Roman" w:hint="default"/>
                <w:b/>
                <w:bCs w:val="false"/>
                <w:iCs/>
                <w:color w:val="000000"/>
                <w:szCs w:val="21"/>
              </w:rPr>
              <w:t>投资者关系活动主要内容介绍</w:t>
            </w: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Cs/>
                <w:iCs/>
                <w:color w:val="000000"/>
                <w:szCs w:val="21"/>
              </w:rPr>
            </w:pPr>
          </w:p>
          <w:p>
            <w:pPr>
              <w:pStyle w:val="style0"/>
              <w:rPr>
                <w:rFonts w:ascii="Times New Roman" w:cs="Times New Roman" w:hAnsi="Times New Roman" w:hint="default"/>
                <w:b/>
                <w:bCs w:val="false"/>
                <w:iCs/>
                <w:color w:val="000000"/>
                <w:szCs w:val="21"/>
              </w:rPr>
            </w:pPr>
            <w:r>
              <w:rPr>
                <w:rFonts w:ascii="Times New Roman" w:cs="Times New Roman" w:hAnsi="Times New Roman" w:hint="default"/>
                <w:b/>
                <w:bCs w:val="false"/>
                <w:iCs/>
                <w:color w:val="000000"/>
                <w:szCs w:val="21"/>
              </w:rPr>
              <w:t>投资者关系活动主要内容介绍</w:t>
            </w:r>
          </w:p>
          <w:p>
            <w:pPr>
              <w:pStyle w:val="style0"/>
              <w:rPr>
                <w:rFonts w:ascii="Times New Roman" w:cs="Times New Roman" w:hAnsi="Times New Roman" w:hint="default"/>
                <w:bCs/>
                <w:iCs/>
                <w:color w:val="000000"/>
                <w:szCs w:val="21"/>
              </w:rPr>
            </w:pPr>
          </w:p>
        </w:tc>
        <w:tc>
          <w:tcPr>
            <w:tcW w:w="7793" w:type="dxa"/>
            <w:tcBorders>
              <w:tl2br w:val="nil"/>
              <w:tr2bl w:val="nil"/>
            </w:tcBorders>
            <w:shd w:val="clear" w:color="auto" w:fill="ffffff"/>
            <w:tcMar>
              <w:top w:w="0" w:type="dxa"/>
              <w:left w:w="108" w:type="dxa"/>
              <w:bottom w:w="0" w:type="dxa"/>
              <w:right w:w="108" w:type="dxa"/>
            </w:tcMar>
          </w:tcPr>
          <w:p>
            <w:pPr>
              <w:pStyle w:val="style0"/>
              <w:spacing w:lineRule="auto" w:line="360"/>
              <w:ind w:firstLine="422" w:firstLineChars="200"/>
              <w:rPr>
                <w:rFonts w:ascii="Times New Roman" w:cs="Times New Roman" w:hAnsi="Times New Roman" w:hint="default"/>
                <w:b/>
                <w:bCs/>
                <w:iCs/>
                <w:color w:val="000000"/>
                <w:szCs w:val="21"/>
              </w:rPr>
            </w:pPr>
            <w:r>
              <w:rPr>
                <w:rFonts w:ascii="Times New Roman" w:cs="Times New Roman" w:hAnsi="Times New Roman" w:hint="default"/>
                <w:b/>
                <w:bCs/>
                <w:iCs/>
                <w:color w:val="000000"/>
                <w:szCs w:val="21"/>
              </w:rPr>
              <w:t>公司2020年度上半年基本情况介绍：</w:t>
            </w:r>
          </w:p>
          <w:p>
            <w:pPr>
              <w:pStyle w:val="style0"/>
              <w:spacing w:lineRule="auto" w:line="360"/>
              <w:ind w:firstLine="422" w:firstLineChars="200"/>
              <w:rPr>
                <w:rFonts w:ascii="Times New Roman" w:cs="Times New Roman" w:hAnsi="Times New Roman" w:hint="default"/>
                <w:iCs/>
                <w:color w:val="000000"/>
                <w:szCs w:val="21"/>
              </w:rPr>
            </w:pPr>
            <w:r>
              <w:rPr>
                <w:rFonts w:ascii="Times New Roman" w:cs="Times New Roman" w:hAnsi="Times New Roman" w:hint="default"/>
                <w:b/>
                <w:bCs/>
                <w:iCs/>
                <w:color w:val="000000"/>
                <w:szCs w:val="21"/>
              </w:rPr>
              <w:t>创世纪：</w:t>
            </w:r>
            <w:r>
              <w:rPr>
                <w:rFonts w:ascii="Times New Roman" w:cs="Times New Roman" w:hAnsi="Times New Roman" w:hint="default"/>
                <w:iCs/>
                <w:color w:val="000000"/>
                <w:szCs w:val="21"/>
              </w:rPr>
              <w:t>2020年上半年，公司共实现营业收入15.47亿元，其中，高端智能装备业务实现营业收入12.71亿元，占比为82.12%；精密结构件业务实现营业收入2.45亿元，占比为15.86%，收入规模及占比均大幅度下降。公司共实现归属于上市公司股东的净利润1.4亿元，同比增长928.40%，主要是公司高端智能装备业务发展情况良好</w:t>
            </w:r>
            <w:r>
              <w:rPr>
                <w:rFonts w:ascii="Times New Roman" w:cs="Times New Roman" w:hAnsi="Times New Roman" w:hint="eastAsia"/>
                <w:iCs/>
                <w:color w:val="000000"/>
                <w:szCs w:val="21"/>
                <w:lang w:eastAsia="zh-CN"/>
              </w:rPr>
              <w:t>；</w:t>
            </w:r>
            <w:r>
              <w:rPr>
                <w:rFonts w:ascii="Times New Roman" w:cs="Times New Roman" w:hAnsi="Times New Roman" w:hint="default"/>
                <w:iCs/>
                <w:color w:val="000000"/>
                <w:szCs w:val="21"/>
              </w:rPr>
              <w:t>精密结构件业务整合效果显著，经营性亏损同比大幅度收窄所致。</w:t>
            </w:r>
          </w:p>
          <w:p>
            <w:pPr>
              <w:pStyle w:val="style0"/>
              <w:spacing w:lineRule="auto" w:line="360"/>
              <w:ind w:firstLine="420" w:firstLineChars="200"/>
              <w:rPr>
                <w:rFonts w:ascii="Times New Roman" w:cs="Times New Roman" w:hAnsi="Times New Roman" w:hint="default"/>
                <w:iCs/>
                <w:color w:val="000000"/>
                <w:szCs w:val="21"/>
              </w:rPr>
            </w:pPr>
            <w:r>
              <w:rPr>
                <w:rFonts w:ascii="Times New Roman" w:cs="Times New Roman" w:hAnsi="Times New Roman" w:hint="default"/>
                <w:iCs/>
                <w:color w:val="000000"/>
                <w:szCs w:val="21"/>
              </w:rPr>
              <w:t>2020年上半年，公司高端智能装备业务3C系列产品出货3,374台，占比49.41%；5G类系列产品出货2,970台，占比43.50%，其中，立式加工中心（V系列）出货1,600台，占比23.43%</w:t>
            </w:r>
            <w:r>
              <w:rPr>
                <w:rFonts w:ascii="Times New Roman" w:cs="Times New Roman" w:hAnsi="Times New Roman" w:hint="eastAsia"/>
                <w:iCs/>
                <w:color w:val="000000"/>
                <w:szCs w:val="21"/>
                <w:lang w:eastAsia="zh-CN"/>
              </w:rPr>
              <w:t>；</w:t>
            </w:r>
            <w:r>
              <w:rPr>
                <w:rFonts w:ascii="Times New Roman" w:cs="Times New Roman" w:hAnsi="Times New Roman" w:hint="default"/>
                <w:iCs/>
                <w:color w:val="000000"/>
                <w:szCs w:val="21"/>
              </w:rPr>
              <w:t>玻璃精雕机系列出货1,370台，占比20.06%；其他系列产品出货484台，占比7.09%。</w:t>
            </w:r>
          </w:p>
          <w:p>
            <w:pPr>
              <w:pStyle w:val="style0"/>
              <w:spacing w:lineRule="auto" w:line="360"/>
              <w:ind w:firstLine="420" w:firstLineChars="200"/>
              <w:rPr>
                <w:rFonts w:ascii="Times New Roman" w:cs="Times New Roman" w:hAnsi="Times New Roman" w:hint="default"/>
                <w:iCs/>
                <w:color w:val="000000"/>
                <w:szCs w:val="21"/>
              </w:rPr>
            </w:pPr>
            <w:r>
              <w:rPr>
                <w:rFonts w:ascii="Times New Roman" w:cs="Times New Roman" w:hAnsi="Times New Roman" w:hint="default"/>
                <w:iCs/>
                <w:color w:val="000000"/>
                <w:szCs w:val="21"/>
              </w:rPr>
              <w:t>公司2020年上半年其他经营成果数据请详见公司《2020年半年度报告》（以下简称“半年报”）。</w:t>
            </w:r>
          </w:p>
          <w:p>
            <w:pPr>
              <w:pStyle w:val="style0"/>
              <w:spacing w:lineRule="auto" w:line="360"/>
              <w:ind w:firstLine="420" w:firstLineChars="200"/>
              <w:rPr>
                <w:rFonts w:ascii="Times New Roman" w:cs="Times New Roman" w:hAnsi="Times New Roman" w:hint="default"/>
                <w:iCs/>
                <w:color w:val="000000"/>
                <w:szCs w:val="21"/>
              </w:rPr>
            </w:pPr>
            <w:r>
              <w:rPr>
                <w:rFonts w:ascii="Times New Roman" w:cs="Times New Roman" w:hAnsi="Times New Roman" w:hint="default"/>
                <w:iCs/>
                <w:color w:val="000000"/>
                <w:szCs w:val="21"/>
              </w:rPr>
              <w:t>另外，公司精密结构件业务剥离工作</w:t>
            </w:r>
            <w:r>
              <w:rPr>
                <w:rFonts w:ascii="Times New Roman" w:cs="Times New Roman" w:hAnsi="Times New Roman" w:hint="eastAsia"/>
                <w:iCs/>
                <w:color w:val="000000"/>
                <w:szCs w:val="21"/>
                <w:lang w:eastAsia="zh-CN"/>
              </w:rPr>
              <w:t>持续</w:t>
            </w:r>
            <w:r>
              <w:rPr>
                <w:rFonts w:ascii="Times New Roman" w:cs="Times New Roman" w:hAnsi="Times New Roman" w:hint="default"/>
                <w:iCs/>
                <w:color w:val="000000"/>
                <w:szCs w:val="21"/>
              </w:rPr>
              <w:t>稳步推进，将力争在年底之前收尾。公司非公开发行项目在半年报披露前已向深圳证券交易所递交申报材料，目前正等待深圳证券交易所受理及后续审核。</w:t>
            </w:r>
          </w:p>
          <w:p>
            <w:pPr>
              <w:pStyle w:val="style0"/>
              <w:spacing w:lineRule="auto" w:line="360"/>
              <w:ind w:firstLine="422" w:firstLineChars="200"/>
              <w:rPr>
                <w:rFonts w:ascii="Times New Roman" w:cs="Times New Roman" w:hAnsi="Times New Roman" w:hint="default"/>
                <w:iCs/>
                <w:color w:val="000000"/>
                <w:szCs w:val="21"/>
              </w:rPr>
            </w:pPr>
            <w:r>
              <w:rPr>
                <w:rFonts w:ascii="Times New Roman" w:cs="Times New Roman" w:hAnsi="Times New Roman" w:hint="default"/>
                <w:b/>
                <w:bCs/>
                <w:iCs/>
                <w:color w:val="000000"/>
                <w:szCs w:val="21"/>
              </w:rPr>
              <w:t>调研机构：</w:t>
            </w:r>
            <w:r>
              <w:rPr>
                <w:rFonts w:ascii="Times New Roman" w:cs="Times New Roman" w:hAnsi="Times New Roman" w:hint="default"/>
                <w:iCs/>
                <w:color w:val="000000"/>
                <w:szCs w:val="21"/>
              </w:rPr>
              <w:t>精密结构件业务剥离，相关固定资产如何整合剥离？</w:t>
            </w:r>
          </w:p>
          <w:p>
            <w:pPr>
              <w:pStyle w:val="style0"/>
              <w:spacing w:lineRule="auto" w:line="360"/>
              <w:ind w:firstLine="422" w:firstLineChars="200"/>
              <w:rPr>
                <w:rFonts w:ascii="Times New Roman" w:cs="Times New Roman" w:hAnsi="Times New Roman" w:hint="default"/>
                <w:iCs/>
                <w:color w:val="000000"/>
                <w:szCs w:val="21"/>
              </w:rPr>
            </w:pPr>
            <w:r>
              <w:rPr>
                <w:rFonts w:ascii="Times New Roman" w:cs="Times New Roman" w:hAnsi="Times New Roman" w:hint="default"/>
                <w:b/>
                <w:bCs/>
                <w:iCs/>
                <w:color w:val="000000"/>
                <w:szCs w:val="21"/>
              </w:rPr>
              <w:t>创世纪：</w:t>
            </w:r>
            <w:r>
              <w:rPr>
                <w:rFonts w:ascii="Times New Roman" w:cs="Times New Roman" w:hAnsi="Times New Roman" w:hint="default"/>
                <w:iCs/>
                <w:color w:val="000000"/>
                <w:szCs w:val="21"/>
              </w:rPr>
              <w:t>公司精密结构件业务相关固定资产，有三种整合方式：以非现金资产出资形式对外投资、对外出租、对外出售。</w:t>
            </w:r>
          </w:p>
          <w:p>
            <w:pPr>
              <w:pStyle w:val="style0"/>
              <w:spacing w:lineRule="auto" w:line="360"/>
              <w:ind w:firstLine="422" w:firstLineChars="200"/>
              <w:rPr>
                <w:rFonts w:ascii="Times New Roman" w:cs="Times New Roman" w:hAnsi="Times New Roman" w:hint="default"/>
                <w:iCs/>
                <w:color w:val="000000"/>
                <w:szCs w:val="21"/>
              </w:rPr>
            </w:pPr>
            <w:r>
              <w:rPr>
                <w:rFonts w:ascii="Times New Roman" w:cs="Times New Roman" w:hAnsi="Times New Roman" w:hint="default"/>
                <w:b/>
                <w:bCs/>
                <w:iCs/>
                <w:color w:val="000000"/>
                <w:szCs w:val="21"/>
              </w:rPr>
              <w:t>调研机构：</w:t>
            </w:r>
            <w:r>
              <w:rPr>
                <w:rFonts w:ascii="Times New Roman" w:cs="Times New Roman" w:hAnsi="Times New Roman" w:hint="default"/>
                <w:iCs/>
                <w:color w:val="000000"/>
                <w:szCs w:val="21"/>
              </w:rPr>
              <w:t>高端智能装备业务目前在手订单情况如何？</w:t>
            </w:r>
          </w:p>
          <w:p>
            <w:pPr>
              <w:pStyle w:val="style0"/>
              <w:spacing w:lineRule="auto" w:line="360"/>
              <w:ind w:firstLine="422" w:firstLineChars="200"/>
              <w:rPr>
                <w:rFonts w:ascii="Times New Roman" w:cs="Times New Roman" w:hAnsi="Times New Roman" w:hint="default"/>
                <w:iCs/>
                <w:color w:val="000000"/>
                <w:szCs w:val="21"/>
              </w:rPr>
            </w:pPr>
            <w:r>
              <w:rPr>
                <w:rFonts w:ascii="Times New Roman" w:cs="Times New Roman" w:hAnsi="Times New Roman" w:hint="default"/>
                <w:b/>
                <w:bCs/>
                <w:iCs/>
                <w:color w:val="000000"/>
                <w:szCs w:val="21"/>
              </w:rPr>
              <w:t>创世纪：</w:t>
            </w:r>
            <w:r>
              <w:rPr>
                <w:rFonts w:ascii="Times New Roman" w:cs="Times New Roman" w:hAnsi="Times New Roman" w:hint="default"/>
                <w:iCs/>
                <w:color w:val="000000"/>
                <w:szCs w:val="21"/>
              </w:rPr>
              <w:t>公司高端智能装备业务目前订单充足，其中，高速钻铣攻牙加工中心系列（以下简称“钻攻机”）订单量较大。立式加工中心（V系列）产品季节波动性不明显，上半年</w:t>
            </w:r>
            <w:r>
              <w:rPr>
                <w:rFonts w:ascii="Times New Roman" w:cs="Times New Roman" w:hAnsi="Times New Roman" w:hint="default"/>
                <w:iCs/>
                <w:color w:val="000000"/>
                <w:szCs w:val="21"/>
                <w:lang w:eastAsia="zh-CN"/>
              </w:rPr>
              <w:t>出货</w:t>
            </w:r>
            <w:r>
              <w:rPr>
                <w:rFonts w:ascii="Times New Roman" w:cs="Times New Roman" w:hAnsi="Times New Roman" w:hint="default"/>
                <w:iCs/>
                <w:color w:val="000000"/>
                <w:szCs w:val="21"/>
              </w:rPr>
              <w:t>1600台，其中，一季度因受疫情影响，订单量较少；二季度订单较多，预计未来订单量将逐渐平稳。</w:t>
            </w:r>
          </w:p>
          <w:p>
            <w:pPr>
              <w:pStyle w:val="style0"/>
              <w:spacing w:lineRule="auto" w:line="360"/>
              <w:ind w:firstLine="420"/>
              <w:rPr>
                <w:rFonts w:ascii="Times New Roman" w:cs="Times New Roman" w:hAnsi="Times New Roman" w:hint="default"/>
              </w:rPr>
            </w:pPr>
            <w:r>
              <w:rPr>
                <w:rFonts w:ascii="Times New Roman" w:cs="Times New Roman" w:hAnsi="Times New Roman" w:hint="default"/>
                <w:b/>
                <w:color w:val="000000"/>
                <w:szCs w:val="21"/>
              </w:rPr>
              <w:t>调研机构：</w:t>
            </w:r>
            <w:r>
              <w:rPr>
                <w:rFonts w:ascii="Times New Roman" w:cs="Times New Roman" w:hAnsi="Times New Roman" w:hint="default"/>
                <w:color w:val="000000"/>
                <w:szCs w:val="21"/>
              </w:rPr>
              <w:t>目前钻攻机销量主要是来源于市场新增需求，未来销量将主要来源于增量市场还是存量市场的产品置换？</w:t>
            </w:r>
          </w:p>
          <w:p>
            <w:pPr>
              <w:pStyle w:val="style0"/>
              <w:spacing w:lineRule="auto" w:line="360"/>
              <w:ind w:firstLine="420"/>
              <w:rPr>
                <w:rFonts w:ascii="Times New Roman" w:cs="Times New Roman" w:hAnsi="Times New Roman" w:hint="default"/>
                <w:iCs/>
                <w:color w:val="000000"/>
                <w:szCs w:val="21"/>
              </w:rPr>
            </w:pPr>
            <w:r>
              <w:rPr>
                <w:rFonts w:ascii="Times New Roman" w:cs="Times New Roman" w:hAnsi="Times New Roman" w:hint="default"/>
                <w:b/>
                <w:color w:val="000000"/>
                <w:szCs w:val="21"/>
              </w:rPr>
              <w:t>创世纪：</w:t>
            </w:r>
            <w:r>
              <w:rPr>
                <w:rFonts w:ascii="Times New Roman" w:cs="Times New Roman" w:hAnsi="Times New Roman" w:hint="default"/>
                <w:color w:val="000000"/>
                <w:szCs w:val="21"/>
              </w:rPr>
              <w:t>目前钻攻机销量主要是来源于新增市场，预计未来产品销售市场将是增量市场和存量市场置换并行的局面。</w:t>
            </w:r>
          </w:p>
          <w:p>
            <w:pPr>
              <w:pStyle w:val="style0"/>
              <w:spacing w:lineRule="auto" w:line="360"/>
              <w:ind w:firstLine="422" w:firstLineChars="200"/>
              <w:rPr>
                <w:rFonts w:ascii="Times New Roman" w:cs="Times New Roman" w:hAnsi="Times New Roman" w:hint="default"/>
                <w:iCs/>
                <w:color w:val="000000"/>
                <w:szCs w:val="21"/>
              </w:rPr>
            </w:pPr>
            <w:r>
              <w:rPr>
                <w:rFonts w:ascii="Times New Roman" w:cs="Times New Roman" w:hAnsi="Times New Roman" w:hint="default"/>
                <w:b/>
                <w:bCs/>
                <w:iCs/>
                <w:color w:val="000000"/>
                <w:szCs w:val="21"/>
              </w:rPr>
              <w:t>调研机构：</w:t>
            </w:r>
            <w:r>
              <w:rPr>
                <w:rFonts w:ascii="Times New Roman" w:cs="Times New Roman" w:hAnsi="Times New Roman" w:hint="default"/>
                <w:iCs/>
                <w:color w:val="000000"/>
                <w:szCs w:val="21"/>
              </w:rPr>
              <w:t>5G基站投资建设速度放缓，对公司是否有影响？</w:t>
            </w:r>
          </w:p>
          <w:p>
            <w:pPr>
              <w:pStyle w:val="style0"/>
              <w:spacing w:lineRule="auto" w:line="360"/>
              <w:ind w:firstLine="422" w:firstLineChars="200"/>
              <w:rPr>
                <w:rFonts w:ascii="Times New Roman" w:cs="Times New Roman" w:hAnsi="Times New Roman" w:hint="default"/>
                <w:iCs/>
                <w:color w:val="000000"/>
                <w:szCs w:val="21"/>
              </w:rPr>
            </w:pPr>
            <w:r>
              <w:rPr>
                <w:rFonts w:ascii="Times New Roman" w:cs="Times New Roman" w:hAnsi="Times New Roman" w:hint="default"/>
                <w:b/>
                <w:bCs/>
                <w:iCs/>
                <w:color w:val="000000"/>
                <w:szCs w:val="21"/>
              </w:rPr>
              <w:t>创世纪：</w:t>
            </w:r>
            <w:r>
              <w:rPr>
                <w:rFonts w:ascii="Times New Roman" w:cs="Times New Roman" w:hAnsi="Times New Roman" w:hint="default"/>
                <w:iCs/>
                <w:color w:val="000000"/>
                <w:szCs w:val="21"/>
              </w:rPr>
              <w:t>公司通用机产品（如，V系列产品）虽然切入点是5G产业链，但是产品可以广泛运用到</w:t>
            </w:r>
            <w:r>
              <w:rPr>
                <w:rFonts w:ascii="Times New Roman" w:cs="Times New Roman" w:hAnsi="Times New Roman" w:hint="default"/>
                <w:color w:val="000000"/>
              </w:rPr>
              <w:t>汽车、自动化设备、医疗器械、航空航天、轨道交通等行业的精密部件加工领域。</w:t>
            </w:r>
            <w:r>
              <w:rPr>
                <w:rFonts w:ascii="Times New Roman" w:cs="Times New Roman" w:hAnsi="Times New Roman" w:hint="default"/>
                <w:iCs/>
                <w:color w:val="000000"/>
                <w:szCs w:val="21"/>
              </w:rPr>
              <w:t>5G基站投资建设速度放慢对公司无重大影响。</w:t>
            </w:r>
          </w:p>
          <w:p>
            <w:pPr>
              <w:pStyle w:val="style0"/>
              <w:spacing w:lineRule="auto" w:line="360"/>
              <w:ind w:firstLine="422" w:firstLineChars="200"/>
              <w:rPr>
                <w:rFonts w:ascii="Times New Roman" w:cs="Times New Roman" w:hAnsi="Times New Roman" w:hint="default"/>
                <w:iCs/>
                <w:color w:val="000000"/>
                <w:szCs w:val="21"/>
              </w:rPr>
            </w:pPr>
            <w:r>
              <w:rPr>
                <w:rFonts w:ascii="Times New Roman" w:cs="Times New Roman" w:hAnsi="Times New Roman" w:hint="default"/>
                <w:b/>
                <w:bCs/>
                <w:iCs/>
                <w:color w:val="000000"/>
                <w:szCs w:val="21"/>
              </w:rPr>
              <w:t>调研机构：</w:t>
            </w:r>
            <w:r>
              <w:rPr>
                <w:rFonts w:ascii="Times New Roman" w:cs="Times New Roman" w:hAnsi="Times New Roman" w:hint="default"/>
                <w:iCs/>
                <w:color w:val="000000"/>
                <w:szCs w:val="21"/>
              </w:rPr>
              <w:t>半年报数据显示，公司上半年净利润1.4亿，子公司深圳市创世纪机械有限公司（以下简称“深圳创世纪”）实现净利润2.05亿，其中差额6,000万左右是否是精密结构件业务亏损导致？</w:t>
            </w:r>
          </w:p>
          <w:p>
            <w:pPr>
              <w:pStyle w:val="style0"/>
              <w:spacing w:lineRule="auto" w:line="360"/>
              <w:ind w:firstLine="422" w:firstLineChars="200"/>
              <w:rPr>
                <w:rFonts w:ascii="Times New Roman" w:cs="Times New Roman" w:hAnsi="Times New Roman" w:hint="default"/>
                <w:iCs/>
                <w:color w:val="000000"/>
                <w:szCs w:val="21"/>
              </w:rPr>
            </w:pPr>
            <w:r>
              <w:rPr>
                <w:rFonts w:ascii="Times New Roman" w:cs="Times New Roman" w:hAnsi="Times New Roman" w:hint="default"/>
                <w:b/>
                <w:bCs/>
                <w:iCs/>
                <w:color w:val="000000"/>
                <w:szCs w:val="21"/>
              </w:rPr>
              <w:t>创世纪：</w:t>
            </w:r>
            <w:r>
              <w:rPr>
                <w:rFonts w:ascii="Times New Roman" w:cs="Times New Roman" w:hAnsi="Times New Roman" w:hint="default"/>
                <w:iCs/>
                <w:color w:val="000000"/>
                <w:szCs w:val="21"/>
              </w:rPr>
              <w:t>公司精密结构件业务剥离过程中产生了部分非经常性收益，实际该业务分部的</w:t>
            </w:r>
            <w:r>
              <w:rPr>
                <w:rFonts w:ascii="Times New Roman" w:cs="Times New Roman" w:hAnsi="Times New Roman" w:hint="eastAsia"/>
                <w:iCs/>
                <w:color w:val="000000"/>
                <w:szCs w:val="21"/>
                <w:lang w:eastAsia="zh-CN"/>
              </w:rPr>
              <w:t>经营性</w:t>
            </w:r>
            <w:r>
              <w:rPr>
                <w:rFonts w:ascii="Times New Roman" w:cs="Times New Roman" w:hAnsi="Times New Roman" w:hint="default"/>
                <w:iCs/>
                <w:color w:val="000000"/>
                <w:szCs w:val="21"/>
              </w:rPr>
              <w:t>亏损金额</w:t>
            </w:r>
            <w:r>
              <w:rPr>
                <w:rFonts w:ascii="Times New Roman" w:cs="Times New Roman" w:hAnsi="Times New Roman" w:hint="default"/>
                <w:bCs/>
                <w:iCs/>
                <w:color w:val="000000"/>
                <w:szCs w:val="21"/>
              </w:rPr>
              <w:t>高于6,000万。</w:t>
            </w:r>
          </w:p>
          <w:p>
            <w:pPr>
              <w:pStyle w:val="style0"/>
              <w:spacing w:lineRule="auto" w:line="360"/>
              <w:ind w:firstLine="420"/>
              <w:rPr>
                <w:rFonts w:ascii="Times New Roman" w:cs="Times New Roman" w:hAnsi="Times New Roman" w:hint="default"/>
                <w:iCs/>
                <w:color w:val="000000"/>
                <w:szCs w:val="21"/>
              </w:rPr>
            </w:pPr>
            <w:r>
              <w:rPr>
                <w:rFonts w:ascii="Times New Roman" w:cs="Times New Roman" w:hAnsi="Times New Roman" w:hint="default"/>
                <w:b/>
                <w:bCs/>
                <w:iCs/>
                <w:color w:val="000000"/>
                <w:szCs w:val="21"/>
              </w:rPr>
              <w:t>调研机构：</w:t>
            </w:r>
            <w:r>
              <w:rPr>
                <w:rFonts w:ascii="Times New Roman" w:cs="Times New Roman" w:hAnsi="Times New Roman" w:hint="default"/>
                <w:iCs/>
                <w:color w:val="000000"/>
                <w:szCs w:val="21"/>
              </w:rPr>
              <w:t>苏州市台群机械有限公司（以下简称“苏州台群”）上半年销售的产品，是苏州台群生产基地自产的还是从深圳创世纪调货过去销售的？</w:t>
            </w:r>
          </w:p>
          <w:p>
            <w:pPr>
              <w:pStyle w:val="style0"/>
              <w:spacing w:lineRule="auto" w:line="360"/>
              <w:ind w:firstLine="420"/>
              <w:rPr>
                <w:rFonts w:ascii="Times New Roman" w:cs="Times New Roman" w:hAnsi="Times New Roman" w:hint="default"/>
                <w:iCs/>
                <w:color w:val="000000"/>
                <w:szCs w:val="21"/>
              </w:rPr>
            </w:pPr>
            <w:r>
              <w:rPr>
                <w:rFonts w:ascii="Times New Roman" w:cs="Times New Roman" w:hAnsi="Times New Roman" w:hint="default"/>
                <w:b/>
                <w:bCs/>
                <w:iCs/>
                <w:color w:val="000000"/>
                <w:szCs w:val="21"/>
              </w:rPr>
              <w:t>创世纪：</w:t>
            </w:r>
            <w:r>
              <w:rPr>
                <w:rFonts w:ascii="Times New Roman" w:cs="Times New Roman" w:hAnsi="Times New Roman" w:hint="default"/>
                <w:iCs/>
                <w:color w:val="000000"/>
                <w:szCs w:val="21"/>
              </w:rPr>
              <w:t>主要来自于苏州台群生产基地自产。</w:t>
            </w:r>
          </w:p>
          <w:p>
            <w:pPr>
              <w:pStyle w:val="style0"/>
              <w:spacing w:lineRule="auto" w:line="360"/>
              <w:ind w:firstLine="422" w:firstLineChars="200"/>
              <w:jc w:val="left"/>
              <w:rPr>
                <w:rFonts w:ascii="Times New Roman" w:cs="Times New Roman" w:hAnsi="Times New Roman" w:hint="default"/>
                <w:b/>
                <w:bCs/>
                <w:iCs/>
                <w:color w:val="000000"/>
                <w:szCs w:val="21"/>
              </w:rPr>
            </w:pPr>
            <w:r>
              <w:rPr>
                <w:rFonts w:ascii="Times New Roman" w:cs="Times New Roman" w:hAnsi="Times New Roman" w:hint="default"/>
                <w:b/>
                <w:bCs/>
                <w:iCs/>
                <w:color w:val="000000"/>
                <w:szCs w:val="21"/>
              </w:rPr>
              <w:t>调研机构：</w:t>
            </w:r>
            <w:r>
              <w:rPr>
                <w:rFonts w:ascii="Times New Roman" w:cs="Times New Roman" w:hAnsi="Times New Roman" w:hint="default"/>
                <w:bCs/>
                <w:iCs/>
                <w:color w:val="000000"/>
                <w:szCs w:val="21"/>
              </w:rPr>
              <w:t>公司目前三大生产基地产能分布情况？</w:t>
            </w:r>
          </w:p>
          <w:p>
            <w:pPr>
              <w:pStyle w:val="style0"/>
              <w:spacing w:lineRule="auto" w:line="360"/>
              <w:ind w:firstLine="422" w:firstLineChars="200"/>
              <w:rPr>
                <w:rFonts w:ascii="Times New Roman" w:cs="Times New Roman" w:hAnsi="Times New Roman" w:hint="default"/>
                <w:bCs/>
                <w:iCs/>
                <w:color w:val="000000"/>
                <w:szCs w:val="21"/>
              </w:rPr>
            </w:pPr>
            <w:r>
              <w:rPr>
                <w:rFonts w:ascii="Times New Roman" w:cs="Times New Roman" w:hAnsi="Times New Roman" w:hint="default"/>
                <w:b/>
                <w:bCs/>
                <w:iCs/>
                <w:color w:val="000000"/>
                <w:szCs w:val="21"/>
              </w:rPr>
              <w:t>创世纪：</w:t>
            </w:r>
            <w:r>
              <w:rPr>
                <w:rFonts w:ascii="Times New Roman" w:cs="Times New Roman" w:hAnsi="Times New Roman" w:hint="default"/>
                <w:bCs/>
                <w:iCs/>
                <w:color w:val="000000"/>
                <w:szCs w:val="21"/>
              </w:rPr>
              <w:t>深圳生产基地约占60%的总产能，苏州和宜宾基地合计占40%的总产能，目前各个生产基地基本都处于满负荷生产状态。</w:t>
            </w:r>
          </w:p>
          <w:p>
            <w:pPr>
              <w:pStyle w:val="style0"/>
              <w:spacing w:lineRule="auto" w:line="324"/>
              <w:ind w:firstLine="422" w:firstLineChars="200"/>
              <w:jc w:val="left"/>
              <w:rPr>
                <w:rFonts w:ascii="Times New Roman" w:cs="Times New Roman" w:hAnsi="Times New Roman" w:hint="default"/>
                <w:bCs/>
                <w:iCs/>
                <w:color w:val="000000"/>
                <w:szCs w:val="21"/>
              </w:rPr>
            </w:pPr>
            <w:r>
              <w:rPr>
                <w:rFonts w:ascii="Times New Roman" w:cs="Times New Roman" w:hAnsi="Times New Roman" w:hint="default"/>
                <w:b/>
                <w:bCs/>
                <w:iCs/>
                <w:color w:val="000000"/>
                <w:szCs w:val="21"/>
              </w:rPr>
              <w:t>调研机构：</w:t>
            </w:r>
            <w:r>
              <w:rPr>
                <w:rFonts w:ascii="Times New Roman" w:cs="Times New Roman" w:hAnsi="Times New Roman" w:hint="default"/>
                <w:bCs/>
                <w:iCs/>
                <w:color w:val="000000"/>
                <w:szCs w:val="21"/>
              </w:rPr>
              <w:t>宜宾产业基地的建设进展情况如何？</w:t>
            </w:r>
          </w:p>
          <w:p>
            <w:pPr>
              <w:pStyle w:val="style0"/>
              <w:spacing w:lineRule="auto" w:line="324"/>
              <w:ind w:firstLine="422" w:firstLineChars="200"/>
              <w:jc w:val="left"/>
              <w:rPr>
                <w:rFonts w:ascii="Times New Roman" w:cs="Times New Roman" w:hAnsi="Times New Roman" w:hint="default"/>
                <w:bCs/>
                <w:iCs/>
                <w:color w:val="000000"/>
                <w:szCs w:val="21"/>
              </w:rPr>
            </w:pPr>
            <w:r>
              <w:rPr>
                <w:rFonts w:ascii="Times New Roman" w:cs="Times New Roman" w:hAnsi="Times New Roman" w:hint="default"/>
                <w:b/>
                <w:bCs/>
                <w:iCs/>
                <w:color w:val="000000"/>
                <w:szCs w:val="21"/>
              </w:rPr>
              <w:t>创世纪：</w:t>
            </w:r>
            <w:r>
              <w:rPr>
                <w:rFonts w:ascii="Times New Roman" w:cs="Times New Roman" w:hAnsi="Times New Roman" w:hint="default"/>
                <w:bCs/>
                <w:iCs/>
                <w:color w:val="000000"/>
                <w:szCs w:val="21"/>
              </w:rPr>
              <w:t>公司子公司深圳创世纪基于供应链布局和西南市场开发需要，于2019年8月在临港经济技术开发区设立了全资子公司宜宾市创世纪机械有限公司，并根据高端智能装备业务整体发展规划，积极推进产业基地的建设。</w:t>
            </w:r>
          </w:p>
          <w:p>
            <w:pPr>
              <w:pStyle w:val="style0"/>
              <w:spacing w:lineRule="auto" w:line="360"/>
              <w:ind w:firstLine="420"/>
              <w:rPr>
                <w:rFonts w:ascii="Times New Roman" w:cs="Times New Roman" w:hAnsi="Times New Roman" w:hint="default"/>
                <w:iCs/>
                <w:color w:val="000000"/>
                <w:szCs w:val="21"/>
              </w:rPr>
            </w:pPr>
            <w:r>
              <w:rPr>
                <w:rFonts w:ascii="Times New Roman" w:cs="Times New Roman" w:hAnsi="Times New Roman" w:hint="default"/>
                <w:b/>
                <w:bCs/>
                <w:iCs/>
                <w:color w:val="000000"/>
                <w:szCs w:val="21"/>
              </w:rPr>
              <w:t>调研机构：</w:t>
            </w:r>
            <w:r>
              <w:rPr>
                <w:rFonts w:ascii="Times New Roman" w:cs="Times New Roman" w:hAnsi="Times New Roman" w:hint="default"/>
                <w:iCs/>
                <w:color w:val="000000"/>
                <w:szCs w:val="21"/>
              </w:rPr>
              <w:t>半年报披露的在建工程主要包含哪些？</w:t>
            </w:r>
          </w:p>
          <w:p>
            <w:pPr>
              <w:pStyle w:val="style0"/>
              <w:spacing w:lineRule="auto" w:line="360"/>
              <w:ind w:firstLine="420"/>
              <w:rPr>
                <w:rFonts w:ascii="Times New Roman" w:cs="Times New Roman" w:hAnsi="Times New Roman" w:hint="default"/>
                <w:bCs/>
                <w:iCs/>
                <w:color w:val="000000"/>
                <w:szCs w:val="21"/>
              </w:rPr>
            </w:pPr>
            <w:r>
              <w:rPr>
                <w:rFonts w:ascii="Times New Roman" w:cs="Times New Roman" w:hAnsi="Times New Roman" w:hint="default"/>
                <w:b/>
                <w:iCs/>
                <w:color w:val="000000"/>
                <w:szCs w:val="21"/>
              </w:rPr>
              <w:t>创世纪：</w:t>
            </w:r>
            <w:r>
              <w:rPr>
                <w:rFonts w:ascii="Times New Roman" w:cs="Times New Roman" w:hAnsi="Times New Roman" w:hint="default"/>
                <w:bCs/>
                <w:iCs/>
                <w:color w:val="000000"/>
                <w:szCs w:val="21"/>
              </w:rPr>
              <w:t>主要是宜宾产业园区建设，另外，还有部分苏州台群产业园、东莞创群智能制造项目工程建设。</w:t>
            </w:r>
          </w:p>
          <w:p>
            <w:pPr>
              <w:pStyle w:val="style0"/>
              <w:spacing w:lineRule="auto" w:line="360"/>
              <w:ind w:firstLine="420"/>
              <w:rPr>
                <w:rFonts w:ascii="Times New Roman" w:cs="Times New Roman" w:hAnsi="Times New Roman" w:hint="default"/>
                <w:iCs/>
                <w:color w:val="000000"/>
                <w:szCs w:val="21"/>
              </w:rPr>
            </w:pPr>
            <w:r>
              <w:rPr>
                <w:rFonts w:ascii="Times New Roman" w:cs="Times New Roman" w:hAnsi="Times New Roman" w:hint="default"/>
                <w:b/>
                <w:bCs/>
                <w:iCs/>
                <w:color w:val="000000"/>
                <w:szCs w:val="21"/>
              </w:rPr>
              <w:t>调研机构：</w:t>
            </w:r>
            <w:r>
              <w:rPr>
                <w:rFonts w:ascii="Times New Roman" w:cs="Times New Roman" w:hAnsi="Times New Roman" w:hint="default"/>
                <w:iCs/>
                <w:color w:val="000000"/>
                <w:szCs w:val="21"/>
              </w:rPr>
              <w:t xml:space="preserve">东莞市创群精密机械有限公司（以下简称“东莞创群”）主要是做什么的？什么样的角色定位？ </w:t>
            </w:r>
          </w:p>
          <w:p>
            <w:pPr>
              <w:pStyle w:val="style0"/>
              <w:spacing w:lineRule="auto" w:line="360"/>
              <w:ind w:firstLine="420"/>
              <w:rPr>
                <w:rFonts w:ascii="Times New Roman" w:cs="Times New Roman" w:hAnsi="Times New Roman" w:hint="default"/>
                <w:bCs/>
                <w:iCs/>
                <w:color w:val="000000"/>
                <w:szCs w:val="21"/>
              </w:rPr>
            </w:pPr>
            <w:r>
              <w:rPr>
                <w:rFonts w:ascii="Times New Roman" w:cs="Times New Roman" w:hAnsi="Times New Roman" w:hint="default"/>
                <w:b/>
                <w:bCs/>
                <w:iCs/>
                <w:color w:val="000000"/>
                <w:szCs w:val="21"/>
              </w:rPr>
              <w:t>创世纪：</w:t>
            </w:r>
            <w:r>
              <w:rPr>
                <w:rFonts w:ascii="Times New Roman" w:cs="Times New Roman" w:hAnsi="Times New Roman" w:hint="default"/>
                <w:iCs/>
                <w:color w:val="000000"/>
                <w:szCs w:val="21"/>
              </w:rPr>
              <w:t>东莞创群前期是负责募投项目之智能自动化生产线项目建设，因此会有部分收入产生。现阶段东莞创群主要是作为</w:t>
            </w:r>
            <w:r>
              <w:rPr>
                <w:rFonts w:ascii="Times New Roman" w:cs="Times New Roman" w:hAnsi="Times New Roman" w:hint="default"/>
                <w:bCs/>
                <w:iCs/>
                <w:color w:val="000000"/>
                <w:szCs w:val="21"/>
              </w:rPr>
              <w:t>东莞创群智能制造项目的实施主体，未来东莞创群将是公司智能装备业务在珠三角的主要生产基地，深圳创世纪产能预计将陆续搬迁到东莞创群。</w:t>
            </w:r>
          </w:p>
          <w:p>
            <w:pPr>
              <w:pStyle w:val="style0"/>
              <w:spacing w:lineRule="auto" w:line="360"/>
              <w:ind w:firstLine="420"/>
              <w:rPr>
                <w:rFonts w:ascii="Times New Roman" w:cs="Times New Roman" w:hAnsi="Times New Roman" w:hint="default"/>
                <w:bCs/>
                <w:iCs/>
                <w:color w:val="000000"/>
                <w:szCs w:val="21"/>
              </w:rPr>
            </w:pPr>
            <w:r>
              <w:rPr>
                <w:rFonts w:ascii="Times New Roman" w:cs="Times New Roman" w:hAnsi="Times New Roman" w:hint="default"/>
                <w:b/>
                <w:iCs/>
                <w:color w:val="000000"/>
                <w:szCs w:val="21"/>
              </w:rPr>
              <w:t>调研机构：</w:t>
            </w:r>
            <w:r>
              <w:rPr>
                <w:rFonts w:ascii="Times New Roman" w:cs="Times New Roman" w:hAnsi="Times New Roman" w:hint="default"/>
                <w:bCs/>
                <w:iCs/>
                <w:color w:val="000000"/>
                <w:szCs w:val="21"/>
              </w:rPr>
              <w:t>请介绍一下公司客户通过融资租赁、分期付款等方式购买设备的大概情况？</w:t>
            </w:r>
          </w:p>
          <w:p>
            <w:pPr>
              <w:pStyle w:val="style0"/>
              <w:spacing w:lineRule="auto" w:line="360"/>
              <w:ind w:firstLine="420"/>
              <w:rPr>
                <w:rFonts w:ascii="Times New Roman" w:cs="Times New Roman" w:hAnsi="Times New Roman" w:hint="default"/>
                <w:iCs/>
                <w:color w:val="000000"/>
                <w:szCs w:val="21"/>
              </w:rPr>
            </w:pPr>
            <w:r>
              <w:rPr>
                <w:rFonts w:ascii="Times New Roman" w:cs="Times New Roman" w:hAnsi="Times New Roman" w:hint="default"/>
                <w:b/>
                <w:bCs/>
                <w:iCs/>
                <w:color w:val="000000"/>
                <w:szCs w:val="21"/>
              </w:rPr>
              <w:t>创世纪：</w:t>
            </w:r>
            <w:r>
              <w:rPr>
                <w:rFonts w:ascii="Times New Roman" w:cs="Times New Roman" w:hAnsi="Times New Roman" w:hint="default"/>
                <w:iCs/>
                <w:color w:val="000000"/>
                <w:szCs w:val="21"/>
              </w:rPr>
              <w:t>从销售模式上来看，我们通过直销、融资性租赁、经营性租赁方式为客户提供产品或服务。当客户集中采购量大时，会采取分期付款或按约定分次付款。同时，为了加速应收账款回款，我们会筛选优质客户，通过提供买方信贷担保的方式，让客户通过向金融机构融入资金达到一次性付款的效果。经营性租赁主要是向客户分期收取租赁款，不属于直接销售产品，对公司营业收入贡献不大，目前占营业总收入比例较小，未来亦不是公司主要销售策略。</w:t>
            </w:r>
          </w:p>
          <w:p>
            <w:pPr>
              <w:pStyle w:val="style0"/>
              <w:spacing w:lineRule="auto" w:line="360"/>
              <w:ind w:firstLine="420"/>
              <w:rPr>
                <w:rFonts w:ascii="Times New Roman" w:cs="Times New Roman" w:hAnsi="Times New Roman" w:hint="default"/>
                <w:bCs/>
                <w:iCs/>
                <w:color w:val="000000"/>
                <w:szCs w:val="21"/>
              </w:rPr>
            </w:pPr>
            <w:r>
              <w:rPr>
                <w:rFonts w:ascii="Times New Roman" w:cs="Times New Roman" w:hAnsi="Times New Roman" w:hint="default"/>
                <w:b/>
                <w:iCs/>
                <w:color w:val="000000"/>
                <w:szCs w:val="21"/>
              </w:rPr>
              <w:t>调研机构：</w:t>
            </w:r>
            <w:r>
              <w:rPr>
                <w:rFonts w:ascii="Times New Roman" w:cs="Times New Roman" w:hAnsi="Times New Roman" w:hint="default"/>
                <w:bCs/>
                <w:iCs/>
                <w:color w:val="000000"/>
                <w:szCs w:val="21"/>
              </w:rPr>
              <w:t>新疆荣耀创新股权投资合伙企业（有限合伙）</w:t>
            </w:r>
            <w:r>
              <w:rPr>
                <w:rFonts w:ascii="Times New Roman" w:cs="Times New Roman" w:hAnsi="Times New Roman" w:hint="default"/>
                <w:b/>
                <w:iCs/>
                <w:color w:val="000000"/>
                <w:szCs w:val="21"/>
              </w:rPr>
              <w:t>（</w:t>
            </w:r>
            <w:r>
              <w:rPr>
                <w:rFonts w:ascii="Times New Roman" w:cs="Times New Roman" w:hAnsi="Times New Roman" w:hint="default"/>
                <w:bCs/>
                <w:iCs/>
                <w:color w:val="000000"/>
                <w:szCs w:val="21"/>
              </w:rPr>
              <w:t>以下简称“荣耀创投”）和公司是什么关系，是否符合战略投资者的定义？</w:t>
            </w:r>
          </w:p>
          <w:p>
            <w:pPr>
              <w:pStyle w:val="style0"/>
              <w:spacing w:lineRule="auto" w:line="360"/>
              <w:ind w:firstLine="420"/>
              <w:rPr>
                <w:rFonts w:ascii="Times New Roman" w:cs="Times New Roman" w:hAnsi="Times New Roman" w:hint="default"/>
                <w:bCs/>
                <w:iCs/>
                <w:color w:val="000000"/>
                <w:szCs w:val="21"/>
              </w:rPr>
            </w:pPr>
            <w:r>
              <w:rPr>
                <w:rFonts w:ascii="Times New Roman" w:cs="Times New Roman" w:hAnsi="Times New Roman" w:hint="default"/>
                <w:b/>
                <w:iCs/>
                <w:color w:val="000000"/>
                <w:szCs w:val="21"/>
              </w:rPr>
              <w:t>创世纪：</w:t>
            </w:r>
            <w:r>
              <w:rPr>
                <w:rFonts w:ascii="Times New Roman" w:cs="Times New Roman" w:hAnsi="Times New Roman" w:hint="default"/>
                <w:bCs/>
                <w:iCs/>
                <w:color w:val="000000"/>
                <w:szCs w:val="21"/>
              </w:rPr>
              <w:t>荣耀创投多年来一直支持公司和深圳创世纪的发展。从资金支持来看，荣耀创投积极参与并大力协助推动了深圳创世纪2019年初增资项目的实施，目前是深圳创世纪的股东。从业务支持角度来看，荣耀创投具有较强的资源整合能力，其投资的标的公司与公司具有一定的协同效应，预计未来能够与公司进一步合作以及为公司带来战略资源。根据荣耀创投的实际情况及有关规定，公司认为其符合战略投资者的定义。荣耀创投是我们非公开发行项目的定增对象之一，具体还需等待深圳证券交易所审核和认定。</w:t>
            </w:r>
          </w:p>
          <w:p>
            <w:pPr>
              <w:pStyle w:val="style0"/>
              <w:spacing w:lineRule="auto" w:line="360"/>
              <w:ind w:firstLine="420"/>
              <w:rPr>
                <w:rFonts w:ascii="Times New Roman" w:cs="Times New Roman" w:hAnsi="Times New Roman" w:hint="default"/>
                <w:bCs/>
                <w:iCs/>
                <w:color w:val="000000"/>
                <w:szCs w:val="21"/>
              </w:rPr>
            </w:pPr>
            <w:r>
              <w:rPr>
                <w:rFonts w:ascii="Times New Roman" w:cs="Times New Roman" w:hAnsi="Times New Roman" w:hint="default"/>
                <w:b/>
                <w:iCs/>
                <w:color w:val="000000"/>
                <w:szCs w:val="21"/>
              </w:rPr>
              <w:t>调研机构：</w:t>
            </w:r>
            <w:r>
              <w:rPr>
                <w:rFonts w:ascii="Times New Roman" w:cs="Times New Roman" w:hAnsi="Times New Roman" w:hint="default"/>
                <w:bCs/>
                <w:iCs/>
                <w:color w:val="000000"/>
                <w:szCs w:val="21"/>
              </w:rPr>
              <w:t>东莞中创智能制造系统有限公司（以下简称“中创智能”）经营情况如何？</w:t>
            </w:r>
          </w:p>
          <w:p>
            <w:pPr>
              <w:pStyle w:val="style0"/>
              <w:spacing w:lineRule="auto" w:line="360"/>
              <w:ind w:firstLine="420"/>
              <w:rPr>
                <w:rFonts w:ascii="Times New Roman" w:cs="Times New Roman" w:hAnsi="Times New Roman" w:hint="default"/>
                <w:bCs/>
                <w:iCs/>
                <w:color w:val="000000"/>
                <w:szCs w:val="21"/>
              </w:rPr>
            </w:pPr>
            <w:r>
              <w:rPr>
                <w:rFonts w:ascii="Times New Roman" w:cs="Times New Roman" w:hAnsi="Times New Roman" w:hint="default"/>
                <w:b/>
                <w:iCs/>
                <w:color w:val="000000"/>
                <w:szCs w:val="21"/>
              </w:rPr>
              <w:t>创世纪：</w:t>
            </w:r>
            <w:r>
              <w:rPr>
                <w:rFonts w:ascii="Times New Roman" w:cs="Times New Roman" w:hAnsi="Times New Roman" w:hint="default"/>
                <w:bCs/>
                <w:iCs/>
                <w:color w:val="000000"/>
                <w:szCs w:val="21"/>
              </w:rPr>
              <w:t>中创智能主要是提供智能制造服务，包括</w:t>
            </w:r>
            <w:r>
              <w:rPr>
                <w:rFonts w:ascii="Times New Roman" w:cs="Times New Roman" w:hAnsi="Times New Roman" w:hint="default"/>
              </w:rPr>
              <w:t xml:space="preserve"> </w:t>
            </w:r>
            <w:r>
              <w:rPr>
                <w:rFonts w:ascii="Times New Roman" w:cs="Times New Roman" w:hAnsi="Times New Roman" w:hint="default"/>
                <w:bCs/>
                <w:iCs/>
                <w:color w:val="000000"/>
                <w:szCs w:val="21"/>
              </w:rPr>
              <w:t>IOT（工业物联网解决方案）、TOM（智能工厂解决方案）、工业自动化业务等，上半年疫情</w:t>
            </w:r>
            <w:r>
              <w:rPr>
                <w:rFonts w:ascii="Times New Roman" w:cs="Times New Roman" w:hAnsi="Times New Roman" w:hint="eastAsia"/>
                <w:bCs/>
                <w:iCs/>
                <w:color w:val="000000"/>
                <w:szCs w:val="21"/>
                <w:lang w:eastAsia="zh-CN"/>
              </w:rPr>
              <w:t>因素</w:t>
            </w:r>
            <w:r>
              <w:rPr>
                <w:rFonts w:ascii="Times New Roman" w:cs="Times New Roman" w:hAnsi="Times New Roman" w:hint="default"/>
                <w:bCs/>
                <w:iCs/>
                <w:color w:val="000000"/>
                <w:szCs w:val="21"/>
              </w:rPr>
              <w:t>对其营业收入产生较大影响。2020年上半年，公司为更好地激励中创智能管理团队，将所持部分中创智能股权转让予其管理团队的持股平台。</w:t>
            </w:r>
          </w:p>
          <w:p>
            <w:pPr>
              <w:pStyle w:val="style0"/>
              <w:spacing w:lineRule="auto" w:line="360"/>
              <w:ind w:firstLine="422" w:firstLineChars="200"/>
              <w:jc w:val="left"/>
              <w:rPr>
                <w:rFonts w:ascii="Times New Roman" w:cs="Times New Roman" w:hAnsi="Times New Roman" w:hint="default"/>
                <w:bCs/>
                <w:iCs/>
                <w:color w:val="000000"/>
                <w:szCs w:val="21"/>
              </w:rPr>
            </w:pPr>
            <w:r>
              <w:rPr>
                <w:rFonts w:ascii="Times New Roman" w:cs="Times New Roman" w:hAnsi="Times New Roman" w:hint="default"/>
                <w:b/>
                <w:bCs/>
                <w:iCs/>
                <w:color w:val="000000"/>
                <w:szCs w:val="21"/>
              </w:rPr>
              <w:t>调研机构：</w:t>
            </w:r>
            <w:r>
              <w:rPr>
                <w:rFonts w:ascii="Times New Roman" w:cs="Times New Roman" w:hAnsi="Times New Roman" w:hint="default"/>
                <w:bCs/>
                <w:iCs/>
                <w:color w:val="000000"/>
                <w:szCs w:val="21"/>
              </w:rPr>
              <w:t>公司高端智能装备业务领域竞争优势如何？</w:t>
            </w:r>
          </w:p>
          <w:p>
            <w:pPr>
              <w:pStyle w:val="style0"/>
              <w:spacing w:lineRule="auto" w:line="360"/>
              <w:ind w:firstLine="422" w:firstLineChars="200"/>
              <w:rPr>
                <w:rFonts w:ascii="Times New Roman" w:cs="Times New Roman" w:hAnsi="Times New Roman" w:hint="default"/>
                <w:bCs/>
                <w:iCs/>
                <w:color w:val="000000"/>
                <w:szCs w:val="21"/>
              </w:rPr>
            </w:pPr>
            <w:r>
              <w:rPr>
                <w:rFonts w:ascii="Times New Roman" w:cs="Times New Roman" w:hAnsi="Times New Roman" w:hint="default"/>
                <w:b/>
                <w:bCs/>
                <w:iCs/>
                <w:color w:val="000000"/>
                <w:szCs w:val="21"/>
              </w:rPr>
              <w:t>创世纪：</w:t>
            </w:r>
            <w:r>
              <w:rPr>
                <w:rFonts w:ascii="Times New Roman" w:cs="Times New Roman" w:hAnsi="Times New Roman" w:hint="default"/>
                <w:szCs w:val="21"/>
              </w:rPr>
              <w:t>公司高端智能装备产品种类丰富，覆盖多个细分市场，特别在3C领域，公司钻攻机等系列产品在产品品质、高性价比、本地化服务等方面具备优势，获得产业链优质客户的广泛认可和青睐，并与国际知名品牌同台竞争；公司作为国内同行业中技术和产品宽度最广的企业之一，在业内具备较高的品牌美誉度和客户认可度；同时以市场需求为导向打造了充满“狼性”的营销机制，能够敏锐把握市场趋势、快速满足客户需求；加之公司技术与功能不断迭代的产品、高性价比优势、快速响应的售后服务等，使公司在同行业中具备较强的竞争力</w:t>
            </w:r>
            <w:r>
              <w:rPr>
                <w:rFonts w:ascii="Times New Roman" w:cs="Times New Roman" w:hAnsi="Times New Roman" w:hint="default"/>
                <w:bCs/>
                <w:iCs/>
                <w:color w:val="000000"/>
                <w:szCs w:val="21"/>
              </w:rPr>
              <w:t>。</w:t>
            </w:r>
          </w:p>
        </w:tc>
      </w:tr>
      <w:tr>
        <w:tblPrEx/>
        <w:trPr>
          <w:trHeight w:val="501" w:hRule="atLeast"/>
          <w:jc w:val="center"/>
        </w:trPr>
        <w:tc>
          <w:tcPr>
            <w:tcW w:w="1668" w:type="dxa"/>
            <w:tcBorders>
              <w:tl2br w:val="nil"/>
              <w:tr2bl w:val="nil"/>
            </w:tcBorders>
            <w:shd w:val="clear" w:color="auto" w:fill="ffffff"/>
            <w:tcMar>
              <w:top w:w="0" w:type="dxa"/>
              <w:left w:w="108" w:type="dxa"/>
              <w:bottom w:w="0" w:type="dxa"/>
              <w:right w:w="108" w:type="dxa"/>
            </w:tcMar>
            <w:vAlign w:val="center"/>
          </w:tcPr>
          <w:p>
            <w:pPr>
              <w:pStyle w:val="style0"/>
              <w:spacing w:lineRule="auto" w:line="360"/>
              <w:rPr>
                <w:rFonts w:ascii="Times New Roman" w:cs="Times New Roman" w:hAnsi="Times New Roman" w:hint="default"/>
                <w:b/>
                <w:bCs w:val="false"/>
                <w:iCs/>
                <w:color w:val="000000"/>
                <w:szCs w:val="21"/>
              </w:rPr>
            </w:pPr>
            <w:r>
              <w:rPr>
                <w:rFonts w:ascii="Times New Roman" w:cs="Times New Roman" w:hAnsi="Times New Roman" w:hint="default"/>
                <w:b/>
                <w:bCs w:val="false"/>
                <w:iCs/>
                <w:color w:val="000000"/>
                <w:szCs w:val="21"/>
              </w:rPr>
              <w:t>附件清单</w:t>
            </w:r>
          </w:p>
        </w:tc>
        <w:tc>
          <w:tcPr>
            <w:tcW w:w="7793" w:type="dxa"/>
            <w:tcBorders>
              <w:tl2br w:val="nil"/>
              <w:tr2bl w:val="nil"/>
            </w:tcBorders>
            <w:shd w:val="clear" w:color="auto" w:fill="ffffff"/>
            <w:tcMar>
              <w:top w:w="0" w:type="dxa"/>
              <w:left w:w="108" w:type="dxa"/>
              <w:bottom w:w="0" w:type="dxa"/>
              <w:right w:w="108" w:type="dxa"/>
            </w:tcMar>
            <w:vAlign w:val="center"/>
          </w:tcPr>
          <w:p>
            <w:pPr>
              <w:pStyle w:val="style0"/>
              <w:spacing w:lineRule="auto" w:line="360"/>
              <w:rPr>
                <w:rFonts w:ascii="Times New Roman" w:cs="Times New Roman" w:hAnsi="Times New Roman" w:hint="default"/>
                <w:bCs/>
                <w:iCs/>
                <w:color w:val="000000"/>
                <w:szCs w:val="21"/>
              </w:rPr>
            </w:pPr>
            <w:r>
              <w:rPr>
                <w:rFonts w:ascii="Times New Roman" w:cs="Times New Roman" w:hAnsi="Times New Roman" w:hint="default"/>
                <w:bCs/>
                <w:iCs/>
                <w:color w:val="000000"/>
                <w:szCs w:val="21"/>
              </w:rPr>
              <w:t>无。</w:t>
            </w:r>
          </w:p>
        </w:tc>
      </w:tr>
      <w:tr>
        <w:tblPrEx/>
        <w:trPr>
          <w:trHeight w:val="423" w:hRule="atLeast"/>
          <w:jc w:val="center"/>
        </w:trPr>
        <w:tc>
          <w:tcPr>
            <w:tcW w:w="1668" w:type="dxa"/>
            <w:tcBorders>
              <w:tl2br w:val="nil"/>
              <w:tr2bl w:val="nil"/>
            </w:tcBorders>
            <w:shd w:val="clear" w:color="auto" w:fill="ffffff"/>
            <w:tcMar>
              <w:top w:w="0" w:type="dxa"/>
              <w:left w:w="108" w:type="dxa"/>
              <w:bottom w:w="0" w:type="dxa"/>
              <w:right w:w="108" w:type="dxa"/>
            </w:tcMar>
            <w:vAlign w:val="center"/>
          </w:tcPr>
          <w:p>
            <w:pPr>
              <w:pStyle w:val="style0"/>
              <w:spacing w:lineRule="auto" w:line="360"/>
              <w:rPr>
                <w:rFonts w:ascii="Times New Roman" w:cs="Times New Roman" w:hAnsi="Times New Roman" w:hint="default"/>
                <w:b/>
                <w:bCs w:val="false"/>
                <w:iCs/>
                <w:color w:val="000000"/>
                <w:szCs w:val="21"/>
              </w:rPr>
            </w:pPr>
            <w:r>
              <w:rPr>
                <w:rFonts w:ascii="Times New Roman" w:cs="Times New Roman" w:hAnsi="Times New Roman" w:hint="default"/>
                <w:b/>
                <w:bCs w:val="false"/>
                <w:iCs/>
                <w:color w:val="000000"/>
                <w:szCs w:val="21"/>
              </w:rPr>
              <w:t>日期</w:t>
            </w:r>
          </w:p>
        </w:tc>
        <w:tc>
          <w:tcPr>
            <w:tcW w:w="7793" w:type="dxa"/>
            <w:tcBorders>
              <w:tl2br w:val="nil"/>
              <w:tr2bl w:val="nil"/>
            </w:tcBorders>
            <w:shd w:val="clear" w:color="auto" w:fill="ffffff"/>
            <w:tcMar>
              <w:top w:w="0" w:type="dxa"/>
              <w:left w:w="108" w:type="dxa"/>
              <w:bottom w:w="0" w:type="dxa"/>
              <w:right w:w="108" w:type="dxa"/>
            </w:tcMar>
            <w:vAlign w:val="center"/>
          </w:tcPr>
          <w:p>
            <w:pPr>
              <w:pStyle w:val="style0"/>
              <w:spacing w:lineRule="auto" w:line="360"/>
              <w:rPr>
                <w:rFonts w:ascii="Times New Roman" w:cs="Times New Roman" w:hAnsi="Times New Roman" w:hint="default"/>
                <w:bCs/>
                <w:iCs/>
                <w:color w:val="000000"/>
                <w:szCs w:val="21"/>
              </w:rPr>
            </w:pPr>
            <w:r>
              <w:rPr>
                <w:rFonts w:ascii="Times New Roman" w:cs="Times New Roman" w:hAnsi="Times New Roman" w:hint="default"/>
                <w:bCs/>
                <w:iCs/>
                <w:color w:val="000000"/>
                <w:szCs w:val="21"/>
              </w:rPr>
              <w:t>2020年9月4日</w:t>
            </w:r>
          </w:p>
        </w:tc>
      </w:tr>
      <w:bookmarkStart w:id="1" w:name="_GoBack"/>
      <w:bookmarkEnd w:id="1"/>
    </w:tbl>
    <w:p>
      <w:pPr>
        <w:pStyle w:val="style0"/>
        <w:ind w:firstLine="420"/>
        <w:rPr>
          <w:rFonts w:ascii="宋体" w:hAnsi="宋体"/>
        </w:rPr>
      </w:pPr>
    </w:p>
    <w:sectPr>
      <w:headerReference w:type="default" r:id="rId2"/>
      <w:footerReference w:type="default" r:id="rId3"/>
      <w:pgSz w:w="11906" w:h="16838" w:orient="portrait"/>
      <w:pgMar w:top="1440" w:right="1800" w:bottom="1440" w:left="180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等线">
    <w:altName w:val="Arial Unicode MS"/>
    <w:panose1 w:val="02010600030001010101"/>
    <w:charset w:val="86"/>
    <w:family w:val="auto"/>
    <w:pitch w:val="default"/>
    <w:sig w:usb0="00000000" w:usb1="00000000" w:usb2="00000016" w:usb3="00000000" w:csb0="0004000F" w:csb1="00000000"/>
  </w:font>
  <w:font w:name="等线 Light">
    <w:altName w:val="宋体"/>
    <w:panose1 w:val="02010600030001010101"/>
    <w:charset w:val="86"/>
    <w:family w:val="auto"/>
    <w:pitch w:val="default"/>
    <w:sig w:usb0="00000000" w:usb1="00000000" w:usb2="00000016" w:usb3="00000000" w:csb0="0004000F" w:csb1="00000000"/>
  </w:font>
  <w:font w:name="Wingdings 2">
    <w:altName w:val="Wingdings 2"/>
    <w:panose1 w:val="05020102010005070707"/>
    <w:charset w:val="02"/>
    <w:family w:val="roman"/>
    <w:pitch w:val="default"/>
    <w:sig w:usb0="00000000" w:usb1="00000000" w:usb2="00000000" w:usb3="00000000" w:csb0="80000000" w:csb1="00000000"/>
  </w:font>
  <w:font w:name="Arial Unicode MS">
    <w:altName w:val="Arial Unicode MS"/>
    <w:panose1 w:val="020b0604020002020204"/>
    <w:charset w:val="86"/>
    <w:family w:val="auto"/>
    <w:pitch w:val="default"/>
    <w:sig w:usb0="FFFFFFFF" w:usb1="E9FFFFFF" w:usb2="0000003F" w:usb3="00000000" w:csb0="603F01FF" w:csb1="FFFF0000"/>
  </w:font>
  <w:font w:name="微软雅黑">
    <w:altName w:val="微软雅黑"/>
    <w:panose1 w:val="020b0503020002020204"/>
    <w:charset w:val="86"/>
    <w:family w:val="auto"/>
    <w:pitch w:val="default"/>
    <w:sig w:usb0="A0000287" w:usb1="28CF3C52" w:usb2="00000016" w:usb3="00000000" w:csb0="0004001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sz w:val="18"/>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rFonts w:eastAsia="宋体" w:hint="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lIns="0" rIns="0" tIns="0" bIns="0" vert="horz" anchor="t" wrap="none" upright="false">
                      <a:prstTxWarp prst="textNoShape"/>
                      <a:spAutoFit/>
                    </wps:bodyPr>
                  </wps:wsp>
                </a:graphicData>
              </a:graphic>
            </wp:anchor>
          </w:drawing>
        </mc:Choice>
        <mc:Fallback>
          <w:pict>
            <v:rect id="4098"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rFonts w:eastAsia="宋体" w:hint="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rFonts w:eastAsia="Times New Roman"/>
        <w:color w:val="000000"/>
      </w:rPr>
      <w:drawing>
        <wp:anchor distT="0" distB="0" distL="0" distR="0" simplePos="false" relativeHeight="2" behindDoc="false" locked="false" layoutInCell="true" allowOverlap="true">
          <wp:simplePos x="0" y="0"/>
          <wp:positionH relativeFrom="column">
            <wp:posOffset>0</wp:posOffset>
          </wp:positionH>
          <wp:positionV relativeFrom="paragraph">
            <wp:posOffset>0</wp:posOffset>
          </wp:positionV>
          <wp:extent cx="577215" cy="274955"/>
          <wp:effectExtent l="0" t="0" r="0" b="0"/>
          <wp:wrapNone/>
          <wp:docPr id="4097" name="图片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1" cstate="print"/>
                  <a:srcRect l="0" t="0" r="0" b="0"/>
                  <a:stretch/>
                </pic:blipFill>
                <pic:spPr>
                  <a:xfrm rot="0">
                    <a:off x="0" y="0"/>
                    <a:ext cx="577215" cy="274955"/>
                  </a:xfrm>
                  <a:prstGeom prst="rect"/>
                  <a:ln>
                    <a:noFill/>
                  </a:ln>
                </pic:spPr>
              </pic:pic>
            </a:graphicData>
          </a:graphic>
        </wp:anchor>
      </w:drawing>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link w:val="style4098"/>
    <w:qFormat/>
    <w:uiPriority w:val="9"/>
    <w:pPr>
      <w:keepNext/>
      <w:keepLines/>
      <w:spacing w:before="340" w:after="330"/>
      <w:jc w:val="center"/>
      <w:outlineLvl w:val="0"/>
    </w:pPr>
    <w:rPr>
      <w:rFonts w:eastAsia="黑体"/>
      <w:b/>
      <w:bCs/>
      <w:kern w:val="44"/>
      <w:sz w:val="24"/>
      <w:szCs w:val="44"/>
    </w:rPr>
  </w:style>
  <w:style w:type="paragraph" w:styleId="style2">
    <w:name w:val="heading 2"/>
    <w:basedOn w:val="style0"/>
    <w:next w:val="style0"/>
    <w:link w:val="style4097"/>
    <w:qFormat/>
    <w:uiPriority w:val="9"/>
    <w:pPr>
      <w:keepNext/>
      <w:keepLines/>
      <w:spacing w:lineRule="exact" w:line="300"/>
      <w:ind w:firstLine="200" w:firstLineChars="200"/>
      <w:jc w:val="left"/>
      <w:outlineLvl w:val="1"/>
    </w:pPr>
    <w:rPr>
      <w:rFonts w:ascii="等线 Light" w:cs="宋体" w:eastAsia="黑体" w:hAnsi="等线 Light"/>
      <w:b/>
      <w:bCs/>
      <w:sz w:val="28"/>
      <w:szCs w:val="32"/>
    </w:rPr>
  </w:style>
  <w:style w:type="character" w:default="1" w:styleId="style65">
    <w:name w:val="Default Paragraph Font"/>
    <w:next w:val="style65"/>
    <w:qFormat/>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30">
    <w:name w:val="annotation text"/>
    <w:basedOn w:val="style0"/>
    <w:next w:val="style30"/>
    <w:link w:val="style4104"/>
    <w:uiPriority w:val="99"/>
    <w:pPr>
      <w:jc w:val="left"/>
    </w:pPr>
    <w:rPr/>
  </w:style>
  <w:style w:type="paragraph" w:styleId="style153">
    <w:name w:val="Balloon Text"/>
    <w:basedOn w:val="style0"/>
    <w:next w:val="style153"/>
    <w:link w:val="style4105"/>
    <w:uiPriority w:val="99"/>
    <w:pPr/>
    <w:rPr>
      <w:sz w:val="18"/>
      <w:szCs w:val="18"/>
    </w:rPr>
  </w:style>
  <w:style w:type="paragraph" w:styleId="style32">
    <w:name w:val="footer"/>
    <w:basedOn w:val="style0"/>
    <w:next w:val="style32"/>
    <w:link w:val="style4100"/>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9"/>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0"/>
    <w:pPr>
      <w:spacing w:beforeLines="25" w:afterLines="25" w:lineRule="auto" w:line="300"/>
    </w:pPr>
    <w:rPr>
      <w:sz w:val="18"/>
    </w:rPr>
  </w:style>
  <w:style w:type="paragraph" w:styleId="style62">
    <w:name w:val="Title"/>
    <w:basedOn w:val="style0"/>
    <w:next w:val="style62"/>
    <w:qFormat/>
    <w:uiPriority w:val="10"/>
    <w:pPr>
      <w:keepNext/>
      <w:keepLines/>
      <w:spacing w:before="340" w:after="330" w:lineRule="auto" w:line="578"/>
      <w:jc w:val="center"/>
    </w:pPr>
    <w:rPr>
      <w:b/>
      <w:bCs/>
      <w:kern w:val="32"/>
      <w:sz w:val="32"/>
    </w:rPr>
  </w:style>
  <w:style w:type="character" w:styleId="style85">
    <w:name w:val="Hyperlink"/>
    <w:basedOn w:val="style65"/>
    <w:next w:val="style85"/>
    <w:qFormat/>
    <w:uiPriority w:val="0"/>
    <w:rPr>
      <w:rFonts w:ascii="Times New Roman" w:eastAsia="宋体" w:hAnsi="Times New Roman"/>
      <w:color w:val="0000ff"/>
      <w:sz w:val="24"/>
      <w:u w:val="single"/>
    </w:rPr>
  </w:style>
  <w:style w:type="character" w:styleId="style39">
    <w:name w:val="annotation reference"/>
    <w:basedOn w:val="style65"/>
    <w:next w:val="style39"/>
    <w:qFormat/>
    <w:uiPriority w:val="0"/>
    <w:rPr>
      <w:rFonts w:ascii="Times New Roman" w:eastAsia="宋体" w:hAnsi="Times New Roman"/>
      <w:sz w:val="21"/>
    </w:rPr>
  </w:style>
  <w:style w:type="character" w:customStyle="1" w:styleId="style4097">
    <w:name w:val="标题 2 字符"/>
    <w:basedOn w:val="style65"/>
    <w:next w:val="style4097"/>
    <w:link w:val="style2"/>
    <w:qFormat/>
    <w:uiPriority w:val="9"/>
    <w:rPr>
      <w:rFonts w:ascii="等线 Light" w:cs="宋体" w:eastAsia="黑体" w:hAnsi="等线 Light"/>
      <w:b/>
      <w:bCs/>
      <w:sz w:val="28"/>
      <w:szCs w:val="32"/>
    </w:rPr>
  </w:style>
  <w:style w:type="character" w:customStyle="1" w:styleId="style4098">
    <w:name w:val="标题 1 字符"/>
    <w:basedOn w:val="style65"/>
    <w:next w:val="style4098"/>
    <w:link w:val="style1"/>
    <w:qFormat/>
    <w:uiPriority w:val="9"/>
    <w:rPr>
      <w:rFonts w:eastAsia="黑体"/>
      <w:b/>
      <w:bCs/>
      <w:kern w:val="44"/>
      <w:sz w:val="24"/>
      <w:szCs w:val="44"/>
    </w:rPr>
  </w:style>
  <w:style w:type="character" w:customStyle="1" w:styleId="style4099">
    <w:name w:val="页眉 字符"/>
    <w:basedOn w:val="style65"/>
    <w:next w:val="style4099"/>
    <w:link w:val="style31"/>
    <w:uiPriority w:val="99"/>
    <w:rPr>
      <w:rFonts w:ascii="Times New Roman" w:cs="Times New Roman" w:eastAsia="宋体" w:hAnsi="Times New Roman"/>
      <w:sz w:val="18"/>
      <w:szCs w:val="18"/>
    </w:rPr>
  </w:style>
  <w:style w:type="character" w:customStyle="1" w:styleId="style4100">
    <w:name w:val="页脚 字符"/>
    <w:basedOn w:val="style65"/>
    <w:next w:val="style4100"/>
    <w:link w:val="style32"/>
    <w:uiPriority w:val="99"/>
    <w:rPr>
      <w:rFonts w:ascii="Times New Roman" w:cs="Times New Roman" w:eastAsia="宋体" w:hAnsi="Times New Roman"/>
      <w:sz w:val="18"/>
      <w:szCs w:val="18"/>
    </w:rPr>
  </w:style>
  <w:style w:type="paragraph" w:customStyle="1" w:styleId="style4101">
    <w:name w:val="&quot;Section&quot;"/>
    <w:next w:val="style4101"/>
    <w:qFormat/>
    <w:uiPriority w:val="0"/>
    <w:pPr>
      <w:keepNext/>
      <w:keepLines/>
      <w:widowControl w:val="false"/>
      <w:spacing w:beforeLines="25" w:afterLines="25"/>
      <w:jc w:val="both"/>
    </w:pPr>
    <w:rPr>
      <w:rFonts w:ascii="Times New Roman" w:cs="Times New Roman" w:eastAsia="宋体" w:hAnsi="Times New Roman"/>
      <w:b/>
      <w:bCs/>
      <w:kern w:val="28"/>
      <w:sz w:val="21"/>
      <w:szCs w:val="22"/>
      <w:lang w:val="en-US" w:bidi="ar-SA" w:eastAsia="zh-CN"/>
    </w:rPr>
  </w:style>
  <w:style w:type="paragraph" w:customStyle="1" w:styleId="style4102">
    <w:name w:val="&quot;Default&quot;"/>
    <w:next w:val="style4102"/>
    <w:qFormat/>
    <w:uiPriority w:val="0"/>
    <w:pPr>
      <w:widowControl w:val="false"/>
      <w:autoSpaceDE w:val="false"/>
      <w:autoSpaceDN w:val="false"/>
      <w:adjustRightInd w:val="false"/>
      <w:spacing w:beforeLines="25" w:afterLines="25" w:lineRule="auto" w:line="300"/>
      <w:jc w:val="both"/>
    </w:pPr>
    <w:rPr>
      <w:rFonts w:ascii="宋体" w:cs="Times New Roman" w:eastAsia="宋体" w:hAnsi="Calibri"/>
      <w:color w:val="000000"/>
      <w:kern w:val="2"/>
      <w:sz w:val="24"/>
      <w:szCs w:val="22"/>
      <w:lang w:val="en-US" w:bidi="ar-SA" w:eastAsia="zh-CN"/>
    </w:rPr>
  </w:style>
  <w:style w:type="paragraph" w:customStyle="1" w:styleId="style4103">
    <w:name w:val="&quot;Chapter&quot;"/>
    <w:next w:val="style4103"/>
    <w:qFormat/>
    <w:uiPriority w:val="0"/>
    <w:pPr>
      <w:keepNext/>
      <w:keepLines/>
      <w:widowControl w:val="false"/>
      <w:spacing w:beforeLines="25" w:afterLines="25"/>
      <w:jc w:val="both"/>
    </w:pPr>
    <w:rPr>
      <w:rFonts w:ascii="Times New Roman" w:cs="Times New Roman" w:eastAsia="宋体" w:hAnsi="Times New Roman"/>
      <w:b/>
      <w:bCs/>
      <w:kern w:val="28"/>
      <w:sz w:val="24"/>
      <w:szCs w:val="22"/>
      <w:lang w:val="en-US" w:bidi="ar-SA" w:eastAsia="zh-CN"/>
    </w:rPr>
  </w:style>
  <w:style w:type="paragraph" w:styleId="style179">
    <w:name w:val="List Paragraph"/>
    <w:basedOn w:val="style0"/>
    <w:next w:val="style179"/>
    <w:uiPriority w:val="0"/>
    <w:pPr>
      <w:spacing w:beforeLines="25" w:afterLines="25" w:lineRule="auto" w:line="300"/>
      <w:ind w:firstLine="420" w:firstLineChars="200"/>
    </w:pPr>
    <w:rPr>
      <w:sz w:val="18"/>
    </w:rPr>
  </w:style>
  <w:style w:type="character" w:customStyle="1" w:styleId="style4104">
    <w:name w:val="批注文字 字符"/>
    <w:basedOn w:val="style65"/>
    <w:next w:val="style4104"/>
    <w:link w:val="style30"/>
    <w:uiPriority w:val="99"/>
    <w:rPr>
      <w:rFonts w:ascii="Times New Roman" w:cs="Times New Roman" w:eastAsia="宋体" w:hAnsi="Times New Roman"/>
      <w:szCs w:val="24"/>
    </w:rPr>
  </w:style>
  <w:style w:type="character" w:customStyle="1" w:styleId="style4105">
    <w:name w:val="批注框文本 字符"/>
    <w:basedOn w:val="style65"/>
    <w:next w:val="style4105"/>
    <w:link w:val="style153"/>
    <w:uiPriority w:val="99"/>
    <w:rPr>
      <w:rFonts w:ascii="Times New Roman" w:cs="Times New Roman" w:eastAsia="宋体" w:hAnsi="Times New Roman"/>
      <w:sz w:val="18"/>
      <w:szCs w:val="18"/>
    </w:rPr>
  </w:style>
</w:styles>
</file>

<file path=word/_rels/document.xml.rels><?xml version="1.0" encoding="UTF-8"?>
<Relationships xmlns="http://schemas.openxmlformats.org/package/2006/relationships"><Relationship Id="rId18" Type="http://schemas.openxmlformats.org/officeDocument/2006/relationships/customXml" Target="../customXml/item11.xml"/><Relationship Id="rId5" Type="http://schemas.openxmlformats.org/officeDocument/2006/relationships/fontTable" Target="fontTable.xml"/><Relationship Id="rId12" Type="http://schemas.openxmlformats.org/officeDocument/2006/relationships/customXml" Target="../customXml/item5.xml"/><Relationship Id="rId16" Type="http://schemas.openxmlformats.org/officeDocument/2006/relationships/customXml" Target="../customXml/item9.xml"/><Relationship Id="rId20" Type="http://schemas.openxmlformats.org/officeDocument/2006/relationships/customXml" Target="../customXml/item13.xml"/><Relationship Id="rId15" Type="http://schemas.openxmlformats.org/officeDocument/2006/relationships/customXml" Target="../customXml/item8.xml"/><Relationship Id="rId11" Type="http://schemas.openxmlformats.org/officeDocument/2006/relationships/customXml" Target="../customXml/item4.xml"/><Relationship Id="rId7" Type="http://schemas.openxmlformats.org/officeDocument/2006/relationships/theme" Target="theme/theme1.xml"/><Relationship Id="rId14" Type="http://schemas.openxmlformats.org/officeDocument/2006/relationships/customXml" Target="../customXml/item7.xml"/><Relationship Id="rId2" Type="http://schemas.openxmlformats.org/officeDocument/2006/relationships/header" Target="header1.xml"/><Relationship Id="rId21" Type="http://schemas.openxmlformats.org/officeDocument/2006/relationships/customXml" Target="../customXml/item14.xml"/><Relationship Id="rId10" Type="http://schemas.openxmlformats.org/officeDocument/2006/relationships/customXml" Target="../customXml/item3.xml"/><Relationship Id="rId19" Type="http://schemas.openxmlformats.org/officeDocument/2006/relationships/customXml" Target="../customXml/item12.xml"/><Relationship Id="rId8" Type="http://schemas.openxmlformats.org/officeDocument/2006/relationships/customXml" Target="../customXml/item1.xml"/><Relationship Id="rId13" Type="http://schemas.openxmlformats.org/officeDocument/2006/relationships/customXml" Target="../customXml/item6.xml"/><Relationship Id="rId17" Type="http://schemas.openxmlformats.org/officeDocument/2006/relationships/customXml" Target="../customXml/item10.xml"/><Relationship Id="rId4" Type="http://schemas.openxmlformats.org/officeDocument/2006/relationships/styles" Target="styles.xml"/><Relationship Id="rId3" Type="http://schemas.openxmlformats.org/officeDocument/2006/relationships/footer" Target="footer2.xml"/><Relationship Id="rId9" Type="http://schemas.openxmlformats.org/officeDocument/2006/relationships/customXml" Target="../customXml/item2.xml"/><Relationship Id="rId6" Type="http://schemas.openxmlformats.org/officeDocument/2006/relationships/settings" Target="settings.xml"/><Relationship Id="rId1" Type="http://schemas.openxmlformats.org/officeDocument/2006/relationships/numbering" Target="numbering.xml"/><Relationship Id="rId22" Type="http://schemas.openxmlformats.org/officeDocument/2006/relationships/customXml" Target="../customXml/item15.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13.xml.rels><?xml version="1.0" encoding="UTF-8"?>
<Relationships xmlns="http://schemas.openxmlformats.org/package/2006/relationships"><Relationship Id="rId1" Type="http://schemas.openxmlformats.org/officeDocument/2006/relationships/customXmlProps" Target="itemProps13.xml"/></Relationships>
</file>

<file path=customXml/_rels/item14.xml.rels><?xml version="1.0" encoding="UTF-8"?>
<Relationships xmlns="http://schemas.openxmlformats.org/package/2006/relationships"><Relationship Id="rId1" Type="http://schemas.openxmlformats.org/officeDocument/2006/relationships/customXmlProps" Target="itemProps14.xml"/></Relationships>
</file>

<file path=customXml/_rels/item15.xml.rels><?xml version="1.0" encoding="UTF-8"?>
<Relationships xmlns="http://schemas.openxmlformats.org/package/2006/relationships"><Relationship Id="rId1" Type="http://schemas.openxmlformats.org/officeDocument/2006/relationships/customXmlProps" Target="itemProps15.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A123B82-A4BD-4972-BC36-244602756522}">
  <ds:schemaRefs/>
</ds:datastoreItem>
</file>

<file path=customXml/itemProps10.xml><?xml version="1.0" encoding="utf-8"?>
<ds:datastoreItem xmlns:ds="http://schemas.openxmlformats.org/officeDocument/2006/customXml" ds:itemID="{28CF74C7-0CD6-4F4E-A605-4D92D245E199}">
  <ds:schemaRefs/>
</ds:datastoreItem>
</file>

<file path=customXml/itemProps1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2.xml><?xml version="1.0" encoding="utf-8"?>
<ds:datastoreItem xmlns:ds="http://schemas.openxmlformats.org/officeDocument/2006/customXml" ds:itemID="{F09CFD9A-FBCE-4BEE-9AAF-F033E3069E74}">
  <ds:schemaRefs/>
</ds:datastoreItem>
</file>

<file path=customXml/itemProps13.xml><?xml version="1.0" encoding="utf-8"?>
<ds:datastoreItem xmlns:ds="http://schemas.openxmlformats.org/officeDocument/2006/customXml" ds:itemID="{A9AB3D56-9AA8-4193-A1A7-70DFB7F39AF9}">
  <ds:schemaRefs/>
</ds:datastoreItem>
</file>

<file path=customXml/itemProps14.xml><?xml version="1.0" encoding="utf-8"?>
<ds:datastoreItem xmlns:ds="http://schemas.openxmlformats.org/officeDocument/2006/customXml" ds:itemID="{E14E919F-614E-4B28-97C2-58C8BA05D66D}">
  <ds:schemaRefs/>
</ds:datastoreItem>
</file>

<file path=customXml/itemProps15.xml><?xml version="1.0" encoding="utf-8"?>
<ds:datastoreItem xmlns:ds="http://schemas.openxmlformats.org/officeDocument/2006/customXml" ds:itemID="{B2BA2DC6-96D2-4824-821C-50CF63341C8B}">
  <ds:schemaRefs/>
</ds:datastoreItem>
</file>

<file path=customXml/itemProps2.xml><?xml version="1.0" encoding="utf-8"?>
<ds:datastoreItem xmlns:ds="http://schemas.openxmlformats.org/officeDocument/2006/customXml" ds:itemID="{D16D80BF-E540-4099-AB5E-85F1542146C1}">
  <ds:schemaRefs/>
</ds:datastoreItem>
</file>

<file path=customXml/itemProps3.xml><?xml version="1.0" encoding="utf-8"?>
<ds:datastoreItem xmlns:ds="http://schemas.openxmlformats.org/officeDocument/2006/customXml" ds:itemID="{2D30C711-1767-4A1F-89C2-0B0650CA3F4A}">
  <ds:schemaRefs/>
</ds:datastoreItem>
</file>

<file path=customXml/itemProps4.xml><?xml version="1.0" encoding="utf-8"?>
<ds:datastoreItem xmlns:ds="http://schemas.openxmlformats.org/officeDocument/2006/customXml" ds:itemID="{6EE4D82D-551B-4AB1-A6FD-274A06117B65}">
  <ds:schemaRefs/>
</ds:datastoreItem>
</file>

<file path=customXml/itemProps5.xml><?xml version="1.0" encoding="utf-8"?>
<ds:datastoreItem xmlns:ds="http://schemas.openxmlformats.org/officeDocument/2006/customXml" ds:itemID="{4F8D6EBC-BD7A-4446-9246-D95621F76D39}">
  <ds:schemaRefs/>
</ds:datastoreItem>
</file>

<file path=customXml/itemProps6.xml><?xml version="1.0" encoding="utf-8"?>
<ds:datastoreItem xmlns:ds="http://schemas.openxmlformats.org/officeDocument/2006/customXml" ds:itemID="{B7536158-A4AD-4CF0-A053-4C109892EA14}">
  <ds:schemaRefs/>
</ds:datastoreItem>
</file>

<file path=customXml/itemProps7.xml><?xml version="1.0" encoding="utf-8"?>
<ds:datastoreItem xmlns:ds="http://schemas.openxmlformats.org/officeDocument/2006/customXml" ds:itemID="{3468ADCB-B85B-419F-A724-2BC1F60BD570}">
  <ds:schemaRefs/>
</ds:datastoreItem>
</file>

<file path=customXml/itemProps8.xml><?xml version="1.0" encoding="utf-8"?>
<ds:datastoreItem xmlns:ds="http://schemas.openxmlformats.org/officeDocument/2006/customXml" ds:itemID="{9A4F60A7-D839-4245-979D-B2B56699531E}">
  <ds:schemaRefs/>
</ds:datastoreItem>
</file>

<file path=customXml/itemProps9.xml><?xml version="1.0" encoding="utf-8"?>
<ds:datastoreItem xmlns:ds="http://schemas.openxmlformats.org/officeDocument/2006/customXml" ds:itemID="{F058AFE8-ABD8-4283-B13F-8EEF3FC857A5}">
  <ds:schemaRefs/>
</ds:datastoreItem>
</file>

<file path=docProps/app.xml><?xml version="1.0" encoding="utf-8"?>
<Properties xmlns="http://schemas.openxmlformats.org/officeDocument/2006/extended-properties" xmlns:vt="http://schemas.openxmlformats.org/officeDocument/2006/docPropsVTypes">
  <Template>Normal</Template>
  <TotalTime>211</TotalTime>
  <Words>2765</Words>
  <Pages>4</Pages>
  <Characters>2918</Characters>
  <Application>WPS Office</Application>
  <DocSecurity>0</DocSecurity>
  <Paragraphs>188</Paragraphs>
  <ScaleCrop>false</ScaleCrop>
  <LinksUpToDate>false</LinksUpToDate>
  <CharactersWithSpaces>3019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2020-09-04T05:56:00Z</dcterms:created>
  <dc:creator>Joan</dc:creator>
  <lastModifiedBy>OPPO R9s</lastModifiedBy>
  <dcterms:modified xsi:type="dcterms:W3CDTF">2020-09-07T06:59:44Z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