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ind w:firstLine="480" w:firstLineChars="200"/>
        <w:rPr>
          <w:rFonts w:ascii="宋体"/>
          <w:bCs/>
          <w:iCs/>
          <w:sz w:val="24"/>
        </w:rPr>
      </w:pPr>
      <w:r>
        <w:rPr>
          <w:rFonts w:hint="eastAsia" w:ascii="宋体" w:hAnsi="宋体"/>
          <w:bCs/>
          <w:iCs/>
          <w:sz w:val="24"/>
        </w:rPr>
        <w:t>证券代码：300773</w:t>
      </w:r>
      <w:r>
        <w:rPr>
          <w:rFonts w:ascii="宋体" w:hAnsi="宋体"/>
          <w:bCs/>
          <w:iCs/>
          <w:sz w:val="24"/>
        </w:rPr>
        <w:t xml:space="preserve">                                  </w:t>
      </w:r>
      <w:r>
        <w:rPr>
          <w:rFonts w:hint="eastAsia" w:ascii="宋体" w:hAnsi="宋体"/>
          <w:bCs/>
          <w:iCs/>
          <w:sz w:val="24"/>
        </w:rPr>
        <w:t>证券简称：拉卡拉</w:t>
      </w:r>
    </w:p>
    <w:p>
      <w:pPr>
        <w:spacing w:before="312" w:beforeLines="100" w:after="312" w:afterLines="100" w:line="400" w:lineRule="exact"/>
        <w:ind w:firstLine="482" w:firstLineChars="200"/>
        <w:jc w:val="center"/>
        <w:rPr>
          <w:rFonts w:ascii="宋体"/>
          <w:b/>
          <w:bCs/>
          <w:iCs/>
          <w:sz w:val="24"/>
          <w:szCs w:val="24"/>
        </w:rPr>
      </w:pPr>
      <w:r>
        <w:rPr>
          <w:rFonts w:hint="eastAsia" w:ascii="宋体" w:hAnsi="宋体"/>
          <w:b/>
          <w:bCs/>
          <w:iCs/>
          <w:sz w:val="24"/>
          <w:szCs w:val="24"/>
        </w:rPr>
        <w:t>拉卡拉支付股份</w:t>
      </w:r>
      <w:r>
        <w:rPr>
          <w:rFonts w:hint="eastAsia" w:ascii="宋体" w:hAnsi="宋体"/>
          <w:b/>
          <w:bCs/>
          <w:iCs/>
          <w:sz w:val="24"/>
          <w:szCs w:val="24"/>
          <w:lang w:val="en-US" w:eastAsia="zh-CN"/>
        </w:rPr>
        <w:t>有限</w:t>
      </w:r>
      <w:r>
        <w:rPr>
          <w:rFonts w:hint="eastAsia" w:ascii="宋体" w:hAnsi="宋体"/>
          <w:b/>
          <w:bCs/>
          <w:iCs/>
          <w:sz w:val="24"/>
          <w:szCs w:val="24"/>
        </w:rPr>
        <w:t>公司投资者关系活动记录表</w:t>
      </w:r>
      <w:bookmarkStart w:id="0" w:name="_GoBack"/>
      <w:bookmarkEnd w:id="0"/>
    </w:p>
    <w:p>
      <w:pPr>
        <w:spacing w:line="400" w:lineRule="exact"/>
        <w:ind w:firstLine="480" w:firstLineChars="200"/>
        <w:jc w:val="right"/>
        <w:rPr>
          <w:rFonts w:ascii="宋体"/>
          <w:bCs/>
          <w:iCs/>
          <w:sz w:val="24"/>
          <w:szCs w:val="24"/>
        </w:rPr>
      </w:pPr>
      <w:r>
        <w:rPr>
          <w:rFonts w:hint="eastAsia" w:ascii="宋体" w:hAnsi="宋体"/>
          <w:bCs/>
          <w:iCs/>
          <w:sz w:val="24"/>
          <w:szCs w:val="24"/>
        </w:rPr>
        <w:t>编号：</w:t>
      </w:r>
      <w:r>
        <w:rPr>
          <w:rFonts w:ascii="宋体" w:hAnsi="宋体"/>
          <w:bCs/>
          <w:iCs/>
          <w:sz w:val="24"/>
          <w:szCs w:val="24"/>
        </w:rPr>
        <w:t>20200908001</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480" w:lineRule="atLeast"/>
              <w:jc w:val="center"/>
              <w:rPr>
                <w:rFonts w:ascii="宋体" w:hAnsi="宋体"/>
                <w:b/>
                <w:bCs/>
                <w:iCs/>
                <w:sz w:val="24"/>
                <w:szCs w:val="24"/>
              </w:rPr>
            </w:pPr>
            <w:r>
              <w:rPr>
                <w:rFonts w:hint="eastAsia" w:ascii="宋体" w:hAnsi="宋体"/>
                <w:b/>
                <w:bCs/>
                <w:iCs/>
                <w:sz w:val="24"/>
                <w:szCs w:val="24"/>
              </w:rPr>
              <w:t>投资者关系</w:t>
            </w:r>
          </w:p>
          <w:p>
            <w:pPr>
              <w:spacing w:line="480" w:lineRule="atLeast"/>
              <w:jc w:val="center"/>
              <w:rPr>
                <w:rFonts w:ascii="宋体"/>
                <w:b/>
                <w:bCs/>
                <w:iCs/>
                <w:sz w:val="24"/>
                <w:szCs w:val="24"/>
              </w:rPr>
            </w:pPr>
            <w:r>
              <w:rPr>
                <w:rFonts w:hint="eastAsia" w:ascii="宋体" w:hAnsi="宋体"/>
                <w:b/>
                <w:bCs/>
                <w:iCs/>
                <w:sz w:val="24"/>
                <w:szCs w:val="24"/>
              </w:rPr>
              <w:t>活动类别</w:t>
            </w:r>
          </w:p>
        </w:tc>
        <w:tc>
          <w:tcPr>
            <w:tcW w:w="6713" w:type="dxa"/>
          </w:tcPr>
          <w:p>
            <w:pPr>
              <w:spacing w:line="480" w:lineRule="atLeast"/>
              <w:ind w:firstLine="480" w:firstLineChars="200"/>
              <w:rPr>
                <w:rFonts w:ascii="宋体"/>
                <w:bCs/>
                <w:iCs/>
                <w:sz w:val="24"/>
                <w:szCs w:val="24"/>
              </w:rPr>
            </w:pPr>
            <w:r>
              <w:rPr>
                <w:rFonts w:hint="eastAsia" w:ascii="宋体" w:hAnsi="宋体"/>
                <w:bCs/>
                <w:iCs/>
                <w:sz w:val="24"/>
                <w:szCs w:val="24"/>
              </w:rPr>
              <w:t>□</w:t>
            </w:r>
            <w:r>
              <w:rPr>
                <w:rFonts w:hint="eastAsia" w:ascii="宋体" w:hAnsi="宋体"/>
                <w:sz w:val="24"/>
                <w:szCs w:val="24"/>
              </w:rPr>
              <w:t>特定对象调研</w:t>
            </w:r>
            <w:r>
              <w:rPr>
                <w:rFonts w:ascii="宋体" w:hAnsi="宋体"/>
                <w:sz w:val="24"/>
                <w:szCs w:val="24"/>
              </w:rPr>
              <w:t xml:space="preserve">        </w:t>
            </w:r>
            <w:r>
              <w:rPr>
                <w:rFonts w:hint="eastAsia" w:ascii="宋体" w:hAnsi="宋体"/>
                <w:bCs/>
                <w:iCs/>
                <w:sz w:val="24"/>
                <w:szCs w:val="24"/>
              </w:rPr>
              <w:t>□</w:t>
            </w:r>
            <w:r>
              <w:rPr>
                <w:rFonts w:hint="eastAsia" w:ascii="宋体" w:hAnsi="宋体"/>
                <w:sz w:val="24"/>
                <w:szCs w:val="24"/>
              </w:rPr>
              <w:t>分析师会议</w:t>
            </w:r>
          </w:p>
          <w:p>
            <w:pPr>
              <w:spacing w:line="480" w:lineRule="atLeast"/>
              <w:ind w:firstLine="480" w:firstLineChars="200"/>
              <w:rPr>
                <w:rFonts w:ascii="宋体"/>
                <w:bCs/>
                <w:iCs/>
                <w:sz w:val="24"/>
                <w:szCs w:val="24"/>
              </w:rPr>
            </w:pPr>
            <w:r>
              <w:rPr>
                <w:rFonts w:hint="eastAsia" w:ascii="宋体" w:hAnsi="宋体"/>
                <w:bCs/>
                <w:iCs/>
                <w:sz w:val="24"/>
                <w:szCs w:val="24"/>
              </w:rPr>
              <w:t>□</w:t>
            </w:r>
            <w:r>
              <w:rPr>
                <w:rFonts w:hint="eastAsia" w:ascii="宋体" w:hAnsi="宋体"/>
                <w:sz w:val="24"/>
                <w:szCs w:val="24"/>
              </w:rPr>
              <w:t>媒体采访</w:t>
            </w:r>
            <w:r>
              <w:rPr>
                <w:rFonts w:ascii="宋体" w:hAnsi="宋体"/>
                <w:sz w:val="24"/>
                <w:szCs w:val="24"/>
              </w:rPr>
              <w:t xml:space="preserve">            </w:t>
            </w:r>
            <w:r>
              <w:rPr>
                <w:rFonts w:hint="eastAsia" w:ascii="宋体" w:hAnsi="宋体"/>
                <w:bCs/>
                <w:iCs/>
                <w:sz w:val="24"/>
                <w:szCs w:val="24"/>
              </w:rPr>
              <w:t>□</w:t>
            </w:r>
            <w:r>
              <w:rPr>
                <w:rFonts w:hint="eastAsia" w:ascii="宋体" w:hAnsi="宋体"/>
                <w:sz w:val="24"/>
                <w:szCs w:val="24"/>
              </w:rPr>
              <w:t>业绩说明会</w:t>
            </w:r>
          </w:p>
          <w:p>
            <w:pPr>
              <w:spacing w:line="480" w:lineRule="atLeast"/>
              <w:ind w:firstLine="480" w:firstLineChars="200"/>
              <w:rPr>
                <w:rFonts w:ascii="宋体"/>
                <w:bCs/>
                <w:iCs/>
                <w:sz w:val="24"/>
                <w:szCs w:val="24"/>
              </w:rPr>
            </w:pPr>
            <w:r>
              <w:rPr>
                <w:rFonts w:hint="eastAsia" w:ascii="宋体" w:hAnsi="宋体"/>
                <w:bCs/>
                <w:iCs/>
                <w:sz w:val="24"/>
                <w:szCs w:val="24"/>
              </w:rPr>
              <w:t>□</w:t>
            </w:r>
            <w:r>
              <w:rPr>
                <w:rFonts w:hint="eastAsia" w:ascii="宋体" w:hAnsi="宋体"/>
                <w:sz w:val="24"/>
                <w:szCs w:val="24"/>
              </w:rPr>
              <w:t>新闻发布会</w:t>
            </w:r>
            <w:r>
              <w:rPr>
                <w:rFonts w:ascii="宋体" w:hAnsi="宋体"/>
                <w:sz w:val="24"/>
                <w:szCs w:val="24"/>
              </w:rPr>
              <w:t xml:space="preserve">          </w:t>
            </w:r>
            <w:r>
              <w:rPr>
                <w:rFonts w:hint="eastAsia" w:ascii="宋体" w:hAnsi="宋体"/>
                <w:bCs/>
                <w:iCs/>
                <w:sz w:val="24"/>
                <w:szCs w:val="24"/>
              </w:rPr>
              <w:t>□</w:t>
            </w:r>
            <w:r>
              <w:rPr>
                <w:rFonts w:hint="eastAsia" w:ascii="宋体" w:hAnsi="宋体"/>
                <w:sz w:val="24"/>
                <w:szCs w:val="24"/>
              </w:rPr>
              <w:t>路演活动</w:t>
            </w:r>
          </w:p>
          <w:p>
            <w:pPr>
              <w:tabs>
                <w:tab w:val="left" w:pos="3045"/>
                <w:tab w:val="center" w:pos="3199"/>
              </w:tabs>
              <w:spacing w:line="480" w:lineRule="atLeast"/>
              <w:ind w:firstLine="480" w:firstLineChars="200"/>
              <w:rPr>
                <w:rFonts w:ascii="宋体"/>
                <w:bCs/>
                <w:iCs/>
                <w:sz w:val="24"/>
                <w:szCs w:val="24"/>
              </w:rPr>
            </w:pPr>
            <w:r>
              <w:rPr>
                <w:rFonts w:hint="eastAsia" w:ascii="宋体" w:hAnsi="宋体"/>
                <w:bCs/>
                <w:iCs/>
                <w:sz w:val="24"/>
                <w:szCs w:val="24"/>
              </w:rPr>
              <w:t>□</w:t>
            </w:r>
            <w:r>
              <w:rPr>
                <w:rFonts w:hint="eastAsia" w:ascii="宋体" w:hAnsi="宋体"/>
                <w:sz w:val="24"/>
                <w:szCs w:val="24"/>
              </w:rPr>
              <w:t>现场参观</w:t>
            </w:r>
            <w:r>
              <w:rPr>
                <w:rFonts w:ascii="宋体"/>
                <w:bCs/>
                <w:iCs/>
                <w:sz w:val="24"/>
                <w:szCs w:val="24"/>
              </w:rPr>
              <w:tab/>
            </w:r>
          </w:p>
          <w:p>
            <w:pPr>
              <w:tabs>
                <w:tab w:val="center" w:pos="3199"/>
              </w:tabs>
              <w:spacing w:line="480" w:lineRule="atLeast"/>
              <w:ind w:firstLine="480" w:firstLineChars="200"/>
              <w:rPr>
                <w:rFonts w:ascii="宋体"/>
                <w:bCs/>
                <w:iCs/>
                <w:sz w:val="24"/>
                <w:szCs w:val="24"/>
              </w:rPr>
            </w:pPr>
            <w:r>
              <w:rPr>
                <w:rFonts w:ascii="Segoe UI Symbol" w:hAnsi="Segoe UI Symbol" w:cs="Segoe UI Symbol"/>
                <w:bCs/>
                <w:iCs/>
                <w:sz w:val="24"/>
                <w:szCs w:val="24"/>
              </w:rPr>
              <w:t>☑</w:t>
            </w:r>
            <w:r>
              <w:rPr>
                <w:rFonts w:hint="eastAsia" w:ascii="宋体" w:hAnsi="宋体"/>
                <w:sz w:val="24"/>
                <w:szCs w:val="24"/>
              </w:rPr>
              <w:t>其他</w:t>
            </w:r>
            <w:r>
              <w:rPr>
                <w:rFonts w:ascii="宋体" w:hAnsi="宋体"/>
                <w:sz w:val="24"/>
                <w:szCs w:val="24"/>
              </w:rPr>
              <w:t xml:space="preserve"> </w:t>
            </w:r>
            <w:r>
              <w:rPr>
                <w:rFonts w:hint="eastAsia" w:ascii="宋体" w:hAnsi="宋体"/>
                <w:sz w:val="24"/>
                <w:szCs w:val="24"/>
              </w:rPr>
              <w:t>（</w:t>
            </w:r>
            <w:r>
              <w:rPr>
                <w:rFonts w:ascii="宋体" w:hAnsi="宋体"/>
                <w:sz w:val="24"/>
                <w:szCs w:val="24"/>
                <w:u w:val="single"/>
              </w:rPr>
              <w:t>北京辖区上市公司网上投资者集体接待日</w:t>
            </w:r>
            <w:r>
              <w:rPr>
                <w:rFonts w:hint="eastAsia" w:ascii="宋体" w:hAnsi="宋体"/>
                <w:sz w:val="24"/>
                <w:szCs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809" w:type="dxa"/>
          </w:tcPr>
          <w:p>
            <w:pPr>
              <w:spacing w:line="480" w:lineRule="atLeast"/>
              <w:rPr>
                <w:rFonts w:ascii="宋体" w:hAnsi="宋体"/>
                <w:b/>
                <w:bCs/>
                <w:iCs/>
                <w:sz w:val="24"/>
                <w:szCs w:val="24"/>
              </w:rPr>
            </w:pPr>
            <w:r>
              <w:rPr>
                <w:rFonts w:hint="eastAsia" w:ascii="宋体" w:hAnsi="宋体"/>
                <w:b/>
                <w:bCs/>
                <w:iCs/>
                <w:sz w:val="24"/>
                <w:szCs w:val="24"/>
              </w:rPr>
              <w:t>参与单位名称</w:t>
            </w:r>
          </w:p>
          <w:p>
            <w:pPr>
              <w:spacing w:line="480" w:lineRule="atLeast"/>
              <w:rPr>
                <w:rFonts w:ascii="宋体"/>
                <w:b/>
                <w:bCs/>
                <w:iCs/>
                <w:sz w:val="24"/>
                <w:szCs w:val="24"/>
              </w:rPr>
            </w:pPr>
            <w:r>
              <w:rPr>
                <w:rFonts w:hint="eastAsia" w:ascii="宋体" w:hAnsi="宋体"/>
                <w:b/>
                <w:bCs/>
                <w:iCs/>
                <w:sz w:val="24"/>
                <w:szCs w:val="24"/>
              </w:rPr>
              <w:t>及人员姓名</w:t>
            </w:r>
          </w:p>
        </w:tc>
        <w:tc>
          <w:tcPr>
            <w:tcW w:w="6713" w:type="dxa"/>
          </w:tcPr>
          <w:p>
            <w:pPr>
              <w:spacing w:line="480" w:lineRule="atLeast"/>
              <w:jc w:val="left"/>
              <w:rPr>
                <w:rFonts w:ascii="宋体" w:hAnsi="宋体" w:cs="宋体"/>
                <w:bCs/>
                <w:iCs/>
                <w:sz w:val="24"/>
                <w:szCs w:val="24"/>
              </w:rPr>
            </w:pPr>
            <w:r>
              <w:rPr>
                <w:rFonts w:ascii="宋体" w:hAnsi="宋体" w:cs="宋体"/>
                <w:bCs/>
                <w:iCs/>
                <w:sz w:val="24"/>
                <w:szCs w:val="24"/>
              </w:rPr>
              <w:t>线上投资者交流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809" w:type="dxa"/>
          </w:tcPr>
          <w:p>
            <w:pPr>
              <w:spacing w:line="480" w:lineRule="atLeast"/>
              <w:rPr>
                <w:rFonts w:ascii="宋体"/>
                <w:b/>
                <w:bCs/>
                <w:iCs/>
                <w:sz w:val="24"/>
                <w:szCs w:val="24"/>
              </w:rPr>
            </w:pPr>
            <w:r>
              <w:rPr>
                <w:rFonts w:hint="eastAsia" w:ascii="宋体" w:hAnsi="宋体"/>
                <w:b/>
                <w:bCs/>
                <w:iCs/>
                <w:sz w:val="24"/>
                <w:szCs w:val="24"/>
              </w:rPr>
              <w:t>时间</w:t>
            </w:r>
          </w:p>
        </w:tc>
        <w:tc>
          <w:tcPr>
            <w:tcW w:w="6713" w:type="dxa"/>
          </w:tcPr>
          <w:p>
            <w:pPr>
              <w:spacing w:line="480" w:lineRule="atLeast"/>
              <w:rPr>
                <w:rFonts w:ascii="宋体"/>
                <w:bCs/>
                <w:iCs/>
                <w:sz w:val="24"/>
                <w:szCs w:val="24"/>
              </w:rPr>
            </w:pPr>
            <w:r>
              <w:rPr>
                <w:rFonts w:hint="eastAsia" w:ascii="宋体"/>
                <w:bCs/>
                <w:iCs/>
                <w:sz w:val="24"/>
                <w:szCs w:val="24"/>
              </w:rPr>
              <w:t>2020年0</w:t>
            </w:r>
            <w:r>
              <w:rPr>
                <w:rFonts w:ascii="宋体"/>
                <w:bCs/>
                <w:iCs/>
                <w:sz w:val="24"/>
                <w:szCs w:val="24"/>
              </w:rPr>
              <w:t>9</w:t>
            </w:r>
            <w:r>
              <w:rPr>
                <w:rFonts w:hint="eastAsia" w:ascii="宋体"/>
                <w:bCs/>
                <w:iCs/>
                <w:sz w:val="24"/>
                <w:szCs w:val="24"/>
              </w:rPr>
              <w:t>月</w:t>
            </w:r>
            <w:r>
              <w:rPr>
                <w:rFonts w:ascii="宋体"/>
                <w:bCs/>
                <w:iCs/>
                <w:sz w:val="24"/>
                <w:szCs w:val="24"/>
              </w:rPr>
              <w:t>08</w:t>
            </w:r>
            <w:r>
              <w:rPr>
                <w:rFonts w:hint="eastAsia" w:ascii="宋体"/>
                <w:bCs/>
                <w:iCs/>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480" w:lineRule="atLeast"/>
              <w:rPr>
                <w:rFonts w:ascii="宋体"/>
                <w:b/>
                <w:bCs/>
                <w:iCs/>
                <w:sz w:val="24"/>
                <w:szCs w:val="24"/>
              </w:rPr>
            </w:pPr>
            <w:r>
              <w:rPr>
                <w:rFonts w:hint="eastAsia" w:ascii="宋体" w:hAnsi="宋体"/>
                <w:b/>
                <w:bCs/>
                <w:iCs/>
                <w:sz w:val="24"/>
                <w:szCs w:val="24"/>
              </w:rPr>
              <w:t>地点</w:t>
            </w:r>
          </w:p>
        </w:tc>
        <w:tc>
          <w:tcPr>
            <w:tcW w:w="6713" w:type="dxa"/>
          </w:tcPr>
          <w:p>
            <w:pPr>
              <w:spacing w:line="480" w:lineRule="atLeast"/>
              <w:rPr>
                <w:rFonts w:ascii="宋体"/>
                <w:bCs/>
                <w:iCs/>
                <w:sz w:val="24"/>
                <w:szCs w:val="24"/>
              </w:rPr>
            </w:pPr>
            <w:r>
              <w:rPr>
                <w:rFonts w:hint="eastAsia" w:ascii="宋体"/>
                <w:bCs/>
                <w:iCs/>
                <w:sz w:val="24"/>
                <w:szCs w:val="24"/>
              </w:rPr>
              <w:t>“全景·路演天下”（投资者关系互动平台）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09" w:type="dxa"/>
          </w:tcPr>
          <w:p>
            <w:pPr>
              <w:spacing w:line="480" w:lineRule="atLeast"/>
              <w:rPr>
                <w:rFonts w:ascii="宋体" w:hAnsi="宋体"/>
                <w:b/>
                <w:bCs/>
                <w:iCs/>
                <w:sz w:val="24"/>
                <w:szCs w:val="24"/>
              </w:rPr>
            </w:pPr>
            <w:r>
              <w:rPr>
                <w:rFonts w:hint="eastAsia" w:ascii="宋体" w:hAnsi="宋体"/>
                <w:b/>
                <w:bCs/>
                <w:iCs/>
                <w:sz w:val="24"/>
                <w:szCs w:val="24"/>
              </w:rPr>
              <w:t>上市公司接</w:t>
            </w:r>
          </w:p>
          <w:p>
            <w:pPr>
              <w:spacing w:line="480" w:lineRule="atLeast"/>
              <w:rPr>
                <w:rFonts w:ascii="宋体"/>
                <w:b/>
                <w:bCs/>
                <w:iCs/>
                <w:sz w:val="24"/>
                <w:szCs w:val="24"/>
              </w:rPr>
            </w:pPr>
            <w:r>
              <w:rPr>
                <w:rFonts w:hint="eastAsia" w:ascii="宋体" w:hAnsi="宋体"/>
                <w:b/>
                <w:bCs/>
                <w:iCs/>
                <w:sz w:val="24"/>
                <w:szCs w:val="24"/>
              </w:rPr>
              <w:t>待人员姓名</w:t>
            </w:r>
          </w:p>
        </w:tc>
        <w:tc>
          <w:tcPr>
            <w:tcW w:w="6713" w:type="dxa"/>
          </w:tcPr>
          <w:p>
            <w:pPr>
              <w:spacing w:line="480" w:lineRule="atLeast"/>
              <w:jc w:val="left"/>
              <w:rPr>
                <w:rFonts w:ascii="宋体"/>
                <w:bCs/>
                <w:iCs/>
                <w:sz w:val="24"/>
                <w:szCs w:val="24"/>
              </w:rPr>
            </w:pPr>
            <w:r>
              <w:rPr>
                <w:rFonts w:ascii="宋体"/>
                <w:bCs/>
                <w:iCs/>
                <w:sz w:val="24"/>
                <w:szCs w:val="24"/>
              </w:rPr>
              <w:t>公司总经理</w:t>
            </w:r>
            <w:r>
              <w:rPr>
                <w:rFonts w:hint="eastAsia" w:ascii="宋体"/>
                <w:bCs/>
                <w:iCs/>
                <w:sz w:val="24"/>
                <w:szCs w:val="24"/>
              </w:rPr>
              <w:t xml:space="preserve"> 舒世忠</w:t>
            </w:r>
          </w:p>
          <w:p>
            <w:pPr>
              <w:spacing w:line="480" w:lineRule="atLeast"/>
              <w:jc w:val="left"/>
              <w:rPr>
                <w:rFonts w:ascii="宋体"/>
                <w:bCs/>
                <w:iCs/>
                <w:sz w:val="24"/>
                <w:szCs w:val="24"/>
              </w:rPr>
            </w:pPr>
            <w:r>
              <w:rPr>
                <w:rFonts w:hint="eastAsia" w:ascii="宋体"/>
                <w:bCs/>
                <w:iCs/>
                <w:sz w:val="24"/>
                <w:szCs w:val="24"/>
              </w:rPr>
              <w:t>公司副总经理兼董事会秘书 朱国海</w:t>
            </w:r>
          </w:p>
          <w:p>
            <w:pPr>
              <w:spacing w:line="480" w:lineRule="atLeast"/>
              <w:jc w:val="left"/>
              <w:rPr>
                <w:rFonts w:ascii="宋体"/>
                <w:bCs/>
                <w:iCs/>
                <w:sz w:val="24"/>
                <w:szCs w:val="24"/>
              </w:rPr>
            </w:pPr>
            <w:r>
              <w:rPr>
                <w:rFonts w:ascii="宋体"/>
                <w:bCs/>
                <w:iCs/>
                <w:sz w:val="24"/>
                <w:szCs w:val="24"/>
              </w:rPr>
              <w:t>公司财务总监</w:t>
            </w:r>
            <w:r>
              <w:rPr>
                <w:rFonts w:hint="eastAsia" w:ascii="宋体"/>
                <w:bCs/>
                <w:iCs/>
                <w:sz w:val="24"/>
                <w:szCs w:val="24"/>
              </w:rPr>
              <w:t xml:space="preserve"> 周钢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trPr>
        <w:tc>
          <w:tcPr>
            <w:tcW w:w="1809" w:type="dxa"/>
            <w:vAlign w:val="center"/>
          </w:tcPr>
          <w:p>
            <w:pPr>
              <w:spacing w:line="480" w:lineRule="atLeast"/>
              <w:rPr>
                <w:rFonts w:ascii="宋体" w:hAnsi="宋体"/>
                <w:b/>
                <w:bCs/>
                <w:iCs/>
                <w:sz w:val="24"/>
                <w:szCs w:val="24"/>
              </w:rPr>
            </w:pPr>
            <w:r>
              <w:rPr>
                <w:rFonts w:hint="eastAsia" w:ascii="宋体" w:hAnsi="宋体"/>
                <w:b/>
                <w:bCs/>
                <w:iCs/>
                <w:sz w:val="24"/>
                <w:szCs w:val="24"/>
              </w:rPr>
              <w:t>投资者关系</w:t>
            </w:r>
          </w:p>
          <w:p>
            <w:pPr>
              <w:spacing w:line="480" w:lineRule="atLeast"/>
              <w:rPr>
                <w:rFonts w:ascii="宋体" w:hAnsi="宋体"/>
                <w:b/>
                <w:bCs/>
                <w:iCs/>
                <w:sz w:val="24"/>
                <w:szCs w:val="24"/>
              </w:rPr>
            </w:pPr>
            <w:r>
              <w:rPr>
                <w:rFonts w:hint="eastAsia" w:ascii="宋体" w:hAnsi="宋体"/>
                <w:b/>
                <w:bCs/>
                <w:iCs/>
                <w:sz w:val="24"/>
                <w:szCs w:val="24"/>
              </w:rPr>
              <w:t>活动主要内</w:t>
            </w:r>
          </w:p>
          <w:p>
            <w:pPr>
              <w:spacing w:line="480" w:lineRule="atLeast"/>
              <w:ind w:firstLine="482" w:firstLineChars="200"/>
              <w:rPr>
                <w:rFonts w:ascii="宋体"/>
                <w:b/>
                <w:bCs/>
                <w:iCs/>
                <w:sz w:val="24"/>
                <w:szCs w:val="24"/>
              </w:rPr>
            </w:pPr>
            <w:r>
              <w:rPr>
                <w:rFonts w:hint="eastAsia" w:ascii="宋体" w:hAnsi="宋体"/>
                <w:b/>
                <w:bCs/>
                <w:iCs/>
                <w:sz w:val="24"/>
                <w:szCs w:val="24"/>
              </w:rPr>
              <w:t>容介绍</w:t>
            </w:r>
          </w:p>
        </w:tc>
        <w:tc>
          <w:tcPr>
            <w:tcW w:w="6713" w:type="dxa"/>
          </w:tcPr>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Q：请问公司以支付为入口，开始全维度为线下中小微企业的经营赋能的“战略4.0”，具体是什么样的模式？</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A：您好！公司为商户提供支付科技服务，并通过线上和线下的模式，向商户经营和消费提供金融科技、电商科技、信息科技服务。谢谢！</w:t>
            </w:r>
          </w:p>
          <w:p>
            <w:pPr>
              <w:pStyle w:val="18"/>
              <w:adjustRightInd w:val="0"/>
              <w:snapToGrid w:val="0"/>
              <w:spacing w:before="218" w:beforeLines="70" w:after="218" w:afterLines="70"/>
              <w:ind w:firstLine="48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Q：面对支付宝、微信、银联这些超强同行，还有数字货币，拉卡拉外部竞争压力很大，你们有哪些理由让我们投资者对公司的未来充满信心？</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公司是第三方支付行业的龙头企业，中国银联、中国网联以及VISA、Mastercard等四大国际卡组织，支付宝、微信、商业银行均与公司建立了合作伙伴关系。公司具备以下竞争优势，对未来充满信心：1）遍布全国的分支机构；2）超过2200万的商户规模；3）战略投资银行、证券、保险、网联以及产业互联网等领域，形成了为中小微商户提供支付、金融、电商以及信息等科技服务的强大能力；4）业务不断创新，上市后推出基于SaaS的“云小店”、“汇管店”、“收款码”、“云收单”、“手机POS”等产品；5）领先的技术和风控能力，搭建了DT驱动的大数据中台和独立架构的清结算体系，业务欺诈损失率保持在百万分之一的水平，智能机器人替代人工客户服务和营销服务率已经超过60%；6）强大的企业文化。</w:t>
            </w:r>
          </w:p>
          <w:p>
            <w:pPr>
              <w:pStyle w:val="18"/>
              <w:adjustRightInd w:val="0"/>
              <w:snapToGrid w:val="0"/>
              <w:spacing w:before="218" w:beforeLines="70" w:after="218" w:afterLines="70"/>
              <w:ind w:firstLine="0" w:firstLineChars="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Q：今年有多少机构来公司调研？与往年比较如何？</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A：您好，今年以来超过80家机构调研公司，其中QFII机构超过15家，谢谢！</w:t>
            </w:r>
          </w:p>
          <w:p>
            <w:pPr>
              <w:pStyle w:val="18"/>
              <w:adjustRightInd w:val="0"/>
              <w:snapToGrid w:val="0"/>
              <w:spacing w:before="218" w:beforeLines="70" w:after="218" w:afterLines="70"/>
              <w:ind w:firstLine="0" w:firstLineChars="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Q：请问贵公司有参加2020年9月24日-9月26日在上海黄浦世博园区举行“外滩大会”的计划吗？</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A：您好，公司目前有计划，谢谢！</w:t>
            </w:r>
          </w:p>
          <w:p>
            <w:pPr>
              <w:pStyle w:val="18"/>
              <w:adjustRightInd w:val="0"/>
              <w:snapToGrid w:val="0"/>
              <w:spacing w:before="218" w:beforeLines="70" w:after="218" w:afterLines="70"/>
              <w:ind w:firstLine="0" w:firstLineChars="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Q：分公司主要是负责哪方面，分公司是否负责招商和管理当地区域的代理么？分公司负责当地的直营商户推广么？分公司与代理会有业务冲突么？</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A：您好，分公司负责当地直营商户的推广，与代理没有冲突。谢谢！</w:t>
            </w:r>
          </w:p>
          <w:p>
            <w:pPr>
              <w:pStyle w:val="18"/>
              <w:adjustRightInd w:val="0"/>
              <w:snapToGrid w:val="0"/>
              <w:spacing w:before="218" w:beforeLines="70" w:after="218" w:afterLines="70"/>
              <w:ind w:firstLine="48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Q：港股移卡、美国上市的SQ，市盈率都在200倍左右，作为业务基本相同的拉卡拉在A股只有38倍，建议与机构投资者多交流，做好市值管理。</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A：您好，谢谢您的建议。</w:t>
            </w:r>
          </w:p>
          <w:p>
            <w:pPr>
              <w:pStyle w:val="18"/>
              <w:adjustRightInd w:val="0"/>
              <w:snapToGrid w:val="0"/>
              <w:spacing w:before="218" w:beforeLines="70" w:after="218" w:afterLines="70"/>
              <w:ind w:firstLine="48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Q：公司今年的收单新产品，是更注重代理去推广还是直营团队去推广。公司接下来会重点发展直营团队还是代理团队，为什么？</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A：您好，公司今年重点推广了“云收单”、“云小店”、“汇管店”、“收款码”、“手机POS”等新产品，上述产品现阶段主要由直营团队推广，接下来的会以直营、代理、行业合作等方式并重发展。谢谢！</w:t>
            </w:r>
          </w:p>
          <w:p>
            <w:pPr>
              <w:pStyle w:val="18"/>
              <w:adjustRightInd w:val="0"/>
              <w:snapToGrid w:val="0"/>
              <w:spacing w:before="218" w:beforeLines="70" w:after="218" w:afterLines="70"/>
              <w:ind w:firstLine="48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Q：拉卡拉入股收钱吧，收钱吧是主要做线下店铺支付宝微信聚合支付的公司，那入股收钱吧，对你们自身同类产品的发展推广有没有影响，对推广团队的政策有没有影响和变动。</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A：您好，收钱吧是公司的合作伙伴，入股收钱吧对公司自身产品的发展推广没有影响，谢谢！</w:t>
            </w:r>
          </w:p>
          <w:p>
            <w:pPr>
              <w:pStyle w:val="18"/>
              <w:adjustRightInd w:val="0"/>
              <w:snapToGrid w:val="0"/>
              <w:spacing w:before="218" w:beforeLines="70" w:after="218" w:afterLines="70"/>
              <w:ind w:firstLine="48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Q：可能即将出台的《收单外包服务机构备案管理办法》，会对渠道推广有何影响么？会如何应对？会组织代理商进行备案么？</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A：您好，《管理办法》有利于支付行业长远健康发展，公司将严格按照《管理办法》加强渠道管理，谢谢！</w:t>
            </w:r>
          </w:p>
          <w:p>
            <w:pPr>
              <w:pStyle w:val="18"/>
              <w:adjustRightInd w:val="0"/>
              <w:snapToGrid w:val="0"/>
              <w:spacing w:before="218" w:beforeLines="70" w:after="218" w:afterLines="70"/>
              <w:ind w:firstLine="0" w:firstLineChars="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Q：请问贵公司在数字货币方面有何具体研究？</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A：您好，数字货币的推进由央行主导，公司一直严格按照央行部署，对DCEP保持密切关注与沟通，并成立了专门团队开展研究和探索工作，谢谢！</w:t>
            </w:r>
          </w:p>
          <w:p>
            <w:pPr>
              <w:pStyle w:val="18"/>
              <w:adjustRightInd w:val="0"/>
              <w:snapToGrid w:val="0"/>
              <w:spacing w:before="218" w:beforeLines="70" w:after="218" w:afterLines="70"/>
              <w:ind w:firstLine="0" w:firstLineChars="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Q：请问公司如何评价与 Square 的业务和发展方向比较？</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公司与Square在业务和发展方向上有一定的相同，均以支付为入口，为中小微商户的经营与消费提供各种服务。从目前公开数据看，公司的支付交易金额是Square的六倍之多，拉卡拉在支付交易规模、商户规模、盈利状况等方面依旧处于快速发展的阶段。公司在支付业务上的产品、应用场景、交易处理以及创新能力等方面也具有确定的优势。谢谢！</w:t>
            </w:r>
          </w:p>
          <w:p>
            <w:pPr>
              <w:pStyle w:val="18"/>
              <w:adjustRightInd w:val="0"/>
              <w:snapToGrid w:val="0"/>
              <w:spacing w:before="218" w:beforeLines="70" w:after="218" w:afterLines="70"/>
              <w:ind w:firstLine="48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Q：请介绍下公司战略定位及主要业务板块？</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A：您好，公司定位于以支付为切入，整合信息科技，向中小微商户提供线上与线下全维度经营服务，主要业务板块包括：支付科技业务、金融科技业务、电商科技业务、信息科技业务。谢谢！</w:t>
            </w:r>
          </w:p>
          <w:p>
            <w:pPr>
              <w:pStyle w:val="18"/>
              <w:adjustRightInd w:val="0"/>
              <w:snapToGrid w:val="0"/>
              <w:spacing w:before="218" w:beforeLines="70" w:after="218" w:afterLines="70"/>
              <w:ind w:firstLine="48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Q：公司2020年上半年财务费用下降较大的主要原因是什么？</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A：你好，财务费用同比下降较大，主要系两方面原因：一是利息收入上升：受益于经营资金与募集资金增加利息收入；二是银行手续费下降：主要是因为，按照银联规定自2019年4月起免除手续费。谢谢！</w:t>
            </w:r>
          </w:p>
          <w:p>
            <w:pPr>
              <w:pStyle w:val="18"/>
              <w:adjustRightInd w:val="0"/>
              <w:snapToGrid w:val="0"/>
              <w:spacing w:before="218" w:beforeLines="70" w:after="218" w:afterLines="70"/>
              <w:ind w:firstLine="48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Q：请问公司在国内最大的竞争对手是哪家？</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A：您好，国内其他机构都有自己的特长，但拉卡拉最大的竞争对手还是我们自己，谢谢！</w:t>
            </w:r>
          </w:p>
          <w:p>
            <w:pPr>
              <w:pStyle w:val="18"/>
              <w:adjustRightInd w:val="0"/>
              <w:snapToGrid w:val="0"/>
              <w:spacing w:before="218" w:beforeLines="70" w:after="218" w:afterLines="70"/>
              <w:ind w:firstLine="48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Q：公司是如何响应国家提倡的小店经济？</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公司积极响应政府支持小微商户复商复市的号召，推出了“梦想加码计划”，包括手续费减免、创业基金扶持、专属保险保障、技术产品支持等多个方面，希望通过一系列优惠帮扶举措，助力全国范围内的小微商家复苏增长！公司的“收款码”、“汇管店”、“云小店”三款云服务产品，聚合刷卡、扫码、云闪付等市场主流支付手段，同时帮助小微商户快速实现云端开店、云端管理和线上获客，提升店铺的经营能力与经营效率。谢谢！</w:t>
            </w:r>
          </w:p>
          <w:p>
            <w:pPr>
              <w:pStyle w:val="18"/>
              <w:adjustRightInd w:val="0"/>
              <w:snapToGrid w:val="0"/>
              <w:spacing w:before="218" w:beforeLines="70" w:after="218" w:afterLines="70"/>
              <w:ind w:firstLine="48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Q：贵公司是否有长期投资价值？近几期业绩报告能保住上市时的利润势头吗？未来会有哪些增利润大发展的重大措施？</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公司一直以成为行业数一数二、可持续成长及受人尊重的企业为发展目标，拥有覆盖全国的分支机构和销售渠道，具备强大的市场开拓、行业合作和商户触达能力。公司发展战略清晰，始终坚持“以支付切入，整合信息科技，服务线下实体，全维度为中小微商户经营赋能”的经营战略，通过持续的技术与产品创新，内生式与外延式发展并举，不断丰富公司“支付、金融、电商、信息”四大科技板块的产品矩阵，形成支付业务与商户经营业务两大增长引擎。同时，充满活力的经营机制和强大的企业文化，让公司具备极强的战略执行力，保证公司实现发展目标，持续健康成长。</w:t>
            </w:r>
          </w:p>
          <w:p>
            <w:pPr>
              <w:pStyle w:val="18"/>
              <w:adjustRightInd w:val="0"/>
              <w:snapToGrid w:val="0"/>
              <w:spacing w:before="218" w:beforeLines="70" w:after="218" w:afterLines="70"/>
              <w:ind w:firstLine="0" w:firstLineChars="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Q：请问支付行业进入壁垒高么？</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支行行业壁垒体现在以下两个方面:第一，监管政策对行业内企业的规范运作、资质认证方面均提出了较高的要求。第二，第三方支付行业属于技术壁垒较强的行业，对稳定性、安全性和风险控制的要求极高，具体表现为：1）海量商户、大规模的交易处理能力；2）服务实时化；3）实时风险防控能力；4）资金安全和业务数据安全保障能力。这要求第三方支付机构特别是大型支付机构必须具备较强的研发能力与技术积累。</w:t>
            </w:r>
          </w:p>
          <w:p>
            <w:pPr>
              <w:pStyle w:val="18"/>
              <w:adjustRightInd w:val="0"/>
              <w:snapToGrid w:val="0"/>
              <w:spacing w:before="218" w:beforeLines="70" w:after="218" w:afterLines="70"/>
              <w:ind w:firstLine="48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Q：公司金融科技业务发展势头如何？</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公司金融科技业务主要包括：1)与金融持牌机构合作，解决中小微商户日常经营的资金需求，同时提供更多金融增值服务如保险、信用卡申请等；2)凭借在支付行业累积的经验和技术能力，向中小银行提供云收单系统。2020年上半年金融科技业务延续了去年的良好形势，业务布局的成果显现，收入达到1.99亿元，同比增长了474%。谢谢！</w:t>
            </w:r>
          </w:p>
          <w:p>
            <w:pPr>
              <w:pStyle w:val="18"/>
              <w:adjustRightInd w:val="0"/>
              <w:snapToGrid w:val="0"/>
              <w:spacing w:before="218" w:beforeLines="70" w:after="218" w:afterLines="70"/>
              <w:ind w:firstLine="48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Q：近来民生、广发、光大等银行纷纷取消消费积分，对公司会不会产生不利影响？</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支付行业是个增量市场，随着经济增长和科技进步，交易量会持续增加，随着对商户服务的下沉，用户经营上的需求也形成了巨大市场。国外经验来看头部公司市场份额更大。此外，监管越来越严格利于头部企业开拓市场，份额向头部集中是必然的趋势。谢谢！</w:t>
            </w:r>
          </w:p>
          <w:p>
            <w:pPr>
              <w:pStyle w:val="18"/>
              <w:adjustRightInd w:val="0"/>
              <w:snapToGrid w:val="0"/>
              <w:spacing w:before="218" w:beforeLines="70" w:after="218" w:afterLines="70"/>
              <w:ind w:firstLine="48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Q：大股东持股情况?</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A：您好，公司主要股东承诺上市后锁定36个月，目前处于限售状态。谢谢！</w:t>
            </w:r>
          </w:p>
          <w:p>
            <w:pPr>
              <w:pStyle w:val="18"/>
              <w:adjustRightInd w:val="0"/>
              <w:snapToGrid w:val="0"/>
              <w:spacing w:before="218" w:beforeLines="70" w:after="218" w:afterLines="70"/>
              <w:ind w:firstLine="48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Q：在第三方支付公司中，拉卡拉有什么技术优势？</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首先，公司基于自主云建设路线，持续对底层IDC能力和容量进行拓展升级，形成了IDC、专有云、公有云的混合云融合生态。其次，通过数据标签的持续建设结合AI深度学习逐步形成了DT驱动的大数据中台，具备为业务处理、运营、风控、智能营销等方面提供精准数据支撑的能力，智能风控系统实现伪卡、盗刷等主流作案手法监控覆盖率达95%以上，业务欺诈损失率保持在百万分之一的水平，智能机器人替代人工客户服务和营销服务率已经超过60%。更重要的是，公司建立了独立架构的清结算体系，采用分布式企业级信息技术，具备百万级TPS集群并发处理能力、99.999%的可靠性；公司的应用研发、测试和生产运行联动一体化运行机制，让公司具备强大的产研融合能力。公司在区块链、人工智能、大数据等前沿技术上的研发投入，助力产品创新，保持行业领先。截止2020年6月底，公司持有的专利55项，在申请专利49个。谢谢！</w:t>
            </w:r>
          </w:p>
          <w:p>
            <w:pPr>
              <w:pStyle w:val="18"/>
              <w:adjustRightInd w:val="0"/>
              <w:snapToGrid w:val="0"/>
              <w:spacing w:before="218" w:beforeLines="70" w:after="218" w:afterLines="70"/>
              <w:ind w:firstLine="48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Q：请问第三方支付行业交易规模未来是否还能持续增长，公司与外部机构合作情况？</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央行发布的2019年支付体系运行总体情况报告显示，2019年全国社会资金交易规模不断扩大，支付业务量保持稳步增长，移动支付业务量增速相对较快。公司外部合作机构广泛，主要有：1、中国银联、中国网联以及VISA、MasterCard、Discover、American Express等国际卡组织。2、支付宝、微信，以及国内外商业银行、保险、证券等金融机构。3、移动运营商、航空公司、商超、便利店、餐饮、酒店等各类收单商户、智能终端硬件厂商等。</w:t>
            </w:r>
          </w:p>
          <w:p>
            <w:pPr>
              <w:pStyle w:val="18"/>
              <w:adjustRightInd w:val="0"/>
              <w:snapToGrid w:val="0"/>
              <w:spacing w:before="218" w:beforeLines="70" w:after="218" w:afterLines="70"/>
              <w:ind w:firstLine="48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Q：面对今年新冠疫情，公司商户支付业务采取什么应对措施？取得了哪些成果？</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公司上半年启动了新一轮市场扩张计划，加速新型小微收单终端投放，截至6月末累计新增投放终端数量超过700万台，约占行业新增同类终端数量的30%，带动了公司支付科技业务收入自3月份开始持续增长，二季度同比增长达8.21%。上年半年公司收单交易金额达1.74万亿元，同比增长8.24%，其中扫码支付交易金额2,965亿元，同比增长11.12%；银行卡刷卡交易金额1.44万亿元，同比增长7.66%。谢谢！</w:t>
            </w:r>
          </w:p>
          <w:p>
            <w:pPr>
              <w:pStyle w:val="18"/>
              <w:adjustRightInd w:val="0"/>
              <w:snapToGrid w:val="0"/>
              <w:spacing w:before="218" w:beforeLines="70" w:after="218" w:afterLines="70"/>
              <w:ind w:firstLine="48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Q：公司如何看待支付行业未来的发展趋势？</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支付行业是个增量市场，随着经济增长和科技进步，交易量会持续增加，随着对商户服务的下沉，用户经营上的需求也形成了巨大市场。国外经验来看头部公司市场份额更大。此外，监管越来越严格利于头部企业开拓市场，份额向头部集中是必然的趋势。谢谢！</w:t>
            </w:r>
          </w:p>
          <w:p>
            <w:pPr>
              <w:pStyle w:val="18"/>
              <w:adjustRightInd w:val="0"/>
              <w:snapToGrid w:val="0"/>
              <w:spacing w:before="218" w:beforeLines="70" w:after="218" w:afterLines="70"/>
              <w:ind w:firstLine="48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Q：请问目前公司给商户提供的服务主要是哪几个方面？</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A：您好，公司为商户提供支付科技、金融科技、电商科技、以及信息科技等方面的服务。谢谢！</w:t>
            </w:r>
          </w:p>
          <w:p>
            <w:pPr>
              <w:pStyle w:val="18"/>
              <w:adjustRightInd w:val="0"/>
              <w:snapToGrid w:val="0"/>
              <w:spacing w:before="218" w:beforeLines="70" w:after="218" w:afterLines="70"/>
              <w:ind w:firstLine="48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Q：公司2020年上半年经营情况？</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公司克服了一季度新冠疫情的影响，实现了上半年业绩的逆势增长。上半年实现营业为25.06亿元同比增长0.38%，归属上市公司股东的净利润达到4.36亿元同比增长18.99%，扣除非经常性损益后的净利润为4.28亿元同比增长18.82%，实现经营性净现金流5.06亿元。尤其是第二季业绩实现了高增，收入环比增长37.27%，归属上市公司股东的净利润环比增长59.10%。谢谢！</w:t>
            </w:r>
          </w:p>
          <w:p>
            <w:pPr>
              <w:pStyle w:val="18"/>
              <w:adjustRightInd w:val="0"/>
              <w:snapToGrid w:val="0"/>
              <w:spacing w:before="218" w:beforeLines="70" w:after="218" w:afterLines="70"/>
              <w:ind w:firstLine="48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Q：公司在支付行业处在什么的地位？核心竞争优势是什么？</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公司在2011年成为首批获得央行颁发的支付牌照公司之一，发展至今成为支付行业的龙头企业，经营规模处于行业领先地位。形成了覆盖全国的机构网络，拥有超过2200万服务商户，能够全维度为中小微商户提供线上与线下服务。公司核心竞争力主要体现在以下几个方面：1）遍布全国的分支机构；2）超过2200万的商户规模；3）战略投资银行、证券、保险、网联以及产业互联网等领域，形成了为中小微商户提供支付、金融、电商以及信息等科技服务的强大能力；4）业务不断创新，上市后推出基于SaaS的“云小店”、“汇管店”、“收款码”、“云收单”、“手机POS”等产品；5）领先的技术和风控能力，搭建了DT驱动的大数据中台和独立架构的清结算体系，业务欺诈损失率保持在百万分之一的水平，智能机器人替代人工客户服务和营销服务率已经超过60%；6）强大的企业文化。谢谢！</w:t>
            </w:r>
          </w:p>
          <w:p>
            <w:pPr>
              <w:pStyle w:val="18"/>
              <w:adjustRightInd w:val="0"/>
              <w:snapToGrid w:val="0"/>
              <w:spacing w:before="218" w:beforeLines="70" w:after="218" w:afterLines="70"/>
              <w:ind w:firstLine="48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Q：请展望下积分购业务2020年全年情况？</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公司积分购经营规模在行业中保持领先，2019年营业收入翻了一翻。2020年全年来看，积分购业务发展战略为以头部积分业务、长尾积分业务为基础，稳扎稳打继续扩大优势，以共享经济业务为重点，实现业绩快速增长。依托积分消费市场，通过打通头部积分源为用户提供方便的积分汇聚、消费变现服务，让用户轻松管理各种积分，并支持在线下海量商户扫码消费；在为头部积分源提供服务的同时，为长尾积分源提供最全面的积分SaaS解决方案，大力拓展业务，保持公司业绩增长势头。谢谢！</w:t>
            </w:r>
          </w:p>
          <w:p>
            <w:pPr>
              <w:pStyle w:val="18"/>
              <w:adjustRightInd w:val="0"/>
              <w:snapToGrid w:val="0"/>
              <w:spacing w:before="218" w:beforeLines="70" w:after="218" w:afterLines="70"/>
              <w:ind w:firstLine="48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Q：上市以来，账上货币资金增长幅度较大，是什么原因？</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A：您好，货币资金，通过向用户提供支付等科技服务收取费用，因此现金流保持良性增长。其次是备付金余额随着交易规模的增长而增长，备付金账户余额不断增加。谢谢！</w:t>
            </w:r>
          </w:p>
          <w:p>
            <w:pPr>
              <w:pStyle w:val="18"/>
              <w:adjustRightInd w:val="0"/>
              <w:snapToGrid w:val="0"/>
              <w:spacing w:before="218" w:beforeLines="70" w:after="218" w:afterLines="70"/>
              <w:ind w:firstLine="48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Q：公司在电子商务方面的业务开展情况，市场空间有多大？</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电商科技是公司重要的业务板块之一，公司自主研发的积分通兑平台，链接上游积分源企业和下游丰富消费场景，2020年上半年实现交易金额18.71亿，同比增长16.86%；基于新零售的SaaS产品，为线下商户提供从商品采购、进销存、物流配送、供应链金融到会员的全供应链管理服务，公司“云小店”产品上半年已经覆盖超过14000家商户；在跨境电商方面，公司针对中小企业出口场景打造了全新的支付系统和产品，上半年成功打通境内商户在北美及欧洲电商平台的收款业务，实现跨境交易接近百亿元人民币。谢谢！</w:t>
            </w:r>
          </w:p>
          <w:p>
            <w:pPr>
              <w:pStyle w:val="18"/>
              <w:adjustRightInd w:val="0"/>
              <w:snapToGrid w:val="0"/>
              <w:spacing w:before="218" w:beforeLines="70" w:after="218" w:afterLines="70"/>
              <w:ind w:firstLine="48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Q：2020年上半年围绕商户的经营业务进展如何，未来有什么目标？</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公司在2019年建立了“超越支付”的发展战略，通过科技和产品能力来满足中小微商户经营需求，形成“支付科技、金融科技、电商科技、信息科技”四大业务板块，2020年上半年公司金融、电商、信息科技业务收入达到3.19亿元同比增长109%。公司上市后目标是1-3年内电商、金融和信息科技净利润贡献占比达到50%。</w:t>
            </w:r>
          </w:p>
          <w:p>
            <w:pPr>
              <w:pStyle w:val="18"/>
              <w:adjustRightInd w:val="0"/>
              <w:snapToGrid w:val="0"/>
              <w:spacing w:before="218" w:beforeLines="70" w:after="218" w:afterLines="70"/>
              <w:ind w:firstLine="48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Q：请问支付手续费率是否还有提升空间？</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A：您好，从全球支付手续费率总体水平、以及支付产业链内账户侧、收单侧和清算侧各自承担的分工来看，中国的手续费率明显偏低，这些主要受目前的政策导向、市场竞争等因素影响。谢谢!</w:t>
            </w:r>
          </w:p>
          <w:p>
            <w:pPr>
              <w:pStyle w:val="18"/>
              <w:adjustRightInd w:val="0"/>
              <w:snapToGrid w:val="0"/>
              <w:spacing w:before="218" w:beforeLines="70" w:after="218" w:afterLines="70"/>
              <w:ind w:firstLine="48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Q：公司二级市场股价一直低迷横盘，大股东减持不断，公司自身如何扭转这个局面。</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A：您好，公司上市前的大股东合计持有公司55%股份，承诺上市后锁定36个月，目前处于限售状态。公司的经营状况和发展态势十分良好，请投资者保持信心。谢谢！</w:t>
            </w:r>
          </w:p>
          <w:p>
            <w:pPr>
              <w:pStyle w:val="18"/>
              <w:adjustRightInd w:val="0"/>
              <w:snapToGrid w:val="0"/>
              <w:spacing w:before="218" w:beforeLines="70" w:after="218" w:afterLines="70"/>
              <w:ind w:firstLine="48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Q：公司过去一直强调企业文化，请问在管理和经营上是如何体现的？</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公司的文化是我们公司独特的自创，总共有五层，最核心的底层文化是核心价值观，求实、进取、创新、协同、分享，公司创建以来执行的非常好。从公司团队就可以得到充分的体现，从领军人物、创始团队、技术人员、一线经营人员，到引入行业高管人才，都能体现出公司文化的烙印，不断鼓舞着公司全体向着成为行业数一数二、受人尊重并可持续成长的企业目标前进。谢谢！</w:t>
            </w:r>
          </w:p>
          <w:p>
            <w:pPr>
              <w:pStyle w:val="18"/>
              <w:adjustRightInd w:val="0"/>
              <w:snapToGrid w:val="0"/>
              <w:spacing w:before="218" w:beforeLines="70" w:after="218" w:afterLines="70"/>
              <w:ind w:firstLine="48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Q：请问公司针对金融、电商、信息科技业务的发展上采取了哪些措施？</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公司具体措施包括：一是加大新产品的推广力度，如云小店、收款码、云收单、汇管店、手机POS、电签POS等产品；二是加大拓展，实施自营和渠道双轮驱动的策略；三是加强外部合作，如为金融机构等开展支付、金融、信息科技等业务；四是研发新产品，深度切入交易场景，增加用户。谢谢！</w:t>
            </w:r>
          </w:p>
          <w:p>
            <w:pPr>
              <w:pStyle w:val="18"/>
              <w:adjustRightInd w:val="0"/>
              <w:snapToGrid w:val="0"/>
              <w:spacing w:before="218" w:beforeLines="70" w:after="218" w:afterLines="70"/>
              <w:ind w:firstLine="0" w:firstLineChars="0"/>
              <w:rPr>
                <w:rFonts w:ascii="宋体" w:hAnsi="宋体" w:cs="宋体"/>
                <w:sz w:val="24"/>
                <w:szCs w:val="24"/>
              </w:rPr>
            </w:pP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Q：手机POS的推出对支付行业产生哪些影响，拉卡拉有什么储备？</w:t>
            </w:r>
          </w:p>
          <w:p>
            <w:pPr>
              <w:pStyle w:val="18"/>
              <w:adjustRightInd w:val="0"/>
              <w:snapToGrid w:val="0"/>
              <w:spacing w:before="218" w:beforeLines="70" w:after="218" w:afterLines="70"/>
              <w:ind w:firstLine="480"/>
              <w:rPr>
                <w:rFonts w:ascii="宋体" w:hAnsi="宋体" w:cs="宋体"/>
                <w:sz w:val="24"/>
                <w:szCs w:val="24"/>
              </w:rPr>
            </w:pPr>
            <w:r>
              <w:rPr>
                <w:rFonts w:hint="eastAsia" w:ascii="宋体" w:hAnsi="宋体" w:cs="宋体"/>
                <w:sz w:val="24"/>
                <w:szCs w:val="24"/>
              </w:rPr>
              <w:t>A：您好，手机POS最大的特点是去终端化，但是它又具有终端的能力，它给商户的服务和体验会比以前码牌或者POS机更好，特别适合中小微商户。公司上市以来坚持产品创新，跨界联合硬件厂商，完成了手机POS产品相关研发和技术整合，下半年将携手合作伙伴进行市场推广，打开市场空间。谢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09" w:type="dxa"/>
            <w:vAlign w:val="center"/>
          </w:tcPr>
          <w:p>
            <w:pPr>
              <w:spacing w:line="480" w:lineRule="atLeast"/>
              <w:ind w:firstLine="482" w:firstLineChars="200"/>
              <w:rPr>
                <w:rFonts w:ascii="宋体" w:hAnsi="宋体"/>
                <w:b/>
                <w:bCs/>
                <w:iCs/>
                <w:sz w:val="24"/>
                <w:szCs w:val="24"/>
              </w:rPr>
            </w:pPr>
            <w:r>
              <w:rPr>
                <w:rFonts w:hint="eastAsia" w:ascii="宋体" w:hAnsi="宋体"/>
                <w:b/>
                <w:bCs/>
                <w:iCs/>
                <w:sz w:val="24"/>
                <w:szCs w:val="24"/>
              </w:rPr>
              <w:t>附件清单</w:t>
            </w:r>
          </w:p>
          <w:p>
            <w:pPr>
              <w:spacing w:line="480" w:lineRule="atLeast"/>
              <w:ind w:firstLine="482" w:firstLineChars="200"/>
              <w:rPr>
                <w:rFonts w:ascii="宋体"/>
                <w:b/>
                <w:bCs/>
                <w:iCs/>
                <w:sz w:val="24"/>
                <w:szCs w:val="24"/>
              </w:rPr>
            </w:pPr>
            <w:r>
              <w:rPr>
                <w:rFonts w:hint="eastAsia" w:ascii="宋体" w:hAnsi="宋体"/>
                <w:b/>
                <w:bCs/>
                <w:iCs/>
                <w:sz w:val="24"/>
                <w:szCs w:val="24"/>
              </w:rPr>
              <w:t>（如有）</w:t>
            </w:r>
          </w:p>
        </w:tc>
        <w:tc>
          <w:tcPr>
            <w:tcW w:w="6713" w:type="dxa"/>
          </w:tcPr>
          <w:p>
            <w:pPr>
              <w:spacing w:line="360" w:lineRule="auto"/>
              <w:rPr>
                <w:rFonts w:ascii="宋体"/>
                <w:bCs/>
                <w:iCs/>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480" w:lineRule="atLeast"/>
              <w:jc w:val="center"/>
              <w:rPr>
                <w:rFonts w:ascii="宋体"/>
                <w:b/>
                <w:bCs/>
                <w:iCs/>
                <w:sz w:val="24"/>
                <w:szCs w:val="24"/>
              </w:rPr>
            </w:pPr>
            <w:r>
              <w:rPr>
                <w:rFonts w:hint="eastAsia" w:ascii="宋体" w:hAnsi="宋体"/>
                <w:b/>
                <w:bCs/>
                <w:iCs/>
                <w:sz w:val="24"/>
                <w:szCs w:val="24"/>
              </w:rPr>
              <w:t>日期</w:t>
            </w:r>
          </w:p>
        </w:tc>
        <w:tc>
          <w:tcPr>
            <w:tcW w:w="6713" w:type="dxa"/>
          </w:tcPr>
          <w:p>
            <w:pPr>
              <w:spacing w:line="480" w:lineRule="atLeast"/>
              <w:rPr>
                <w:rFonts w:ascii="宋体"/>
                <w:bCs/>
                <w:iCs/>
                <w:sz w:val="24"/>
                <w:szCs w:val="24"/>
              </w:rPr>
            </w:pPr>
            <w:r>
              <w:rPr>
                <w:rFonts w:hint="eastAsia" w:ascii="宋体"/>
                <w:bCs/>
                <w:iCs/>
                <w:sz w:val="24"/>
                <w:szCs w:val="24"/>
              </w:rPr>
              <w:t>2020年0</w:t>
            </w:r>
            <w:r>
              <w:rPr>
                <w:rFonts w:ascii="宋体"/>
                <w:bCs/>
                <w:iCs/>
                <w:sz w:val="24"/>
                <w:szCs w:val="24"/>
              </w:rPr>
              <w:t>9</w:t>
            </w:r>
            <w:r>
              <w:rPr>
                <w:rFonts w:hint="eastAsia" w:ascii="宋体"/>
                <w:bCs/>
                <w:iCs/>
                <w:sz w:val="24"/>
                <w:szCs w:val="24"/>
              </w:rPr>
              <w:t>月0</w:t>
            </w:r>
            <w:r>
              <w:rPr>
                <w:rFonts w:ascii="宋体"/>
                <w:bCs/>
                <w:iCs/>
                <w:sz w:val="24"/>
                <w:szCs w:val="24"/>
              </w:rPr>
              <w:t>8</w:t>
            </w:r>
            <w:r>
              <w:rPr>
                <w:rFonts w:hint="eastAsia" w:ascii="宋体"/>
                <w:bCs/>
                <w:iCs/>
                <w:sz w:val="24"/>
                <w:szCs w:val="24"/>
              </w:rPr>
              <w:t>日</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2237C"/>
    <w:rsid w:val="0000536D"/>
    <w:rsid w:val="000071D1"/>
    <w:rsid w:val="0000789B"/>
    <w:rsid w:val="00011C0A"/>
    <w:rsid w:val="00012615"/>
    <w:rsid w:val="00013110"/>
    <w:rsid w:val="000131F9"/>
    <w:rsid w:val="000137F9"/>
    <w:rsid w:val="000148A3"/>
    <w:rsid w:val="000150A3"/>
    <w:rsid w:val="00022E19"/>
    <w:rsid w:val="00024B94"/>
    <w:rsid w:val="00026ECB"/>
    <w:rsid w:val="00031EB5"/>
    <w:rsid w:val="00040CAB"/>
    <w:rsid w:val="000420E5"/>
    <w:rsid w:val="0004529F"/>
    <w:rsid w:val="0004791E"/>
    <w:rsid w:val="00056E5E"/>
    <w:rsid w:val="00060B79"/>
    <w:rsid w:val="00062972"/>
    <w:rsid w:val="000635B2"/>
    <w:rsid w:val="00071DB4"/>
    <w:rsid w:val="0008134A"/>
    <w:rsid w:val="00085B65"/>
    <w:rsid w:val="000914D5"/>
    <w:rsid w:val="000929DE"/>
    <w:rsid w:val="00095625"/>
    <w:rsid w:val="00096B1A"/>
    <w:rsid w:val="000970FA"/>
    <w:rsid w:val="000A0A29"/>
    <w:rsid w:val="000A5ED1"/>
    <w:rsid w:val="000B034F"/>
    <w:rsid w:val="000B4ACA"/>
    <w:rsid w:val="000B4BD6"/>
    <w:rsid w:val="000B6BB1"/>
    <w:rsid w:val="000C2A66"/>
    <w:rsid w:val="000C2EC1"/>
    <w:rsid w:val="000C7926"/>
    <w:rsid w:val="000D01DE"/>
    <w:rsid w:val="000D2265"/>
    <w:rsid w:val="000D474E"/>
    <w:rsid w:val="000E13B6"/>
    <w:rsid w:val="000E2111"/>
    <w:rsid w:val="000E7538"/>
    <w:rsid w:val="000F3809"/>
    <w:rsid w:val="000F77AB"/>
    <w:rsid w:val="00100FF5"/>
    <w:rsid w:val="001044E0"/>
    <w:rsid w:val="00106BEA"/>
    <w:rsid w:val="00120682"/>
    <w:rsid w:val="00120E3A"/>
    <w:rsid w:val="00121457"/>
    <w:rsid w:val="00123AD8"/>
    <w:rsid w:val="00124FA0"/>
    <w:rsid w:val="00125A48"/>
    <w:rsid w:val="00130332"/>
    <w:rsid w:val="0013402C"/>
    <w:rsid w:val="0013533B"/>
    <w:rsid w:val="00140542"/>
    <w:rsid w:val="0014099F"/>
    <w:rsid w:val="00143D8F"/>
    <w:rsid w:val="001447FE"/>
    <w:rsid w:val="0014630C"/>
    <w:rsid w:val="0015379D"/>
    <w:rsid w:val="001552CE"/>
    <w:rsid w:val="00163803"/>
    <w:rsid w:val="00170196"/>
    <w:rsid w:val="00173F93"/>
    <w:rsid w:val="001741F2"/>
    <w:rsid w:val="00174E44"/>
    <w:rsid w:val="001774C5"/>
    <w:rsid w:val="00180392"/>
    <w:rsid w:val="00180A4D"/>
    <w:rsid w:val="00184459"/>
    <w:rsid w:val="001850C3"/>
    <w:rsid w:val="0019174E"/>
    <w:rsid w:val="001A52DF"/>
    <w:rsid w:val="001A70DE"/>
    <w:rsid w:val="001A7406"/>
    <w:rsid w:val="001A7EC4"/>
    <w:rsid w:val="001C0560"/>
    <w:rsid w:val="001C3101"/>
    <w:rsid w:val="001D5571"/>
    <w:rsid w:val="001E1528"/>
    <w:rsid w:val="001E23AE"/>
    <w:rsid w:val="001E6CBA"/>
    <w:rsid w:val="001E6D33"/>
    <w:rsid w:val="001F09CF"/>
    <w:rsid w:val="001F788C"/>
    <w:rsid w:val="00207BF6"/>
    <w:rsid w:val="00211AD3"/>
    <w:rsid w:val="002166DE"/>
    <w:rsid w:val="00216FA0"/>
    <w:rsid w:val="0022736F"/>
    <w:rsid w:val="00231091"/>
    <w:rsid w:val="002322C3"/>
    <w:rsid w:val="00233398"/>
    <w:rsid w:val="002335D2"/>
    <w:rsid w:val="00243484"/>
    <w:rsid w:val="00250074"/>
    <w:rsid w:val="002609BF"/>
    <w:rsid w:val="00274B76"/>
    <w:rsid w:val="0027574C"/>
    <w:rsid w:val="00276B88"/>
    <w:rsid w:val="00282DC6"/>
    <w:rsid w:val="0028499B"/>
    <w:rsid w:val="0029282E"/>
    <w:rsid w:val="00292D79"/>
    <w:rsid w:val="0029376B"/>
    <w:rsid w:val="002946EA"/>
    <w:rsid w:val="00297C64"/>
    <w:rsid w:val="002A124F"/>
    <w:rsid w:val="002A58AA"/>
    <w:rsid w:val="002B041B"/>
    <w:rsid w:val="002B319A"/>
    <w:rsid w:val="002B3F14"/>
    <w:rsid w:val="002B4810"/>
    <w:rsid w:val="002C0F90"/>
    <w:rsid w:val="002C5974"/>
    <w:rsid w:val="002D0638"/>
    <w:rsid w:val="002D15B3"/>
    <w:rsid w:val="002D1D0A"/>
    <w:rsid w:val="002D3F15"/>
    <w:rsid w:val="002D6A5D"/>
    <w:rsid w:val="002E2038"/>
    <w:rsid w:val="002F227C"/>
    <w:rsid w:val="00303DC7"/>
    <w:rsid w:val="003147DC"/>
    <w:rsid w:val="00316C97"/>
    <w:rsid w:val="003242BD"/>
    <w:rsid w:val="00324607"/>
    <w:rsid w:val="003319E4"/>
    <w:rsid w:val="00333E23"/>
    <w:rsid w:val="00346590"/>
    <w:rsid w:val="003470BB"/>
    <w:rsid w:val="003475CD"/>
    <w:rsid w:val="00351A60"/>
    <w:rsid w:val="00353BED"/>
    <w:rsid w:val="00356798"/>
    <w:rsid w:val="00357562"/>
    <w:rsid w:val="003650C6"/>
    <w:rsid w:val="00374F3A"/>
    <w:rsid w:val="00380348"/>
    <w:rsid w:val="00381830"/>
    <w:rsid w:val="0038232F"/>
    <w:rsid w:val="00383755"/>
    <w:rsid w:val="00384825"/>
    <w:rsid w:val="00390934"/>
    <w:rsid w:val="003927EB"/>
    <w:rsid w:val="003936CA"/>
    <w:rsid w:val="003A0ECA"/>
    <w:rsid w:val="003A1BF3"/>
    <w:rsid w:val="003A49A5"/>
    <w:rsid w:val="003A775C"/>
    <w:rsid w:val="003B42CE"/>
    <w:rsid w:val="003B7556"/>
    <w:rsid w:val="003E0AD0"/>
    <w:rsid w:val="003E30B3"/>
    <w:rsid w:val="003E6F6E"/>
    <w:rsid w:val="003F26AC"/>
    <w:rsid w:val="003F3DFC"/>
    <w:rsid w:val="003F41BF"/>
    <w:rsid w:val="003F5791"/>
    <w:rsid w:val="003F69D4"/>
    <w:rsid w:val="00406747"/>
    <w:rsid w:val="0041089F"/>
    <w:rsid w:val="0041670D"/>
    <w:rsid w:val="00420B64"/>
    <w:rsid w:val="004265F7"/>
    <w:rsid w:val="00430495"/>
    <w:rsid w:val="00435F66"/>
    <w:rsid w:val="00436657"/>
    <w:rsid w:val="00437200"/>
    <w:rsid w:val="0045551A"/>
    <w:rsid w:val="00455EC8"/>
    <w:rsid w:val="00456D36"/>
    <w:rsid w:val="004607BC"/>
    <w:rsid w:val="004636E5"/>
    <w:rsid w:val="004814B7"/>
    <w:rsid w:val="004861D0"/>
    <w:rsid w:val="00486919"/>
    <w:rsid w:val="0049067C"/>
    <w:rsid w:val="00491869"/>
    <w:rsid w:val="004949D2"/>
    <w:rsid w:val="004A6948"/>
    <w:rsid w:val="004A6C8B"/>
    <w:rsid w:val="004B160D"/>
    <w:rsid w:val="004B3648"/>
    <w:rsid w:val="004B3C47"/>
    <w:rsid w:val="004B78F4"/>
    <w:rsid w:val="004C3EC4"/>
    <w:rsid w:val="004C648F"/>
    <w:rsid w:val="004E484C"/>
    <w:rsid w:val="004E4A8E"/>
    <w:rsid w:val="004F1B2D"/>
    <w:rsid w:val="004F212B"/>
    <w:rsid w:val="00507F2C"/>
    <w:rsid w:val="00514718"/>
    <w:rsid w:val="00515D11"/>
    <w:rsid w:val="005162B2"/>
    <w:rsid w:val="00517F9F"/>
    <w:rsid w:val="00532FBB"/>
    <w:rsid w:val="00536FCE"/>
    <w:rsid w:val="005437EA"/>
    <w:rsid w:val="00556BE8"/>
    <w:rsid w:val="00565839"/>
    <w:rsid w:val="0056644A"/>
    <w:rsid w:val="0056752A"/>
    <w:rsid w:val="0057528B"/>
    <w:rsid w:val="005777EF"/>
    <w:rsid w:val="00590FE7"/>
    <w:rsid w:val="005968A0"/>
    <w:rsid w:val="005978DA"/>
    <w:rsid w:val="005A0EC8"/>
    <w:rsid w:val="005A2B9D"/>
    <w:rsid w:val="005A4A4B"/>
    <w:rsid w:val="005A58E7"/>
    <w:rsid w:val="005B0201"/>
    <w:rsid w:val="005B0348"/>
    <w:rsid w:val="005B092E"/>
    <w:rsid w:val="005B0B69"/>
    <w:rsid w:val="005B1683"/>
    <w:rsid w:val="005B7849"/>
    <w:rsid w:val="005B7CB6"/>
    <w:rsid w:val="005B7FA6"/>
    <w:rsid w:val="005D42A7"/>
    <w:rsid w:val="005D7EB0"/>
    <w:rsid w:val="005F19EC"/>
    <w:rsid w:val="005F4D19"/>
    <w:rsid w:val="005F679D"/>
    <w:rsid w:val="005F6FE0"/>
    <w:rsid w:val="006005A5"/>
    <w:rsid w:val="0060633D"/>
    <w:rsid w:val="00610970"/>
    <w:rsid w:val="006112CD"/>
    <w:rsid w:val="00614ACD"/>
    <w:rsid w:val="0061536D"/>
    <w:rsid w:val="006319B1"/>
    <w:rsid w:val="006337A7"/>
    <w:rsid w:val="00635C91"/>
    <w:rsid w:val="00650EEE"/>
    <w:rsid w:val="0065239A"/>
    <w:rsid w:val="00661586"/>
    <w:rsid w:val="00665EC0"/>
    <w:rsid w:val="00671027"/>
    <w:rsid w:val="006807DE"/>
    <w:rsid w:val="00682398"/>
    <w:rsid w:val="0068688F"/>
    <w:rsid w:val="00692CE4"/>
    <w:rsid w:val="00693FB1"/>
    <w:rsid w:val="00694E46"/>
    <w:rsid w:val="00694E7A"/>
    <w:rsid w:val="0069635D"/>
    <w:rsid w:val="00696726"/>
    <w:rsid w:val="006A2496"/>
    <w:rsid w:val="006A6CA0"/>
    <w:rsid w:val="006B124C"/>
    <w:rsid w:val="006B1A32"/>
    <w:rsid w:val="006B7E9C"/>
    <w:rsid w:val="006C0826"/>
    <w:rsid w:val="006C4E0E"/>
    <w:rsid w:val="006C7E02"/>
    <w:rsid w:val="006D1F8E"/>
    <w:rsid w:val="006D7503"/>
    <w:rsid w:val="006D7B0D"/>
    <w:rsid w:val="006E06BE"/>
    <w:rsid w:val="006E0776"/>
    <w:rsid w:val="006E4A7A"/>
    <w:rsid w:val="006E4BB3"/>
    <w:rsid w:val="006E737C"/>
    <w:rsid w:val="006E7773"/>
    <w:rsid w:val="006E7AE9"/>
    <w:rsid w:val="006F3E16"/>
    <w:rsid w:val="006F56D7"/>
    <w:rsid w:val="007015F4"/>
    <w:rsid w:val="00701AAF"/>
    <w:rsid w:val="007023FC"/>
    <w:rsid w:val="00704813"/>
    <w:rsid w:val="00706A17"/>
    <w:rsid w:val="00710308"/>
    <w:rsid w:val="007146EC"/>
    <w:rsid w:val="00716DA9"/>
    <w:rsid w:val="0073320F"/>
    <w:rsid w:val="00741776"/>
    <w:rsid w:val="007502A9"/>
    <w:rsid w:val="00750E2B"/>
    <w:rsid w:val="00753148"/>
    <w:rsid w:val="007546F7"/>
    <w:rsid w:val="007577F5"/>
    <w:rsid w:val="00760028"/>
    <w:rsid w:val="00762AE7"/>
    <w:rsid w:val="00763CCB"/>
    <w:rsid w:val="007712C5"/>
    <w:rsid w:val="00771C95"/>
    <w:rsid w:val="0077530B"/>
    <w:rsid w:val="007772E6"/>
    <w:rsid w:val="00786662"/>
    <w:rsid w:val="0078703F"/>
    <w:rsid w:val="00787CAD"/>
    <w:rsid w:val="00790442"/>
    <w:rsid w:val="0079198A"/>
    <w:rsid w:val="00791D1B"/>
    <w:rsid w:val="00793C14"/>
    <w:rsid w:val="00796A3E"/>
    <w:rsid w:val="007A337E"/>
    <w:rsid w:val="007A3E35"/>
    <w:rsid w:val="007A527F"/>
    <w:rsid w:val="007B18CA"/>
    <w:rsid w:val="007B1BA6"/>
    <w:rsid w:val="007B495C"/>
    <w:rsid w:val="007B5F3A"/>
    <w:rsid w:val="007D4A1C"/>
    <w:rsid w:val="007D57FD"/>
    <w:rsid w:val="007E18CB"/>
    <w:rsid w:val="007E35EE"/>
    <w:rsid w:val="007E6123"/>
    <w:rsid w:val="007E66F9"/>
    <w:rsid w:val="007F5C40"/>
    <w:rsid w:val="008008E8"/>
    <w:rsid w:val="0080327C"/>
    <w:rsid w:val="0081226A"/>
    <w:rsid w:val="0081380F"/>
    <w:rsid w:val="00815BED"/>
    <w:rsid w:val="00816557"/>
    <w:rsid w:val="0082237C"/>
    <w:rsid w:val="00824CA9"/>
    <w:rsid w:val="0082540A"/>
    <w:rsid w:val="00825809"/>
    <w:rsid w:val="00835515"/>
    <w:rsid w:val="00835B8D"/>
    <w:rsid w:val="008377D9"/>
    <w:rsid w:val="00864E6E"/>
    <w:rsid w:val="00875520"/>
    <w:rsid w:val="008815DB"/>
    <w:rsid w:val="00882D94"/>
    <w:rsid w:val="00883888"/>
    <w:rsid w:val="00883AF8"/>
    <w:rsid w:val="00885514"/>
    <w:rsid w:val="008929D3"/>
    <w:rsid w:val="008B055F"/>
    <w:rsid w:val="008B1CC6"/>
    <w:rsid w:val="008B224F"/>
    <w:rsid w:val="008B67D1"/>
    <w:rsid w:val="008C3056"/>
    <w:rsid w:val="008C6535"/>
    <w:rsid w:val="008C6BCD"/>
    <w:rsid w:val="008C7294"/>
    <w:rsid w:val="008D176E"/>
    <w:rsid w:val="008D736F"/>
    <w:rsid w:val="008F7791"/>
    <w:rsid w:val="00902837"/>
    <w:rsid w:val="00910460"/>
    <w:rsid w:val="00914382"/>
    <w:rsid w:val="009167C0"/>
    <w:rsid w:val="00920A44"/>
    <w:rsid w:val="00922C4B"/>
    <w:rsid w:val="00935646"/>
    <w:rsid w:val="00936D9A"/>
    <w:rsid w:val="00941A85"/>
    <w:rsid w:val="00947D72"/>
    <w:rsid w:val="009516C1"/>
    <w:rsid w:val="00957724"/>
    <w:rsid w:val="00972C26"/>
    <w:rsid w:val="009738EA"/>
    <w:rsid w:val="00983FD0"/>
    <w:rsid w:val="00987818"/>
    <w:rsid w:val="009923EB"/>
    <w:rsid w:val="0099437E"/>
    <w:rsid w:val="009A06F8"/>
    <w:rsid w:val="009A0F7F"/>
    <w:rsid w:val="009B699A"/>
    <w:rsid w:val="009C0473"/>
    <w:rsid w:val="009C3211"/>
    <w:rsid w:val="009D0B4B"/>
    <w:rsid w:val="009D1555"/>
    <w:rsid w:val="009D3BDB"/>
    <w:rsid w:val="009D6EE2"/>
    <w:rsid w:val="009E1C9D"/>
    <w:rsid w:val="009E29E5"/>
    <w:rsid w:val="009E2AE2"/>
    <w:rsid w:val="009F0E9C"/>
    <w:rsid w:val="009F4700"/>
    <w:rsid w:val="00A00B08"/>
    <w:rsid w:val="00A0664F"/>
    <w:rsid w:val="00A06E0B"/>
    <w:rsid w:val="00A2072A"/>
    <w:rsid w:val="00A21B03"/>
    <w:rsid w:val="00A2500C"/>
    <w:rsid w:val="00A25216"/>
    <w:rsid w:val="00A36448"/>
    <w:rsid w:val="00A420D3"/>
    <w:rsid w:val="00A44405"/>
    <w:rsid w:val="00A470E8"/>
    <w:rsid w:val="00A52FF2"/>
    <w:rsid w:val="00A555EB"/>
    <w:rsid w:val="00A57718"/>
    <w:rsid w:val="00A740C5"/>
    <w:rsid w:val="00A8004C"/>
    <w:rsid w:val="00A82B14"/>
    <w:rsid w:val="00AA2098"/>
    <w:rsid w:val="00AA4270"/>
    <w:rsid w:val="00AA4B20"/>
    <w:rsid w:val="00AA4D23"/>
    <w:rsid w:val="00AA70A2"/>
    <w:rsid w:val="00AB07D5"/>
    <w:rsid w:val="00AB1134"/>
    <w:rsid w:val="00AB117E"/>
    <w:rsid w:val="00AB4669"/>
    <w:rsid w:val="00AB49B6"/>
    <w:rsid w:val="00AB4E3B"/>
    <w:rsid w:val="00AC1AA8"/>
    <w:rsid w:val="00AC265C"/>
    <w:rsid w:val="00AC2A84"/>
    <w:rsid w:val="00AC34D5"/>
    <w:rsid w:val="00AC3A28"/>
    <w:rsid w:val="00AC7572"/>
    <w:rsid w:val="00AC7BE8"/>
    <w:rsid w:val="00AD188E"/>
    <w:rsid w:val="00AD2C45"/>
    <w:rsid w:val="00AD733C"/>
    <w:rsid w:val="00AE0C53"/>
    <w:rsid w:val="00AE1C7B"/>
    <w:rsid w:val="00AF4CB3"/>
    <w:rsid w:val="00AF53E6"/>
    <w:rsid w:val="00AF6F1D"/>
    <w:rsid w:val="00B05F1D"/>
    <w:rsid w:val="00B111FF"/>
    <w:rsid w:val="00B163B7"/>
    <w:rsid w:val="00B22B48"/>
    <w:rsid w:val="00B26B0B"/>
    <w:rsid w:val="00B36371"/>
    <w:rsid w:val="00B435A6"/>
    <w:rsid w:val="00B47778"/>
    <w:rsid w:val="00B50F58"/>
    <w:rsid w:val="00B51544"/>
    <w:rsid w:val="00B54A3F"/>
    <w:rsid w:val="00B5526C"/>
    <w:rsid w:val="00B55C29"/>
    <w:rsid w:val="00B62832"/>
    <w:rsid w:val="00B8110F"/>
    <w:rsid w:val="00B83D50"/>
    <w:rsid w:val="00B8782B"/>
    <w:rsid w:val="00B9085C"/>
    <w:rsid w:val="00BA77BE"/>
    <w:rsid w:val="00BB5D17"/>
    <w:rsid w:val="00BB72BA"/>
    <w:rsid w:val="00BC02F7"/>
    <w:rsid w:val="00BC1CFD"/>
    <w:rsid w:val="00BC4F8D"/>
    <w:rsid w:val="00BC76F1"/>
    <w:rsid w:val="00BE2F47"/>
    <w:rsid w:val="00BF320C"/>
    <w:rsid w:val="00C00454"/>
    <w:rsid w:val="00C17F14"/>
    <w:rsid w:val="00C23ACA"/>
    <w:rsid w:val="00C55B05"/>
    <w:rsid w:val="00C6386C"/>
    <w:rsid w:val="00C71B66"/>
    <w:rsid w:val="00C779F0"/>
    <w:rsid w:val="00C82DCB"/>
    <w:rsid w:val="00C91879"/>
    <w:rsid w:val="00C94D69"/>
    <w:rsid w:val="00C96167"/>
    <w:rsid w:val="00CA6AD3"/>
    <w:rsid w:val="00CB4F26"/>
    <w:rsid w:val="00CB6F96"/>
    <w:rsid w:val="00CB7F0D"/>
    <w:rsid w:val="00CC3C8A"/>
    <w:rsid w:val="00CC71F5"/>
    <w:rsid w:val="00CC755E"/>
    <w:rsid w:val="00CD149B"/>
    <w:rsid w:val="00CD3CF6"/>
    <w:rsid w:val="00CD7EFF"/>
    <w:rsid w:val="00CE1CD4"/>
    <w:rsid w:val="00CE66EB"/>
    <w:rsid w:val="00CE6860"/>
    <w:rsid w:val="00CF75EE"/>
    <w:rsid w:val="00D1454D"/>
    <w:rsid w:val="00D15B02"/>
    <w:rsid w:val="00D2659B"/>
    <w:rsid w:val="00D323F0"/>
    <w:rsid w:val="00D32A3A"/>
    <w:rsid w:val="00D358D9"/>
    <w:rsid w:val="00D52E94"/>
    <w:rsid w:val="00D56AD9"/>
    <w:rsid w:val="00D71D0A"/>
    <w:rsid w:val="00D75670"/>
    <w:rsid w:val="00D76C70"/>
    <w:rsid w:val="00D801F5"/>
    <w:rsid w:val="00D8068A"/>
    <w:rsid w:val="00D85497"/>
    <w:rsid w:val="00D87EB5"/>
    <w:rsid w:val="00D914E2"/>
    <w:rsid w:val="00D92BF3"/>
    <w:rsid w:val="00D94172"/>
    <w:rsid w:val="00D95141"/>
    <w:rsid w:val="00D9574C"/>
    <w:rsid w:val="00D95E66"/>
    <w:rsid w:val="00D96368"/>
    <w:rsid w:val="00DA2AF8"/>
    <w:rsid w:val="00DA419D"/>
    <w:rsid w:val="00DB5E97"/>
    <w:rsid w:val="00DC3F15"/>
    <w:rsid w:val="00DC4AC8"/>
    <w:rsid w:val="00DD448A"/>
    <w:rsid w:val="00DD6C61"/>
    <w:rsid w:val="00DD798C"/>
    <w:rsid w:val="00DE15D7"/>
    <w:rsid w:val="00DE2732"/>
    <w:rsid w:val="00DF10CC"/>
    <w:rsid w:val="00E001EA"/>
    <w:rsid w:val="00E042D3"/>
    <w:rsid w:val="00E073DF"/>
    <w:rsid w:val="00E0783E"/>
    <w:rsid w:val="00E21BF1"/>
    <w:rsid w:val="00E2348D"/>
    <w:rsid w:val="00E24C23"/>
    <w:rsid w:val="00E24C35"/>
    <w:rsid w:val="00E27DE3"/>
    <w:rsid w:val="00E33774"/>
    <w:rsid w:val="00E34696"/>
    <w:rsid w:val="00E51B2F"/>
    <w:rsid w:val="00E60566"/>
    <w:rsid w:val="00E63252"/>
    <w:rsid w:val="00E6448D"/>
    <w:rsid w:val="00E7576D"/>
    <w:rsid w:val="00E864E3"/>
    <w:rsid w:val="00E939D0"/>
    <w:rsid w:val="00E94990"/>
    <w:rsid w:val="00E94ADB"/>
    <w:rsid w:val="00EA08D0"/>
    <w:rsid w:val="00EA0F97"/>
    <w:rsid w:val="00EA1BD5"/>
    <w:rsid w:val="00EA3676"/>
    <w:rsid w:val="00EA413D"/>
    <w:rsid w:val="00EB1C78"/>
    <w:rsid w:val="00EB758C"/>
    <w:rsid w:val="00EC1FC9"/>
    <w:rsid w:val="00EC5B56"/>
    <w:rsid w:val="00EE490E"/>
    <w:rsid w:val="00EE63BE"/>
    <w:rsid w:val="00EE6FBF"/>
    <w:rsid w:val="00EE7B15"/>
    <w:rsid w:val="00EF03A5"/>
    <w:rsid w:val="00EF3E26"/>
    <w:rsid w:val="00F04FD0"/>
    <w:rsid w:val="00F06895"/>
    <w:rsid w:val="00F06C27"/>
    <w:rsid w:val="00F12EF2"/>
    <w:rsid w:val="00F177AA"/>
    <w:rsid w:val="00F17D04"/>
    <w:rsid w:val="00F2258D"/>
    <w:rsid w:val="00F25D25"/>
    <w:rsid w:val="00F34AA9"/>
    <w:rsid w:val="00F40B61"/>
    <w:rsid w:val="00F5799A"/>
    <w:rsid w:val="00F63AD8"/>
    <w:rsid w:val="00F643C2"/>
    <w:rsid w:val="00F6676C"/>
    <w:rsid w:val="00F75335"/>
    <w:rsid w:val="00F81EF8"/>
    <w:rsid w:val="00F85267"/>
    <w:rsid w:val="00F858DA"/>
    <w:rsid w:val="00FA2875"/>
    <w:rsid w:val="00FC2172"/>
    <w:rsid w:val="00FC3079"/>
    <w:rsid w:val="00FC7413"/>
    <w:rsid w:val="00FD05DF"/>
    <w:rsid w:val="00FD2D99"/>
    <w:rsid w:val="00FD63FB"/>
    <w:rsid w:val="00FE3562"/>
    <w:rsid w:val="00FF27D2"/>
    <w:rsid w:val="00FF46AC"/>
    <w:rsid w:val="019F461C"/>
    <w:rsid w:val="01AF4DFA"/>
    <w:rsid w:val="022D0D62"/>
    <w:rsid w:val="02DC16DC"/>
    <w:rsid w:val="030D0218"/>
    <w:rsid w:val="049215B4"/>
    <w:rsid w:val="06027874"/>
    <w:rsid w:val="07195300"/>
    <w:rsid w:val="07330A70"/>
    <w:rsid w:val="07E55ACC"/>
    <w:rsid w:val="08057E3D"/>
    <w:rsid w:val="0895416A"/>
    <w:rsid w:val="089F2A9C"/>
    <w:rsid w:val="08BE0D2E"/>
    <w:rsid w:val="0A96177E"/>
    <w:rsid w:val="0BB22810"/>
    <w:rsid w:val="0CB81877"/>
    <w:rsid w:val="0DEF2218"/>
    <w:rsid w:val="10580363"/>
    <w:rsid w:val="1094322A"/>
    <w:rsid w:val="1177789E"/>
    <w:rsid w:val="120A0F3C"/>
    <w:rsid w:val="12327929"/>
    <w:rsid w:val="127E7B7A"/>
    <w:rsid w:val="12A85383"/>
    <w:rsid w:val="12D34C22"/>
    <w:rsid w:val="13342FBC"/>
    <w:rsid w:val="134E6C67"/>
    <w:rsid w:val="137523DC"/>
    <w:rsid w:val="155E2F7E"/>
    <w:rsid w:val="16942C2B"/>
    <w:rsid w:val="171A3CDE"/>
    <w:rsid w:val="172A3AB5"/>
    <w:rsid w:val="17DC1CCE"/>
    <w:rsid w:val="18D52E51"/>
    <w:rsid w:val="19857438"/>
    <w:rsid w:val="1A0102C3"/>
    <w:rsid w:val="1AB529D9"/>
    <w:rsid w:val="1B782C51"/>
    <w:rsid w:val="1BD211F1"/>
    <w:rsid w:val="1C20645E"/>
    <w:rsid w:val="1CC9076F"/>
    <w:rsid w:val="1D026A59"/>
    <w:rsid w:val="1F6D2243"/>
    <w:rsid w:val="1FFF52FD"/>
    <w:rsid w:val="216564B9"/>
    <w:rsid w:val="21A91E87"/>
    <w:rsid w:val="21CD5F04"/>
    <w:rsid w:val="224E7A36"/>
    <w:rsid w:val="22A41471"/>
    <w:rsid w:val="23141549"/>
    <w:rsid w:val="232A4AED"/>
    <w:rsid w:val="23B44DD4"/>
    <w:rsid w:val="25EC2C30"/>
    <w:rsid w:val="27A2775E"/>
    <w:rsid w:val="27FE5A94"/>
    <w:rsid w:val="290F73DF"/>
    <w:rsid w:val="2ADB7715"/>
    <w:rsid w:val="2B296CE2"/>
    <w:rsid w:val="2BFB06A0"/>
    <w:rsid w:val="2CE52957"/>
    <w:rsid w:val="2E867ADD"/>
    <w:rsid w:val="2E9A4F86"/>
    <w:rsid w:val="2F58112D"/>
    <w:rsid w:val="30484E27"/>
    <w:rsid w:val="3073258C"/>
    <w:rsid w:val="31B67643"/>
    <w:rsid w:val="31CD00BA"/>
    <w:rsid w:val="32A33F95"/>
    <w:rsid w:val="33541CC7"/>
    <w:rsid w:val="35407EA4"/>
    <w:rsid w:val="355E240E"/>
    <w:rsid w:val="358502B3"/>
    <w:rsid w:val="3629358B"/>
    <w:rsid w:val="37A117AC"/>
    <w:rsid w:val="37CE60BB"/>
    <w:rsid w:val="37FC30DD"/>
    <w:rsid w:val="38B97517"/>
    <w:rsid w:val="39AC68D5"/>
    <w:rsid w:val="39BD2329"/>
    <w:rsid w:val="39C63C50"/>
    <w:rsid w:val="39D44C42"/>
    <w:rsid w:val="3A9E6D76"/>
    <w:rsid w:val="3AAF00C4"/>
    <w:rsid w:val="3AEF1265"/>
    <w:rsid w:val="3B213BBB"/>
    <w:rsid w:val="3C77446E"/>
    <w:rsid w:val="3DB506EC"/>
    <w:rsid w:val="3DFE6BB0"/>
    <w:rsid w:val="3E333D4C"/>
    <w:rsid w:val="3F1B0AF2"/>
    <w:rsid w:val="3FFF2B56"/>
    <w:rsid w:val="40DA2596"/>
    <w:rsid w:val="429E1503"/>
    <w:rsid w:val="42B42326"/>
    <w:rsid w:val="4345127F"/>
    <w:rsid w:val="43481379"/>
    <w:rsid w:val="43E903FB"/>
    <w:rsid w:val="44573808"/>
    <w:rsid w:val="45A9690C"/>
    <w:rsid w:val="48303094"/>
    <w:rsid w:val="48D23566"/>
    <w:rsid w:val="4915171E"/>
    <w:rsid w:val="4A0B781F"/>
    <w:rsid w:val="4AAC134D"/>
    <w:rsid w:val="4BA71B20"/>
    <w:rsid w:val="4C272843"/>
    <w:rsid w:val="4C4948E0"/>
    <w:rsid w:val="4DCA06D8"/>
    <w:rsid w:val="4DDE4A7D"/>
    <w:rsid w:val="4E102F92"/>
    <w:rsid w:val="4F467D9B"/>
    <w:rsid w:val="50124C49"/>
    <w:rsid w:val="515014E2"/>
    <w:rsid w:val="517D08D2"/>
    <w:rsid w:val="518A3D31"/>
    <w:rsid w:val="53616804"/>
    <w:rsid w:val="5440246A"/>
    <w:rsid w:val="548E75BD"/>
    <w:rsid w:val="54FF48D9"/>
    <w:rsid w:val="556A2EC9"/>
    <w:rsid w:val="559D4069"/>
    <w:rsid w:val="56984139"/>
    <w:rsid w:val="572F431A"/>
    <w:rsid w:val="5753718E"/>
    <w:rsid w:val="57656C94"/>
    <w:rsid w:val="57EB29E7"/>
    <w:rsid w:val="58544A02"/>
    <w:rsid w:val="58867B22"/>
    <w:rsid w:val="5B8B53E3"/>
    <w:rsid w:val="5BD05788"/>
    <w:rsid w:val="5D5E5F51"/>
    <w:rsid w:val="5E997AF0"/>
    <w:rsid w:val="5FF34D5E"/>
    <w:rsid w:val="617436E2"/>
    <w:rsid w:val="62666782"/>
    <w:rsid w:val="63CA1D16"/>
    <w:rsid w:val="647F69E5"/>
    <w:rsid w:val="64B31F24"/>
    <w:rsid w:val="67241C5B"/>
    <w:rsid w:val="680A6BA8"/>
    <w:rsid w:val="685D3DC2"/>
    <w:rsid w:val="68723E96"/>
    <w:rsid w:val="688F2233"/>
    <w:rsid w:val="6BBD5EC0"/>
    <w:rsid w:val="6C363A63"/>
    <w:rsid w:val="6EC939F6"/>
    <w:rsid w:val="6F1F6167"/>
    <w:rsid w:val="6F8B49D7"/>
    <w:rsid w:val="710132DB"/>
    <w:rsid w:val="72A735AD"/>
    <w:rsid w:val="742C5790"/>
    <w:rsid w:val="743B7BEB"/>
    <w:rsid w:val="744C1208"/>
    <w:rsid w:val="7567545F"/>
    <w:rsid w:val="75E9335C"/>
    <w:rsid w:val="76FD6A38"/>
    <w:rsid w:val="774575D1"/>
    <w:rsid w:val="77E07839"/>
    <w:rsid w:val="7861550A"/>
    <w:rsid w:val="7A0674B0"/>
    <w:rsid w:val="7A3A0587"/>
    <w:rsid w:val="7C5538A5"/>
    <w:rsid w:val="7D86047A"/>
    <w:rsid w:val="7F701CF1"/>
    <w:rsid w:val="7FC73EC4"/>
    <w:rsid w:val="7FFA1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34"/>
    <w:qFormat/>
    <w:uiPriority w:val="0"/>
    <w:pPr>
      <w:jc w:val="left"/>
    </w:pPr>
  </w:style>
  <w:style w:type="paragraph" w:styleId="3">
    <w:name w:val="Balloon Text"/>
    <w:basedOn w:val="1"/>
    <w:link w:val="20"/>
    <w:qFormat/>
    <w:uiPriority w:val="0"/>
    <w:rPr>
      <w:sz w:val="18"/>
      <w:szCs w:val="18"/>
    </w:rPr>
  </w:style>
  <w:style w:type="paragraph" w:styleId="4">
    <w:name w:val="footer"/>
    <w:basedOn w:val="1"/>
    <w:link w:val="35"/>
    <w:qFormat/>
    <w:uiPriority w:val="0"/>
    <w:pPr>
      <w:tabs>
        <w:tab w:val="center" w:pos="4153"/>
        <w:tab w:val="right" w:pos="8306"/>
      </w:tabs>
      <w:snapToGrid w:val="0"/>
      <w:jc w:val="left"/>
    </w:pPr>
    <w:rPr>
      <w:sz w:val="18"/>
      <w:szCs w:val="18"/>
    </w:rPr>
  </w:style>
  <w:style w:type="paragraph" w:styleId="5">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annotation subject"/>
    <w:basedOn w:val="2"/>
    <w:next w:val="2"/>
    <w:link w:val="23"/>
    <w:qFormat/>
    <w:uiPriority w:val="0"/>
    <w:rPr>
      <w:b/>
      <w:bCs/>
    </w:r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Emphasis"/>
    <w:basedOn w:val="9"/>
    <w:qFormat/>
    <w:uiPriority w:val="0"/>
    <w:rPr>
      <w:color w:val="FF0000"/>
    </w:rPr>
  </w:style>
  <w:style w:type="character" w:styleId="13">
    <w:name w:val="Hyperlink"/>
    <w:basedOn w:val="9"/>
    <w:qFormat/>
    <w:uiPriority w:val="0"/>
    <w:rPr>
      <w:color w:val="333333"/>
      <w:u w:val="none"/>
    </w:rPr>
  </w:style>
  <w:style w:type="character" w:styleId="14">
    <w:name w:val="HTML Code"/>
    <w:basedOn w:val="9"/>
    <w:qFormat/>
    <w:uiPriority w:val="0"/>
    <w:rPr>
      <w:rFonts w:hint="default" w:ascii="monospace" w:hAnsi="monospace" w:eastAsia="monospace" w:cs="monospace"/>
      <w:sz w:val="21"/>
      <w:szCs w:val="21"/>
    </w:rPr>
  </w:style>
  <w:style w:type="character" w:styleId="15">
    <w:name w:val="annotation reference"/>
    <w:qFormat/>
    <w:uiPriority w:val="0"/>
    <w:rPr>
      <w:sz w:val="21"/>
      <w:szCs w:val="21"/>
    </w:rPr>
  </w:style>
  <w:style w:type="character" w:styleId="16">
    <w:name w:val="HTML Keyboard"/>
    <w:basedOn w:val="9"/>
    <w:qFormat/>
    <w:uiPriority w:val="0"/>
    <w:rPr>
      <w:rFonts w:ascii="monospace" w:hAnsi="monospace" w:eastAsia="monospace" w:cs="monospace"/>
      <w:sz w:val="21"/>
      <w:szCs w:val="21"/>
    </w:rPr>
  </w:style>
  <w:style w:type="character" w:styleId="17">
    <w:name w:val="HTML Sample"/>
    <w:basedOn w:val="9"/>
    <w:qFormat/>
    <w:uiPriority w:val="0"/>
    <w:rPr>
      <w:rFonts w:hint="default" w:ascii="monospace" w:hAnsi="monospace" w:eastAsia="monospace" w:cs="monospace"/>
      <w:sz w:val="21"/>
      <w:szCs w:val="21"/>
    </w:rPr>
  </w:style>
  <w:style w:type="paragraph" w:customStyle="1" w:styleId="18">
    <w:name w:val="列出段落1"/>
    <w:basedOn w:val="1"/>
    <w:qFormat/>
    <w:uiPriority w:val="0"/>
    <w:pPr>
      <w:ind w:firstLine="420" w:firstLineChars="200"/>
    </w:pPr>
    <w:rPr>
      <w:rFonts w:ascii="Calibri" w:hAnsi="Calibri"/>
      <w:szCs w:val="22"/>
    </w:rPr>
  </w:style>
  <w:style w:type="paragraph" w:customStyle="1" w:styleId="1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0">
    <w:name w:val="批注框文本 Char"/>
    <w:link w:val="3"/>
    <w:qFormat/>
    <w:uiPriority w:val="0"/>
    <w:rPr>
      <w:kern w:val="2"/>
      <w:sz w:val="18"/>
      <w:szCs w:val="18"/>
    </w:rPr>
  </w:style>
  <w:style w:type="character" w:customStyle="1" w:styleId="21">
    <w:name w:val="not([class*=suffix])1"/>
    <w:basedOn w:val="9"/>
    <w:qFormat/>
    <w:uiPriority w:val="0"/>
    <w:rPr>
      <w:sz w:val="13"/>
      <w:szCs w:val="13"/>
    </w:rPr>
  </w:style>
  <w:style w:type="character" w:customStyle="1" w:styleId="22">
    <w:name w:val="no-reply-icon"/>
    <w:basedOn w:val="9"/>
    <w:qFormat/>
    <w:uiPriority w:val="0"/>
    <w:rPr>
      <w:color w:val="BBC0CC"/>
      <w:bdr w:val="single" w:color="F8F8F8" w:sz="4" w:space="0"/>
      <w:shd w:val="clear" w:color="auto" w:fill="F8F8F8"/>
    </w:rPr>
  </w:style>
  <w:style w:type="character" w:customStyle="1" w:styleId="23">
    <w:name w:val="批注主题 Char"/>
    <w:link w:val="7"/>
    <w:qFormat/>
    <w:uiPriority w:val="0"/>
    <w:rPr>
      <w:b/>
      <w:bCs/>
      <w:kern w:val="2"/>
      <w:sz w:val="21"/>
    </w:rPr>
  </w:style>
  <w:style w:type="character" w:customStyle="1" w:styleId="24">
    <w:name w:val="flag-title2"/>
    <w:basedOn w:val="9"/>
    <w:qFormat/>
    <w:uiPriority w:val="0"/>
    <w:rPr>
      <w:color w:val="8790A4"/>
      <w:sz w:val="12"/>
      <w:szCs w:val="12"/>
      <w:bdr w:val="dashed" w:color="E5E5E5" w:sz="4" w:space="0"/>
    </w:rPr>
  </w:style>
  <w:style w:type="character" w:customStyle="1" w:styleId="25">
    <w:name w:val="right"/>
    <w:basedOn w:val="9"/>
    <w:qFormat/>
    <w:uiPriority w:val="0"/>
    <w:rPr>
      <w:shd w:val="clear" w:color="auto" w:fill="E5E5E5"/>
    </w:rPr>
  </w:style>
  <w:style w:type="character" w:customStyle="1" w:styleId="26">
    <w:name w:val="new-question-icon"/>
    <w:basedOn w:val="9"/>
    <w:qFormat/>
    <w:uiPriority w:val="0"/>
    <w:rPr>
      <w:color w:val="F99403"/>
      <w:bdr w:val="single" w:color="FFF8E2" w:sz="4" w:space="0"/>
      <w:shd w:val="clear" w:color="auto" w:fill="FFF8E2"/>
    </w:rPr>
  </w:style>
  <w:style w:type="character" w:customStyle="1" w:styleId="27">
    <w:name w:val="hover4"/>
    <w:basedOn w:val="9"/>
    <w:qFormat/>
    <w:uiPriority w:val="0"/>
    <w:rPr>
      <w:color w:val="0077E6"/>
    </w:rPr>
  </w:style>
  <w:style w:type="character" w:customStyle="1" w:styleId="28">
    <w:name w:val="not([class*=suffix])"/>
    <w:basedOn w:val="9"/>
    <w:qFormat/>
    <w:uiPriority w:val="0"/>
  </w:style>
  <w:style w:type="character" w:customStyle="1" w:styleId="29">
    <w:name w:val="页眉 Char"/>
    <w:link w:val="5"/>
    <w:qFormat/>
    <w:uiPriority w:val="0"/>
    <w:rPr>
      <w:kern w:val="2"/>
      <w:sz w:val="18"/>
      <w:szCs w:val="18"/>
    </w:rPr>
  </w:style>
  <w:style w:type="character" w:customStyle="1" w:styleId="30">
    <w:name w:val="nth-child(1)"/>
    <w:basedOn w:val="9"/>
    <w:qFormat/>
    <w:uiPriority w:val="0"/>
  </w:style>
  <w:style w:type="character" w:customStyle="1" w:styleId="31">
    <w:name w:val="nth-child(3)"/>
    <w:basedOn w:val="9"/>
    <w:qFormat/>
    <w:uiPriority w:val="0"/>
  </w:style>
  <w:style w:type="character" w:customStyle="1" w:styleId="32">
    <w:name w:val="hot-question-icon"/>
    <w:basedOn w:val="9"/>
    <w:qFormat/>
    <w:uiPriority w:val="0"/>
    <w:rPr>
      <w:color w:val="FF0000"/>
    </w:rPr>
  </w:style>
  <w:style w:type="character" w:customStyle="1" w:styleId="33">
    <w:name w:val="nth-child(2)"/>
    <w:basedOn w:val="9"/>
    <w:qFormat/>
    <w:uiPriority w:val="0"/>
  </w:style>
  <w:style w:type="character" w:customStyle="1" w:styleId="34">
    <w:name w:val="批注文字 Char"/>
    <w:link w:val="2"/>
    <w:qFormat/>
    <w:uiPriority w:val="0"/>
    <w:rPr>
      <w:kern w:val="2"/>
      <w:sz w:val="21"/>
    </w:rPr>
  </w:style>
  <w:style w:type="character" w:customStyle="1" w:styleId="35">
    <w:name w:val="页脚 Char"/>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993</Words>
  <Characters>5661</Characters>
  <Lines>47</Lines>
  <Paragraphs>13</Paragraphs>
  <TotalTime>37</TotalTime>
  <ScaleCrop>false</ScaleCrop>
  <LinksUpToDate>false</LinksUpToDate>
  <CharactersWithSpaces>6641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2020-09-09T10:40:00Z</dcterms:created>
  <dc:creator>jnc</dc:creator>
  <cp:lastModifiedBy>...＆dream</cp:lastModifiedBy>
  <dcterms:modified xsi:type="dcterms:W3CDTF">2020-09-09T11:47:13Z</dcterms:modified>
  <dc:title>证券代码：002408                              证券简称：齐翔腾达</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