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2"/>
          <w:szCs w:val="28"/>
        </w:rPr>
      </w:pPr>
      <w:r>
        <w:rPr>
          <w:rFonts w:hint="eastAsia" w:ascii="方正小标宋简体" w:eastAsia="方正小标宋简体"/>
          <w:color w:val="000000"/>
          <w:sz w:val="32"/>
          <w:szCs w:val="28"/>
        </w:rPr>
        <w:t>投资者关系活动记录表</w:t>
      </w:r>
    </w:p>
    <w:p>
      <w:pPr>
        <w:spacing w:line="560" w:lineRule="exact"/>
        <w:rPr>
          <w:rFonts w:ascii="宋体" w:hAnsi="宋体" w:eastAsia="宋体" w:cs="宋体"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iCs/>
          <w:color w:val="000000"/>
          <w:sz w:val="28"/>
          <w:szCs w:val="28"/>
        </w:rPr>
        <w:t>证券代码：300751                          证券简称：迈为股份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Cs/>
          <w:color w:val="000000"/>
          <w:sz w:val="28"/>
          <w:szCs w:val="28"/>
        </w:rPr>
        <w:t>苏州迈为科技股份有限公司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560" w:lineRule="exact"/>
        <w:rPr>
          <w:rFonts w:ascii="宋体" w:hAnsi="宋体" w:eastAsia="宋体" w:cs="宋体"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iCs/>
          <w:color w:val="000000"/>
          <w:sz w:val="28"/>
          <w:szCs w:val="28"/>
        </w:rPr>
        <w:t xml:space="preserve">                                              编号：2020-002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eastAsia="仿宋"/>
                <w:color w:val="000000"/>
                <w:sz w:val="24"/>
              </w:rPr>
              <w:t xml:space="preserve">特定对象调研        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分析师会议</w:t>
            </w:r>
          </w:p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 xml:space="preserve">媒体采访            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业绩说明会</w:t>
            </w:r>
          </w:p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 xml:space="preserve">新闻发布会          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现场参观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其他 （</w:t>
            </w:r>
            <w:r>
              <w:rPr>
                <w:rFonts w:hint="eastAsia" w:eastAsia="仿宋"/>
                <w:color w:val="00000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宋体"/>
                <w:bCs/>
                <w:iCs/>
                <w:color w:val="000000"/>
                <w:sz w:val="24"/>
              </w:rPr>
            </w:pPr>
            <w:r>
              <w:rPr>
                <w:rFonts w:hint="eastAsia" w:eastAsia="宋体"/>
                <w:bCs/>
                <w:iCs/>
                <w:color w:val="000000"/>
                <w:sz w:val="24"/>
              </w:rPr>
              <w:t>海通证券吉晟、海通证券徐柏乔、华富基金李天成、富兰克林华美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投信</w:t>
            </w:r>
            <w:r>
              <w:rPr>
                <w:rFonts w:hint="eastAsia" w:eastAsia="宋体"/>
                <w:bCs/>
                <w:iCs/>
                <w:color w:val="000000"/>
                <w:sz w:val="24"/>
              </w:rPr>
              <w:t>颜笠贇、浙商基金柴明、上银基金杨朝晖、国泰基金谢泓材、上海人寿肖迪、相生资产欧阳俊明、工银安盛牛品、国华人寿韩诚、凯基证券哈含章、建信养老金章小韩、铭基投资宁铂等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2020年9月10日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公司3楼会议室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宋体"/>
                <w:bCs/>
                <w:iCs/>
                <w:color w:val="000000"/>
                <w:sz w:val="24"/>
              </w:rPr>
            </w:pPr>
            <w:r>
              <w:rPr>
                <w:rFonts w:hint="eastAsia" w:eastAsia="宋体"/>
                <w:bCs/>
                <w:iCs/>
                <w:color w:val="000000"/>
                <w:sz w:val="24"/>
              </w:rPr>
              <w:t>证券部总监谭静、证券事务代表徐孙杰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一、公司介绍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公司主营产品为光伏电池丝网印刷生产线成套设备，公司依托印刷、激光和真空三方面的技术研发，瞄准光伏装备、OLED面板设备等市场，形成多层次立体化的业务布局。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公司的光伏设备可分为丝网印刷设备、光伏激光设备以及HJT异质结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高效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电池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生产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设备。其中，丝网印刷设备系公司的主导产品，经过多年的技术积累拥有显著的竞争优势，市场占有率稳居首位；光伏激光设备产品的性能逐年稳步提升，目前预计有20%以上市场份额。HJT设备主要由制绒设备、PVD设备、PECVD设备、丝网印刷设备构成，公司已具备整线供货能力并已取得正式订单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OLED面板设备主要包括OLED激光切割设备、OLED模组切割设备以及OLED激光修复设备。目前，OLED激光切割设备主要的技术指标优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秀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；OLED模组切割设备尚待量产验证；OLED激光修复设备目前正处于样机研发阶段。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二、提问环节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1、2020年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光伏行业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预计会新增多少产能？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答：2020年初的时候行业内普遍观点是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光伏新增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产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线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同比去年减少，但以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目前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这个时间点来预测2020全年，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可能会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超过去年。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2、公司产品的交货期是怎样的？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答：公司在收到客户的预付款后将会计划排产，由于订单规模的不同，交货期也会有所差异；一般在3个月后就会开始交货，如果订单规模较大的话，会分期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分批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交货。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3、今年以及明年HJT产线大概有多少新增产能？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答：今年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国内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预计将有3-4GW的产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能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落地，明年预计将达到10GW以上。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目前公司HJT设备的电池片产能有多少，电池片的设备转化率能达到多少？</w:t>
            </w:r>
          </w:p>
          <w:p>
            <w:pPr>
              <w:spacing w:line="560" w:lineRule="exact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答：目前公司HJT设备的电池片产能最高可以达到8000片/小时，转化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效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率可以达到2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%以上。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/>
              </w:rPr>
              <w:t>5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、OLED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激光切割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设备有没有新增订单？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答：除了维信诺以外，其他客户也都在积极交流中，也有客户会来公司考察；我们的设备是国内的第一台，在跟下游客户交流沟通中会有一定优势。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、现在市场对大尺寸硅片设备的需求怎样？大尺寸硅片设备是否可以向下兼容？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答：目前新增产线的话，客户还是比较愿意选择适用大尺寸硅片的设备，对210mm尺寸的设备需求较大。210mm尺寸设备是可以向下兼容的。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/>
              </w:rPr>
              <w:t>7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、下游客户在招标时是否会优先考虑整条电池片产线招标，还是分段招标？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答：PERC产线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技术发展成熟，几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道工序一般都是采用分段招标。HJT产线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属于技术发展早期，多数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客户会考虑整线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/>
              </w:rPr>
              <w:t>8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、公司的技术人员有多少，是否会持续招聘？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答：我们的技术人员分为研发人员和技术服务人员，截至2019年末的技术人员有644人，其中研发人员有266人；公司高度重视人才资源的发展，会持续引进高水平的高级管理人员、技术人才和营销人才。</w:t>
            </w:r>
          </w:p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eastAsia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default" w:eastAsia="仿宋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  <w:t>2020年9月10日</w:t>
            </w:r>
          </w:p>
        </w:tc>
      </w:tr>
    </w:tbl>
    <w:p>
      <w:pPr>
        <w:rPr>
          <w:rFonts w:ascii="方正小标宋简体" w:eastAsia="方正小标宋简体"/>
          <w:color w:val="000000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35B8"/>
    <w:multiLevelType w:val="singleLevel"/>
    <w:tmpl w:val="159835B8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63CC6"/>
    <w:rsid w:val="1F574370"/>
    <w:rsid w:val="2A5C1402"/>
    <w:rsid w:val="4AA20A67"/>
    <w:rsid w:val="4C84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1325</Words>
  <Characters>1435</Characters>
  <Paragraphs>57</Paragraphs>
  <TotalTime>76</TotalTime>
  <ScaleCrop>false</ScaleCrop>
  <LinksUpToDate>false</LinksUpToDate>
  <CharactersWithSpaces>1539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2020-08-21T07:12:00Z</dcterms:created>
  <dc:creator>Mr.徐</dc:creator>
  <cp:lastModifiedBy>Mr.徐</cp:lastModifiedBy>
  <dcterms:modified xsi:type="dcterms:W3CDTF">2020-09-13T04:34:20Z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