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ZWMY6BA7RSA00BG9ZR80LJ87ZC0O7VREO0XOJEDXFBRTEWTZIBRVC0IFS6TPB8RBXM69OLIZH078LNJENFT0FFW89C0WMLB8UOOKHB32D71C0E03C826C400ED0F85301970197" Type="http://schemas.microsoft.com/office/2006/relationships/officeDocumentExtended" Target="NUL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CZWFY6BU796A0VHGQARNKL007NL0OSVREO06NJDBXGORTQLT68BRYC0HFY9TPCRRXNMX5OZMZHK78HNJQUFAQFFT8RL0WMLBAOOORHB3D3084A7976B1601D1D58328A499A05B5" Type="http://schemas.microsoft.com/office/2006/relationships/officeDocumentMain" Target="NUL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3BA0" w14:textId="77777777" w:rsidR="00B618D8" w:rsidRPr="00376B2F" w:rsidRDefault="00B618D8" w:rsidP="00B618D8">
      <w:pPr>
        <w:spacing w:line="560" w:lineRule="exact"/>
        <w:jc w:val="center"/>
        <w:rPr>
          <w:rFonts w:ascii="方正小标宋简体" w:eastAsia="方正小标宋简体"/>
          <w:color w:val="000000"/>
          <w:sz w:val="28"/>
          <w:szCs w:val="28"/>
        </w:rPr>
      </w:pPr>
      <w:r w:rsidRPr="00376B2F">
        <w:rPr>
          <w:rFonts w:ascii="方正小标宋简体" w:eastAsia="方正小标宋简体" w:hint="eastAsia"/>
          <w:color w:val="000000"/>
          <w:sz w:val="32"/>
          <w:szCs w:val="28"/>
        </w:rPr>
        <w:t>投资者关系活动记录表</w:t>
      </w:r>
    </w:p>
    <w:p w14:paraId="40344B95" w14:textId="77777777" w:rsidR="00B618D8" w:rsidRPr="009C3EF1" w:rsidRDefault="00B618D8" w:rsidP="00B618D8">
      <w:pPr>
        <w:spacing w:line="560" w:lineRule="exact"/>
        <w:rPr>
          <w:rFonts w:eastAsia="仿宋"/>
          <w:bCs/>
          <w:iCs/>
          <w:color w:val="000000"/>
          <w:sz w:val="28"/>
          <w:szCs w:val="28"/>
        </w:rPr>
      </w:pPr>
      <w:r w:rsidRPr="009C3EF1">
        <w:rPr>
          <w:rFonts w:eastAsia="仿宋" w:hint="eastAsia"/>
          <w:bCs/>
          <w:iCs/>
          <w:color w:val="000000"/>
          <w:sz w:val="28"/>
          <w:szCs w:val="28"/>
        </w:rPr>
        <w:t>证券代码：</w:t>
      </w:r>
      <w:r w:rsidRPr="009C3EF1">
        <w:rPr>
          <w:rFonts w:eastAsia="仿宋" w:hint="eastAsia"/>
          <w:bCs/>
          <w:iCs/>
          <w:color w:val="000000"/>
          <w:sz w:val="28"/>
          <w:szCs w:val="28"/>
        </w:rPr>
        <w:t xml:space="preserve"> </w:t>
      </w:r>
      <w:r w:rsidR="00964195">
        <w:rPr>
          <w:rFonts w:eastAsia="仿宋" w:hint="eastAsia"/>
          <w:bCs/>
          <w:iCs/>
          <w:color w:val="000000"/>
          <w:sz w:val="28"/>
          <w:szCs w:val="28"/>
        </w:rPr>
        <w:t>300872</w:t>
      </w:r>
      <w:r w:rsidRPr="009C3EF1">
        <w:rPr>
          <w:rFonts w:eastAsia="仿宋" w:hint="eastAsia"/>
          <w:bCs/>
          <w:iCs/>
          <w:color w:val="000000"/>
          <w:sz w:val="28"/>
          <w:szCs w:val="28"/>
        </w:rPr>
        <w:t xml:space="preserve">                         </w:t>
      </w:r>
      <w:r w:rsidRPr="009C3EF1">
        <w:rPr>
          <w:rFonts w:eastAsia="仿宋" w:hint="eastAsia"/>
          <w:bCs/>
          <w:iCs/>
          <w:color w:val="000000"/>
          <w:sz w:val="28"/>
          <w:szCs w:val="28"/>
        </w:rPr>
        <w:t>证券简称：</w:t>
      </w:r>
      <w:r w:rsidR="00964195">
        <w:rPr>
          <w:rFonts w:eastAsia="仿宋" w:hint="eastAsia"/>
          <w:bCs/>
          <w:iCs/>
          <w:color w:val="000000"/>
          <w:sz w:val="28"/>
          <w:szCs w:val="28"/>
        </w:rPr>
        <w:t>天阳科技</w:t>
      </w:r>
    </w:p>
    <w:p w14:paraId="31446088" w14:textId="77777777" w:rsidR="00B618D8" w:rsidRPr="009C3EF1" w:rsidRDefault="00F81329" w:rsidP="00B618D8">
      <w:pPr>
        <w:spacing w:line="560" w:lineRule="exact"/>
        <w:jc w:val="center"/>
        <w:rPr>
          <w:rFonts w:eastAsia="仿宋"/>
          <w:b/>
          <w:bCs/>
          <w:iCs/>
          <w:color w:val="000000"/>
          <w:sz w:val="28"/>
          <w:szCs w:val="28"/>
        </w:rPr>
      </w:pPr>
      <w:r>
        <w:rPr>
          <w:rFonts w:eastAsia="仿宋" w:hint="eastAsia"/>
          <w:b/>
          <w:bCs/>
          <w:iCs/>
          <w:color w:val="000000"/>
          <w:sz w:val="28"/>
          <w:szCs w:val="28"/>
        </w:rPr>
        <w:t>天阳宏业科技</w:t>
      </w:r>
      <w:r w:rsidR="00B618D8" w:rsidRPr="009C3EF1">
        <w:rPr>
          <w:rFonts w:eastAsia="仿宋" w:hint="eastAsia"/>
          <w:b/>
          <w:bCs/>
          <w:iCs/>
          <w:color w:val="000000"/>
          <w:sz w:val="28"/>
          <w:szCs w:val="28"/>
        </w:rPr>
        <w:t>股份有限公司投资者关系活动记录表</w:t>
      </w:r>
    </w:p>
    <w:p w14:paraId="27380D3C" w14:textId="77777777" w:rsidR="00B618D8" w:rsidRPr="009C3EF1" w:rsidRDefault="006971FB" w:rsidP="00B618D8">
      <w:pPr>
        <w:spacing w:line="560" w:lineRule="exac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 xml:space="preserve">                      </w:t>
      </w:r>
      <w:r w:rsidR="00B618D8" w:rsidRPr="009C3EF1">
        <w:rPr>
          <w:rFonts w:eastAsia="仿宋" w:hint="eastAsia"/>
          <w:bCs/>
          <w:iCs/>
          <w:color w:val="000000"/>
          <w:sz w:val="28"/>
          <w:szCs w:val="28"/>
        </w:rPr>
        <w:t xml:space="preserve">                        </w:t>
      </w:r>
      <w:r w:rsidR="00B618D8" w:rsidRPr="009C3EF1">
        <w:rPr>
          <w:rFonts w:eastAsia="仿宋" w:hint="eastAsia"/>
          <w:bCs/>
          <w:iCs/>
          <w:color w:val="000000"/>
          <w:sz w:val="28"/>
          <w:szCs w:val="28"/>
        </w:rPr>
        <w:t>编号：</w:t>
      </w:r>
      <w:r>
        <w:rPr>
          <w:rFonts w:eastAsia="仿宋" w:hint="eastAsia"/>
          <w:bCs/>
          <w:iCs/>
          <w:color w:val="000000"/>
          <w:sz w:val="28"/>
          <w:szCs w:val="28"/>
        </w:rPr>
        <w:t>2020-</w:t>
      </w:r>
      <w:r w:rsidR="00964195">
        <w:rPr>
          <w:rFonts w:eastAsia="仿宋" w:hint="eastAsia"/>
          <w:bCs/>
          <w:iCs/>
          <w:color w:val="000000"/>
          <w:sz w:val="28"/>
          <w:szCs w:val="28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6436"/>
      </w:tblGrid>
      <w:tr w:rsidR="00B618D8" w:rsidRPr="009C3EF1" w14:paraId="3D5C3E5A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89BE" w14:textId="77777777" w:rsidR="00B618D8" w:rsidRPr="009C3EF1" w:rsidRDefault="00B618D8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0E911ACA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65E9" w14:textId="77777777" w:rsidR="00B618D8" w:rsidRPr="009C3EF1" w:rsidRDefault="00964195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sym w:font="Wingdings 2" w:char="F052"/>
            </w:r>
            <w:r w:rsidR="00B618D8" w:rsidRPr="009C3EF1">
              <w:rPr>
                <w:rFonts w:eastAsia="仿宋" w:hint="eastAsia"/>
                <w:color w:val="000000"/>
                <w:sz w:val="24"/>
              </w:rPr>
              <w:t>特定对象调研</w:t>
            </w:r>
            <w:r w:rsidR="00B618D8" w:rsidRPr="009C3EF1">
              <w:rPr>
                <w:rFonts w:eastAsia="仿宋" w:hint="eastAsia"/>
                <w:color w:val="000000"/>
                <w:sz w:val="24"/>
              </w:rPr>
              <w:t xml:space="preserve">        </w:t>
            </w:r>
            <w:r w:rsidR="00B618D8"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="00B618D8" w:rsidRPr="009C3EF1">
              <w:rPr>
                <w:rFonts w:eastAsia="仿宋" w:hint="eastAsia"/>
                <w:color w:val="000000"/>
                <w:sz w:val="24"/>
              </w:rPr>
              <w:t>分析师会议</w:t>
            </w:r>
          </w:p>
          <w:p w14:paraId="4FFB9421" w14:textId="77777777" w:rsidR="00B618D8" w:rsidRPr="009C3EF1" w:rsidRDefault="00B618D8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Pr="009C3EF1">
              <w:rPr>
                <w:rFonts w:eastAsia="仿宋" w:hint="eastAsia"/>
                <w:color w:val="000000"/>
                <w:sz w:val="24"/>
              </w:rPr>
              <w:t>媒体采访</w:t>
            </w:r>
            <w:r w:rsidRPr="009C3EF1">
              <w:rPr>
                <w:rFonts w:eastAsia="仿宋" w:hint="eastAsia"/>
                <w:color w:val="000000"/>
                <w:sz w:val="24"/>
              </w:rPr>
              <w:t xml:space="preserve">            </w:t>
            </w: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Pr="009C3EF1">
              <w:rPr>
                <w:rFonts w:eastAsia="仿宋" w:hint="eastAsia"/>
                <w:color w:val="000000"/>
                <w:sz w:val="24"/>
              </w:rPr>
              <w:t>业绩说明会</w:t>
            </w:r>
          </w:p>
          <w:p w14:paraId="016E92D4" w14:textId="77777777" w:rsidR="00B618D8" w:rsidRPr="009C3EF1" w:rsidRDefault="00B618D8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Pr="009C3EF1">
              <w:rPr>
                <w:rFonts w:eastAsia="仿宋" w:hint="eastAsia"/>
                <w:color w:val="000000"/>
                <w:sz w:val="24"/>
              </w:rPr>
              <w:t>新闻发布会</w:t>
            </w:r>
            <w:r w:rsidRPr="009C3EF1">
              <w:rPr>
                <w:rFonts w:eastAsia="仿宋" w:hint="eastAsia"/>
                <w:color w:val="000000"/>
                <w:sz w:val="24"/>
              </w:rPr>
              <w:t xml:space="preserve">          </w:t>
            </w: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Pr="009C3EF1">
              <w:rPr>
                <w:rFonts w:eastAsia="仿宋" w:hint="eastAsia"/>
                <w:color w:val="000000"/>
                <w:sz w:val="24"/>
              </w:rPr>
              <w:t>路演活动</w:t>
            </w:r>
          </w:p>
          <w:p w14:paraId="0A038485" w14:textId="77777777" w:rsidR="00B618D8" w:rsidRPr="009C3EF1" w:rsidRDefault="00B618D8" w:rsidP="00C369ED"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Pr="009C3EF1">
              <w:rPr>
                <w:rFonts w:eastAsia="仿宋" w:hint="eastAsia"/>
                <w:color w:val="000000"/>
                <w:sz w:val="24"/>
              </w:rPr>
              <w:t>现场参观</w:t>
            </w: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ab/>
            </w:r>
          </w:p>
          <w:p w14:paraId="43FF89F4" w14:textId="77777777" w:rsidR="00B618D8" w:rsidRPr="009C3EF1" w:rsidRDefault="00B618D8" w:rsidP="00C369ED">
            <w:pPr>
              <w:tabs>
                <w:tab w:val="center" w:pos="3199"/>
              </w:tabs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 w:rsidRPr="009C3EF1">
              <w:rPr>
                <w:rFonts w:eastAsia="仿宋" w:hint="eastAsia"/>
                <w:color w:val="000000"/>
                <w:sz w:val="24"/>
              </w:rPr>
              <w:t>其他</w:t>
            </w:r>
            <w:r w:rsidRPr="009C3EF1">
              <w:rPr>
                <w:rFonts w:eastAsia="仿宋" w:hint="eastAsia"/>
                <w:color w:val="000000"/>
                <w:sz w:val="24"/>
              </w:rPr>
              <w:t xml:space="preserve"> </w:t>
            </w:r>
            <w:r w:rsidRPr="009C3EF1">
              <w:rPr>
                <w:rFonts w:eastAsia="仿宋" w:hint="eastAsia"/>
                <w:color w:val="000000"/>
                <w:sz w:val="24"/>
              </w:rPr>
              <w:t>（</w:t>
            </w:r>
            <w:r w:rsidRPr="009C3EF1">
              <w:rPr>
                <w:rFonts w:eastAsia="仿宋" w:hint="eastAsia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 w:rsidR="00B618D8" w:rsidRPr="009C3EF1" w14:paraId="0AB27878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9A6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4ECF" w14:textId="77777777" w:rsidR="00964195" w:rsidRPr="006971FB" w:rsidRDefault="00964195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国信证券：朱松</w:t>
            </w:r>
          </w:p>
          <w:p w14:paraId="0BFC3C4F" w14:textId="77777777" w:rsidR="00964195" w:rsidRPr="006971FB" w:rsidRDefault="00964195" w:rsidP="00964195">
            <w:pPr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/>
                <w:bCs/>
                <w:iCs/>
                <w:color w:val="000000"/>
                <w:sz w:val="24"/>
              </w:rPr>
              <w:t>华创资管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：</w:t>
            </w:r>
            <w:r w:rsidRPr="006971FB">
              <w:rPr>
                <w:rFonts w:eastAsia="仿宋"/>
                <w:bCs/>
                <w:iCs/>
                <w:color w:val="000000"/>
                <w:sz w:val="24"/>
              </w:rPr>
              <w:t>孙元</w:t>
            </w:r>
          </w:p>
          <w:p w14:paraId="66A265C2" w14:textId="77777777" w:rsidR="00964195" w:rsidRPr="006971FB" w:rsidRDefault="00964195" w:rsidP="00964195">
            <w:pPr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华商基金：金曦</w:t>
            </w:r>
          </w:p>
          <w:p w14:paraId="7F26B31E" w14:textId="77777777" w:rsidR="00964195" w:rsidRPr="006971FB" w:rsidRDefault="00964195" w:rsidP="00964195">
            <w:pPr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华西证券：孔文彬，罗天啸</w:t>
            </w:r>
          </w:p>
        </w:tc>
      </w:tr>
      <w:tr w:rsidR="00B618D8" w:rsidRPr="009C3EF1" w14:paraId="59E18F18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3CBA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10F" w14:textId="77777777" w:rsidR="00B618D8" w:rsidRPr="006971FB" w:rsidRDefault="00964195" w:rsidP="006971FB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2020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年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9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月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14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日上午</w:t>
            </w:r>
          </w:p>
        </w:tc>
      </w:tr>
      <w:tr w:rsidR="00B618D8" w:rsidRPr="009C3EF1" w14:paraId="6F5EE794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72F8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7979" w14:textId="77777777" w:rsidR="00B618D8" w:rsidRPr="006971FB" w:rsidRDefault="006971FB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B618D8" w:rsidRPr="006971FB" w14:paraId="1E37E8C0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03B1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5893" w14:textId="405A6F7C" w:rsidR="00B618D8" w:rsidRPr="006971FB" w:rsidRDefault="006971FB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天阳宏业科技股份有限公司董事长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 xml:space="preserve">             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欧阳建平</w:t>
            </w:r>
          </w:p>
          <w:p w14:paraId="6EEE500E" w14:textId="77777777" w:rsidR="006971FB" w:rsidRDefault="006971FB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天阳宏业科技股份有限公司董秘兼财务总监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 xml:space="preserve">       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张庆勋</w:t>
            </w:r>
          </w:p>
          <w:p w14:paraId="21A3A684" w14:textId="036AA29F" w:rsidR="00EA6B7E" w:rsidRPr="00EA6B7E" w:rsidRDefault="00EA6B7E" w:rsidP="00C369ED">
            <w:pPr>
              <w:spacing w:line="560" w:lineRule="exact"/>
              <w:rPr>
                <w:rFonts w:eastAsia="仿宋" w:hint="eastAsia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天阳宏业科技股份有限公司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证券事务代表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eastAsia="仿宋"/>
                <w:bCs/>
                <w:iCs/>
                <w:color w:val="000000"/>
                <w:sz w:val="24"/>
              </w:rPr>
              <w:t xml:space="preserve">       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谢金英</w:t>
            </w:r>
          </w:p>
        </w:tc>
      </w:tr>
      <w:tr w:rsidR="00B618D8" w:rsidRPr="009C3EF1" w14:paraId="763E38CC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DC93" w14:textId="77777777" w:rsidR="00B618D8" w:rsidRPr="009C3EF1" w:rsidRDefault="00B618D8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3D62D08A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0F82" w14:textId="7777777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</w:pPr>
            <w:r w:rsidRPr="009B6782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1.</w:t>
            </w: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银行</w:t>
            </w: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IT</w:t>
            </w: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行业分散的原因是什么，未来公司的发展路径</w:t>
            </w:r>
            <w:r w:rsidRPr="009B6782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？</w:t>
            </w:r>
          </w:p>
          <w:p w14:paraId="454AABBE" w14:textId="012F7D2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答：</w:t>
            </w:r>
            <w:r w:rsidR="00EC71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根据</w:t>
            </w:r>
            <w:r w:rsidR="00EC71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I</w:t>
            </w:r>
            <w:r w:rsidR="00EC718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DC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报告，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2</w:t>
            </w:r>
            <w:r w:rsidR="00911C35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019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年中国银行业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I</w:t>
            </w:r>
            <w:r w:rsidR="00911C35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T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解决方案整体市场排名第一的市场占有率为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5.</w:t>
            </w:r>
            <w:r w:rsidR="00911C35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8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%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，天阳科技以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3.</w:t>
            </w:r>
            <w:r w:rsidR="00911C35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0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%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的市场占有率排第五，</w:t>
            </w:r>
            <w:r w:rsidR="00911C35"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市场比较分散。</w:t>
            </w:r>
          </w:p>
          <w:p w14:paraId="5CAB76BB" w14:textId="15E0E091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市场分散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主要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有两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方面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的原因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：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1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）银行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IT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领域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里面有很多的细分领域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跨细分领域对供应商在该细分领域的技术和专业性要求比较高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难度比较大；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2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）</w:t>
            </w:r>
            <w:r w:rsidR="00911C35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ToB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的业务有一定的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黏性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，领域之间相互关联，替换性低。公司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未来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的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发展路径：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1.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做好既有业务线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和既有的业务模式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，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服务好既有的客户，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这</w:t>
            </w:r>
            <w:r w:rsidR="00911C35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一块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还有很大的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挖掘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空间；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2.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在未来</w:t>
            </w:r>
            <w:r w:rsidR="00E609DB"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不排除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挑选合适的时机找到合适的标的，通过</w:t>
            </w:r>
            <w:r w:rsidR="00BF15AD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结构性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并购</w:t>
            </w:r>
            <w:r w:rsidR="00BF15AD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来增强公司既有的业务线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38F6D48D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7044FF49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bCs/>
                <w:kern w:val="0"/>
                <w:szCs w:val="21"/>
                <w:lang w:bidi="ar"/>
              </w:rPr>
              <w:t>2</w:t>
            </w:r>
            <w:r>
              <w:rPr>
                <w:rFonts w:ascii="Arial" w:eastAsia="楷体_GB2312" w:hAnsi="Arial" w:cs="Arial"/>
                <w:b/>
                <w:bCs/>
                <w:kern w:val="0"/>
                <w:szCs w:val="21"/>
                <w:lang w:bidi="ar"/>
              </w:rPr>
              <w:t>.</w:t>
            </w:r>
            <w:r>
              <w:rPr>
                <w:rFonts w:ascii="Arial" w:eastAsia="楷体_GB2312" w:hAnsi="Arial" w:cs="Arial"/>
                <w:b/>
                <w:bCs/>
                <w:kern w:val="0"/>
                <w:szCs w:val="21"/>
                <w:lang w:bidi="ar"/>
              </w:rPr>
              <w:t>公司技术服务中，主要包括测试服务和运维服务，在国产化浪潮下的</w:t>
            </w:r>
            <w:r>
              <w:rPr>
                <w:rFonts w:ascii="Arial" w:eastAsia="楷体_GB2312" w:hAnsi="Arial" w:cs="Arial" w:hint="eastAsia"/>
                <w:b/>
                <w:bCs/>
                <w:kern w:val="0"/>
                <w:szCs w:val="21"/>
                <w:lang w:bidi="ar"/>
              </w:rPr>
              <w:t>如何看待第三方运维的</w:t>
            </w:r>
            <w:r>
              <w:rPr>
                <w:rFonts w:ascii="Arial" w:eastAsia="楷体_GB2312" w:hAnsi="Arial" w:cs="Arial"/>
                <w:b/>
                <w:bCs/>
                <w:kern w:val="0"/>
                <w:szCs w:val="21"/>
                <w:lang w:bidi="ar"/>
              </w:rPr>
              <w:t>发展机会？</w:t>
            </w:r>
          </w:p>
          <w:p w14:paraId="22027A19" w14:textId="3F96E272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lastRenderedPageBreak/>
              <w:t>答</w:t>
            </w: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：</w:t>
            </w:r>
            <w:r w:rsidR="00BF15A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公司目前的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运维服务主要是指</w:t>
            </w:r>
            <w:r w:rsidR="00BF15A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针对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自己</w:t>
            </w:r>
            <w:r w:rsidR="00BF15A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项目和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产品的运维，</w:t>
            </w: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公司单纯做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第三方运维服务</w:t>
            </w: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的收入占比很少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  <w:r w:rsidR="00BF15A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在去</w:t>
            </w:r>
            <w:r w:rsidR="00BF15A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I</w:t>
            </w:r>
            <w:r w:rsidR="00BF15AD">
              <w:rPr>
                <w:rFonts w:ascii="Arial" w:eastAsia="楷体_GB2312" w:hAnsi="Arial" w:cs="Arial"/>
                <w:kern w:val="0"/>
                <w:szCs w:val="21"/>
                <w:lang w:bidi="ar"/>
              </w:rPr>
              <w:t>OE</w:t>
            </w:r>
            <w:r w:rsidR="00BF15A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及国产化的大背景下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公司不会主力发展</w:t>
            </w:r>
            <w:r w:rsidR="00BF15A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第三方运维的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业务</w:t>
            </w:r>
            <w:r w:rsidR="00E609DB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（非公司主营业务方向）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5412DE2F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72E28764" w14:textId="7777777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bCs/>
                <w:szCs w:val="21"/>
              </w:rPr>
            </w:pPr>
            <w:r w:rsidRPr="009B6782">
              <w:rPr>
                <w:rFonts w:ascii="Arial" w:eastAsia="楷体_GB2312" w:hAnsi="Arial" w:cs="Arial" w:hint="eastAsia"/>
                <w:b/>
                <w:bCs/>
                <w:kern w:val="0"/>
                <w:szCs w:val="21"/>
                <w:lang w:bidi="ar"/>
              </w:rPr>
              <w:t>3</w:t>
            </w:r>
            <w:r w:rsidRPr="009B6782">
              <w:rPr>
                <w:rFonts w:ascii="Arial" w:eastAsia="楷体_GB2312" w:hAnsi="Arial" w:cs="Arial"/>
                <w:b/>
                <w:bCs/>
                <w:kern w:val="0"/>
                <w:szCs w:val="21"/>
                <w:lang w:bidi="ar"/>
              </w:rPr>
              <w:t>.</w:t>
            </w:r>
            <w:r w:rsidRPr="009B6782">
              <w:rPr>
                <w:rFonts w:ascii="Arial" w:eastAsia="楷体_GB2312" w:hAnsi="Arial" w:cs="Arial"/>
                <w:b/>
                <w:bCs/>
                <w:kern w:val="0"/>
                <w:szCs w:val="21"/>
                <w:lang w:bidi="ar"/>
              </w:rPr>
              <w:t>目前公司的主要客户有哪些？国有大型商业银行（中农工建交）、股份制银行以及中小银行的业务占比大概是多少？</w:t>
            </w:r>
          </w:p>
          <w:p w14:paraId="7770EAC1" w14:textId="5D7B0205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答：公司经过多年的业务积累，客户结构也在不断优化。目前，业务涵盖了包括政策性银行、国有商业银行、股份制银行、城市商业银行和农村信用社在内的层次完整的银行客户体系，是公司的一大优势之一。</w:t>
            </w:r>
            <w:r w:rsidR="004C7CF7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大型银行客户的收入占总收入的平均比例接近</w:t>
            </w:r>
            <w:r w:rsidR="004C7CF7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50%</w:t>
            </w:r>
            <w:r w:rsidR="004C7CF7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。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41EAEFD0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6CFEE895" w14:textId="2A8A26CC" w:rsidR="00CD0218" w:rsidRP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CD0218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4.</w:t>
            </w:r>
            <w:r w:rsidRPr="00CD0218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新的会计准则</w:t>
            </w:r>
            <w:r w:rsidRPr="00CD0218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对公司的影响</w:t>
            </w:r>
            <w:r w:rsidRPr="00CD0218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？</w:t>
            </w:r>
          </w:p>
          <w:p w14:paraId="0A2D9D29" w14:textId="17205E81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答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：</w:t>
            </w:r>
            <w:r w:rsidR="00A76DF6" w:rsidRPr="00A76DF6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执行新收入准则不会对</w:t>
            </w:r>
            <w:r w:rsidR="00A76DF6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</w:t>
            </w:r>
            <w:r w:rsidR="00A76DF6" w:rsidRPr="00A76DF6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收入确认产生重大影响</w:t>
            </w:r>
            <w:r w:rsidR="00A76DF6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，详细分析可参考招股说明书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12F2D948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09865928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.</w:t>
            </w:r>
            <w:r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软件</w:t>
            </w:r>
            <w:r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增值税退税的数额大概有多少？</w:t>
            </w:r>
          </w:p>
          <w:p w14:paraId="0216F747" w14:textId="4BE303A8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答：公司的收入主要来自于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解决方案</w:t>
            </w:r>
            <w:r w:rsidR="00E609DB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及服务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，</w:t>
            </w:r>
            <w:r w:rsidR="00E609DB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纯软件产品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销售增值税</w:t>
            </w:r>
            <w:r w:rsidR="00E609DB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即征即退金额</w:t>
            </w: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比较少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4619048F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48D0AA68" w14:textId="7777777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6</w:t>
            </w:r>
            <w:r w:rsidRPr="009B6782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.</w:t>
            </w: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公司对于银行上云的看法</w:t>
            </w:r>
            <w:r w:rsidRPr="009B6782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？</w:t>
            </w:r>
          </w:p>
          <w:p w14:paraId="08263B11" w14:textId="14ED6E34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答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：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大的银行采用公用云的可能性不大，他们有能力投资，同时还对自主可控有要求，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采用公有云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可能主要集中在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两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个市场：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1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）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村镇银行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小的农商行和城商行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会有把应用部署到公有云的需求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；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2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）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对大型的银行来说，对于一些不是很关键的业务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会逐步迁移到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公有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云上去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3DB4A224" w14:textId="73A98DB0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目前来看，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银行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主要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还是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以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私有云的部署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为主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有可能未来随着银行业的竞争继续加剧，他们会采用</w:t>
            </w:r>
            <w:r w:rsidR="0025348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公有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云的方式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来实现降本增效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55BD03F0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kern w:val="0"/>
                <w:szCs w:val="21"/>
                <w:lang w:bidi="ar"/>
              </w:rPr>
            </w:pPr>
          </w:p>
          <w:p w14:paraId="4F4CE541" w14:textId="77777777" w:rsidR="00CD0218" w:rsidRP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bCs/>
                <w:szCs w:val="21"/>
              </w:rPr>
            </w:pPr>
            <w:r w:rsidRPr="00CD0218">
              <w:rPr>
                <w:rFonts w:ascii="Arial" w:eastAsia="楷体_GB2312" w:hAnsi="Arial" w:cs="Arial" w:hint="eastAsia"/>
                <w:b/>
                <w:bCs/>
                <w:kern w:val="0"/>
                <w:szCs w:val="21"/>
                <w:lang w:bidi="ar"/>
              </w:rPr>
              <w:t>7.</w:t>
            </w:r>
            <w:r w:rsidRPr="00CD0218">
              <w:rPr>
                <w:rFonts w:ascii="Arial" w:eastAsia="楷体_GB2312" w:hAnsi="Arial" w:cs="Arial" w:hint="eastAsia"/>
                <w:b/>
                <w:bCs/>
                <w:kern w:val="0"/>
                <w:szCs w:val="21"/>
                <w:lang w:bidi="ar"/>
              </w:rPr>
              <w:t>公司的竞争优势？</w:t>
            </w:r>
          </w:p>
          <w:p w14:paraId="203FCF3B" w14:textId="77777777" w:rsidR="00E746F5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kern w:val="0"/>
                <w:szCs w:val="21"/>
                <w:lang w:bidi="ar"/>
              </w:rPr>
            </w:pP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答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：</w:t>
            </w:r>
          </w:p>
          <w:p w14:paraId="5403CB00" w14:textId="0A452F71" w:rsidR="00CD0218" w:rsidRP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①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管理层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团队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稳定，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有</w:t>
            </w:r>
            <w:r w:rsidR="0025348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理想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、有信心；</w:t>
            </w:r>
          </w:p>
          <w:p w14:paraId="308F976B" w14:textId="12E6EBD6" w:rsidR="00CD0218" w:rsidRP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②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公司有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很多成功的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项目实施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案例，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拥有一批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行业专家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；</w:t>
            </w:r>
          </w:p>
          <w:p w14:paraId="0FB0A43D" w14:textId="3FF21E39" w:rsidR="00CD0218" w:rsidRP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③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公司所处于的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银行金融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I</w:t>
            </w:r>
            <w:r w:rsidR="002558F1">
              <w:rPr>
                <w:rFonts w:ascii="Arial" w:eastAsia="楷体_GB2312" w:hAnsi="Arial" w:cs="Arial"/>
                <w:kern w:val="0"/>
                <w:szCs w:val="21"/>
                <w:lang w:bidi="ar"/>
              </w:rPr>
              <w:t>T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行业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繁荣发展，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是一个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朝阳的行业</w:t>
            </w:r>
            <w:r w:rsidR="002558F1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；</w:t>
            </w:r>
          </w:p>
          <w:p w14:paraId="06996CC3" w14:textId="467E545D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kern w:val="0"/>
                <w:szCs w:val="21"/>
                <w:lang w:bidi="ar"/>
              </w:rPr>
            </w:pP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④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公司上市之后会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借助资本的平台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持续专注主业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、</w:t>
            </w:r>
            <w:r w:rsidRPr="00CD0218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做大公司的业务</w:t>
            </w:r>
            <w:r w:rsidRPr="00CD0218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46EE3BF2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3C7E9B37" w14:textId="7777777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bCs/>
                <w:kern w:val="0"/>
                <w:szCs w:val="21"/>
                <w:lang w:bidi="ar"/>
              </w:rPr>
            </w:pPr>
            <w:r w:rsidRPr="009B6782">
              <w:rPr>
                <w:rFonts w:ascii="Arial" w:eastAsia="楷体_GB2312" w:hAnsi="Arial" w:cs="Arial" w:hint="eastAsia"/>
                <w:b/>
                <w:bCs/>
                <w:kern w:val="0"/>
                <w:szCs w:val="21"/>
                <w:lang w:bidi="ar"/>
              </w:rPr>
              <w:t>8.</w:t>
            </w:r>
            <w:r w:rsidRPr="009B6782">
              <w:rPr>
                <w:rFonts w:ascii="Arial" w:eastAsia="楷体_GB2312" w:hAnsi="Arial" w:cs="Arial" w:hint="eastAsia"/>
                <w:b/>
                <w:bCs/>
                <w:kern w:val="0"/>
                <w:szCs w:val="21"/>
                <w:lang w:bidi="ar"/>
              </w:rPr>
              <w:t>公司细分业务在行业内部的排名和地位？</w:t>
            </w:r>
          </w:p>
          <w:p w14:paraId="78F42F8C" w14:textId="12531AE6" w:rsidR="00A51157" w:rsidRPr="008D7F92" w:rsidRDefault="00CD0218" w:rsidP="00CD0218">
            <w:pPr>
              <w:pStyle w:val="af3"/>
              <w:spacing w:before="0" w:beforeAutospacing="0" w:after="0" w:afterAutospacing="0"/>
              <w:rPr>
                <w:rFonts w:ascii="Arial" w:eastAsia="楷体_GB2312" w:hAnsi="Arial" w:cs="Arial"/>
                <w:sz w:val="21"/>
                <w:szCs w:val="21"/>
                <w:lang w:bidi="ar"/>
              </w:rPr>
            </w:pP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答：赛迪顾问及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IDC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报告均指出，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2019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年中国银行业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IT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解决方案市场继续保持稳健的增长态势，并呈现出生态系统越来越丰富的局面，核心系统、信贷管理、商业智能等子市场竞争较为激烈。赛迪报告显示，天阳科技信用卡、风险管理、交易银行解决方案专项排名行业第一，信贷、商业智能、线上网贷、客户关系管理专项排名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lastRenderedPageBreak/>
              <w:t>第三。在两份权威报告中，天阳科技</w:t>
            </w:r>
            <w:r w:rsidR="00E746F5">
              <w:rPr>
                <w:rFonts w:ascii="Arial" w:eastAsia="楷体_GB2312" w:hAnsi="Arial" w:cs="Arial" w:hint="eastAsia"/>
                <w:sz w:val="21"/>
                <w:szCs w:val="21"/>
                <w:lang w:bidi="ar"/>
              </w:rPr>
              <w:t>行业综合排名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较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2018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年均得到进一步提升，继续以优异的成就和卓越的实力稳居行业</w:t>
            </w:r>
            <w:r w:rsidR="00E746F5">
              <w:rPr>
                <w:rFonts w:ascii="Arial" w:eastAsia="楷体_GB2312" w:hAnsi="Arial" w:cs="Arial" w:hint="eastAsia"/>
                <w:sz w:val="21"/>
                <w:szCs w:val="21"/>
                <w:lang w:bidi="ar"/>
              </w:rPr>
              <w:t>前列</w:t>
            </w:r>
            <w:r w:rsidRPr="009B6782">
              <w:rPr>
                <w:rFonts w:ascii="Arial" w:eastAsia="楷体_GB2312" w:hAnsi="Arial" w:cs="Arial"/>
                <w:sz w:val="21"/>
                <w:szCs w:val="21"/>
                <w:lang w:bidi="ar"/>
              </w:rPr>
              <w:t>。</w:t>
            </w:r>
          </w:p>
          <w:p w14:paraId="2F30624F" w14:textId="3FA86E0D" w:rsidR="00CD0218" w:rsidRDefault="001615DD" w:rsidP="00CD0218">
            <w:pPr>
              <w:pStyle w:val="af3"/>
              <w:spacing w:before="0" w:beforeAutospacing="0" w:after="0" w:afterAutospacing="0"/>
              <w:rPr>
                <w:rFonts w:ascii="Arial" w:eastAsia="楷体_GB2312" w:hAnsi="Arial" w:cs="Arial"/>
                <w:sz w:val="21"/>
                <w:szCs w:val="21"/>
                <w:lang w:bidi="ar"/>
              </w:rPr>
            </w:pPr>
            <w:r>
              <w:rPr>
                <w:rFonts w:ascii="Arial" w:eastAsia="楷体_GB2312" w:hAnsi="Arial" w:cs="Arial" w:hint="eastAsia"/>
                <w:sz w:val="21"/>
                <w:szCs w:val="21"/>
                <w:lang w:bidi="ar"/>
              </w:rPr>
              <w:t>其中：公司这两年信用卡业务发展迅速，新研发的信用卡核心系统整体解决方案已在大行得到应用，性能及吞吐量较老一代得到极大提升，综合性价比高。公司今年又陆续中标交通银行和招商银行信用卡核心系统项目。</w:t>
            </w:r>
          </w:p>
          <w:p w14:paraId="251B402E" w14:textId="77777777" w:rsidR="001615DD" w:rsidRPr="008D7F92" w:rsidRDefault="001615DD" w:rsidP="00CD0218">
            <w:pPr>
              <w:pStyle w:val="af3"/>
              <w:spacing w:before="0" w:beforeAutospacing="0" w:after="0" w:afterAutospacing="0"/>
              <w:rPr>
                <w:rFonts w:ascii="Arial" w:eastAsia="楷体_GB2312" w:hAnsi="Arial" w:cs="Arial"/>
                <w:sz w:val="21"/>
                <w:szCs w:val="21"/>
                <w:lang w:bidi="ar"/>
              </w:rPr>
            </w:pPr>
          </w:p>
          <w:p w14:paraId="6E383A80" w14:textId="7777777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</w:pP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9.</w:t>
            </w: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公司咨询业务未来的发展动力？</w:t>
            </w:r>
          </w:p>
          <w:p w14:paraId="7E293D7A" w14:textId="4F1577B1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答</w:t>
            </w: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：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公司的高端咨询业务在行业处于领先地位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业务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主要分为两个部分，一个是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IT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架构规划，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另一个是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PMO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（大型的项目管理）。</w:t>
            </w:r>
            <w:r w:rsidR="00F510BE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公司并购卡洛其后，融合效应已显现，咨询业务在发展自身业务的同时也能把公司既有的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解决方案</w:t>
            </w:r>
            <w:r w:rsidR="00F510BE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业务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及产品线</w:t>
            </w:r>
            <w:r w:rsidR="00F510BE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线带入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到咨询</w:t>
            </w:r>
            <w:r w:rsidR="00F510BE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项目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中</w:t>
            </w:r>
            <w:r w:rsidR="00F510BE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，这也反过来加强公司在咨询业务上的影响力</w:t>
            </w:r>
            <w:r w:rsid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。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同时天阳科技签署的大项目会越来越多，也需要引入卡洛其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P</w:t>
            </w:r>
            <w:r w:rsidR="00E746F5">
              <w:rPr>
                <w:rFonts w:ascii="Arial" w:eastAsia="楷体_GB2312" w:hAnsi="Arial" w:cs="Arial"/>
                <w:kern w:val="0"/>
                <w:szCs w:val="21"/>
                <w:lang w:bidi="ar"/>
              </w:rPr>
              <w:t>MO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协助参与管理</w:t>
            </w:r>
          </w:p>
          <w:p w14:paraId="0F2870A0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1D7574FB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bCs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bCs/>
                <w:szCs w:val="21"/>
              </w:rPr>
              <w:t>10.</w:t>
            </w:r>
            <w:r>
              <w:rPr>
                <w:rFonts w:ascii="Arial" w:eastAsia="楷体_GB2312" w:hAnsi="Arial" w:cs="Arial" w:hint="eastAsia"/>
                <w:b/>
                <w:bCs/>
                <w:szCs w:val="21"/>
              </w:rPr>
              <w:t>公司的人员数量增长情况？</w:t>
            </w:r>
          </w:p>
          <w:p w14:paraId="3E158645" w14:textId="0B3A6C58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答：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2</w:t>
            </w:r>
            <w:r w:rsidR="00E746F5">
              <w:rPr>
                <w:rFonts w:ascii="Arial" w:eastAsia="楷体_GB2312" w:hAnsi="Arial" w:cs="Arial"/>
                <w:kern w:val="0"/>
                <w:szCs w:val="21"/>
                <w:lang w:bidi="ar"/>
              </w:rPr>
              <w:t>0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20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年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在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疫情</w:t>
            </w: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的情况下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，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公司业绩</w:t>
            </w:r>
            <w:r w:rsidR="005D2E0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整体稳步增长，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目前</w:t>
            </w: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人数较年初增长</w:t>
            </w:r>
            <w:r w:rsidR="005D2E0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约</w:t>
            </w:r>
            <w:r w:rsidR="00E746F5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近千人</w:t>
            </w:r>
            <w:r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5ACCCAAC" w14:textId="77777777" w:rsidR="00CD0218" w:rsidRPr="00964D79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7D881EDE" w14:textId="7777777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11.</w:t>
            </w:r>
            <w:r w:rsidRPr="009B6782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分布式为公司带来的发展机遇？</w:t>
            </w:r>
          </w:p>
          <w:p w14:paraId="6A152A8C" w14:textId="4F47C22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答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：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分布式</w:t>
            </w:r>
            <w:r w:rsidR="00F510BE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架构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在未来几年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是大的趋势。中美科技的脱钩会加速分布式</w:t>
            </w:r>
            <w:r w:rsidR="00F43D57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架构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的发展，之前</w:t>
            </w:r>
            <w:r w:rsidR="00F43D57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国外厂商的产品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性能是很强的，目前国产的自主系统产品性能不够，所以通过分布式的方式来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进行弥补和替换</w:t>
            </w:r>
            <w:r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  <w:r w:rsidR="00EA6B7E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分布式的发展机遇对公司来说是个很好的机遇</w:t>
            </w:r>
            <w:r w:rsid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。</w:t>
            </w:r>
          </w:p>
          <w:p w14:paraId="0ADF7F8C" w14:textId="77777777" w:rsidR="00EA6B7E" w:rsidRDefault="00EA6B7E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kern w:val="0"/>
                <w:szCs w:val="21"/>
                <w:lang w:bidi="ar"/>
              </w:rPr>
            </w:pPr>
          </w:p>
          <w:p w14:paraId="3B881892" w14:textId="059D9EBE" w:rsidR="00A51157" w:rsidRPr="00EA6B7E" w:rsidRDefault="00A51157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</w:pPr>
            <w:r w:rsidRPr="00EA6B7E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12.</w:t>
            </w:r>
            <w:r w:rsidRPr="00EA6B7E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介绍一下信创业务市场情况？</w:t>
            </w:r>
          </w:p>
          <w:p w14:paraId="490E3F76" w14:textId="127DEC18" w:rsidR="00CD0218" w:rsidRPr="009B6782" w:rsidRDefault="00EA6B7E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答：</w:t>
            </w:r>
            <w:r w:rsidR="00CD021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2020</w:t>
            </w:r>
            <w:r w:rsidR="00CD021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年是金融信创业务的元年，大概有</w:t>
            </w:r>
            <w:r w:rsidR="00CD021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20</w:t>
            </w:r>
            <w:r w:rsidR="00CD021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多个客户进行信创试点。一个银行在转型的过程中，跟应用厂商是脱离不了关系的，</w:t>
            </w:r>
            <w:r w:rsidR="00CD021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公司在业务领域内有</w:t>
            </w:r>
            <w:r w:rsidR="00CD021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非常好的客户覆盖，有</w:t>
            </w:r>
            <w:r w:rsidR="00CD021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较大的</w:t>
            </w:r>
            <w:r w:rsidR="00CD021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市场影响力</w:t>
            </w:r>
            <w:r w:rsidR="00CD0218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，</w:t>
            </w:r>
            <w:r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信创业务能够在未来给公司带来新的增长点</w:t>
            </w:r>
            <w:r w:rsidR="00CD0218" w:rsidRPr="009B6782">
              <w:rPr>
                <w:rFonts w:ascii="Arial" w:eastAsia="楷体_GB2312" w:hAnsi="Arial" w:cs="Arial"/>
                <w:kern w:val="0"/>
                <w:szCs w:val="21"/>
                <w:lang w:bidi="ar"/>
              </w:rPr>
              <w:t>。</w:t>
            </w:r>
          </w:p>
          <w:p w14:paraId="42A55C59" w14:textId="77777777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</w:p>
          <w:p w14:paraId="5CD48AF0" w14:textId="5B5B2C2E" w:rsidR="00CD0218" w:rsidRPr="009B6782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szCs w:val="21"/>
              </w:rPr>
            </w:pP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1</w:t>
            </w:r>
            <w:r w:rsidR="00A51157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3</w:t>
            </w:r>
            <w:r w:rsidRPr="009B6782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.</w:t>
            </w:r>
            <w:r w:rsidRPr="009B6782"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  <w:t>公司在数字货币方面的进展？</w:t>
            </w:r>
          </w:p>
          <w:p w14:paraId="60E2F366" w14:textId="53BAD41A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</w:rPr>
            </w:pP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答：目前</w:t>
            </w:r>
            <w:r w:rsidR="00F43D57" w:rsidRPr="009B6782">
              <w:rPr>
                <w:rFonts w:ascii="Arial" w:eastAsia="楷体_GB2312" w:hAnsi="Arial" w:cs="Arial" w:hint="eastAsia"/>
              </w:rPr>
              <w:t>人民银行</w:t>
            </w:r>
            <w:r w:rsidRPr="009B6782">
              <w:rPr>
                <w:rFonts w:ascii="Arial" w:eastAsia="楷体_GB2312" w:hAnsi="Arial" w:cs="Arial" w:hint="eastAsia"/>
              </w:rPr>
              <w:t>在做数字货币的试点工作，并且在有条不紊的推进，</w:t>
            </w:r>
            <w:r w:rsidR="001615DD">
              <w:rPr>
                <w:rFonts w:ascii="Arial" w:eastAsia="楷体_GB2312" w:hAnsi="Arial" w:cs="Arial" w:hint="eastAsia"/>
              </w:rPr>
              <w:t>但业务从试点</w:t>
            </w:r>
            <w:r w:rsidR="001615DD">
              <w:rPr>
                <w:rFonts w:ascii="Arial" w:eastAsia="楷体_GB2312" w:hAnsi="Arial" w:cs="Arial"/>
              </w:rPr>
              <w:t>—</w:t>
            </w:r>
            <w:r w:rsidR="001615DD">
              <w:rPr>
                <w:rFonts w:ascii="Arial" w:eastAsia="楷体_GB2312" w:hAnsi="Arial" w:cs="Arial" w:hint="eastAsia"/>
              </w:rPr>
              <w:t>落地</w:t>
            </w:r>
            <w:r w:rsidR="001615DD">
              <w:rPr>
                <w:rFonts w:ascii="Arial" w:eastAsia="楷体_GB2312" w:hAnsi="Arial" w:cs="Arial"/>
              </w:rPr>
              <w:t>—</w:t>
            </w:r>
            <w:r w:rsidR="001615DD">
              <w:rPr>
                <w:rFonts w:ascii="Arial" w:eastAsia="楷体_GB2312" w:hAnsi="Arial" w:cs="Arial" w:hint="eastAsia"/>
              </w:rPr>
              <w:t>推广，要有一个过程。</w:t>
            </w:r>
            <w:r w:rsidRPr="009B6782">
              <w:rPr>
                <w:rFonts w:ascii="Arial" w:eastAsia="楷体_GB2312" w:hAnsi="Arial" w:cs="Arial" w:hint="eastAsia"/>
              </w:rPr>
              <w:t>到目前为止</w:t>
            </w:r>
            <w:r w:rsidR="00F43D57" w:rsidRPr="009B6782">
              <w:rPr>
                <w:rFonts w:ascii="Arial" w:eastAsia="楷体_GB2312" w:hAnsi="Arial" w:cs="Arial" w:hint="eastAsia"/>
              </w:rPr>
              <w:t>公司</w:t>
            </w:r>
            <w:r w:rsidRPr="009B6782">
              <w:rPr>
                <w:rFonts w:ascii="Arial" w:eastAsia="楷体_GB2312" w:hAnsi="Arial" w:cs="Arial" w:hint="eastAsia"/>
              </w:rPr>
              <w:t>在这个领域里面没有特别明确的市场布局，对于公</w:t>
            </w:r>
            <w:r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司来说是跟着国家的指挥更好的服务好银行，</w:t>
            </w:r>
            <w:r w:rsidR="00982B3D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关注与跟踪数字</w:t>
            </w:r>
            <w:r w:rsidR="00A51157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货币相关的技术与应用发展，</w:t>
            </w:r>
            <w:r w:rsidR="00F43D57" w:rsidRPr="009B6782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做好数字货币技术层面的研究和积累，</w:t>
            </w:r>
            <w:r w:rsidRPr="009B6782">
              <w:rPr>
                <w:rFonts w:ascii="Arial" w:eastAsia="楷体_GB2312" w:hAnsi="Arial" w:cs="Arial" w:hint="eastAsia"/>
              </w:rPr>
              <w:t>相信随着市场的发展，未来数字货币业务推广到一定程度的时候，公司会</w:t>
            </w:r>
            <w:r w:rsidR="005D2E0E">
              <w:rPr>
                <w:rFonts w:ascii="Arial" w:eastAsia="楷体_GB2312" w:hAnsi="Arial" w:cs="Arial" w:hint="eastAsia"/>
              </w:rPr>
              <w:t>顺势而为</w:t>
            </w:r>
            <w:r w:rsidRPr="009B6782">
              <w:rPr>
                <w:rFonts w:ascii="Arial" w:eastAsia="楷体_GB2312" w:hAnsi="Arial" w:cs="Arial" w:hint="eastAsia"/>
              </w:rPr>
              <w:t>进入到这个市场里面。</w:t>
            </w:r>
          </w:p>
          <w:p w14:paraId="7DA08491" w14:textId="77777777" w:rsidR="00CD0218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</w:rPr>
            </w:pPr>
          </w:p>
          <w:p w14:paraId="120A99D4" w14:textId="4167B8CB" w:rsidR="00CD0218" w:rsidRPr="00BF5D9E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kern w:val="0"/>
                <w:szCs w:val="21"/>
                <w:lang w:bidi="ar"/>
              </w:rPr>
            </w:pPr>
            <w:r>
              <w:rPr>
                <w:rFonts w:ascii="Arial" w:eastAsia="楷体_GB2312" w:hAnsi="Arial" w:cs="Arial" w:hint="eastAsia"/>
              </w:rPr>
              <w:t>1</w:t>
            </w:r>
            <w:r w:rsidR="00A51157">
              <w:rPr>
                <w:rFonts w:ascii="Arial" w:eastAsia="楷体_GB2312" w:hAnsi="Arial" w:cs="Arial"/>
              </w:rPr>
              <w:t>4</w:t>
            </w:r>
            <w:r>
              <w:rPr>
                <w:rFonts w:ascii="Arial" w:eastAsia="楷体_GB2312" w:hAnsi="Arial" w:cs="Arial" w:hint="eastAsia"/>
              </w:rPr>
              <w:t>.</w:t>
            </w:r>
            <w:r w:rsidRPr="00BF5D9E">
              <w:rPr>
                <w:rFonts w:ascii="Arial" w:eastAsia="楷体_GB2312" w:hAnsi="Arial" w:cs="Arial" w:hint="eastAsia"/>
                <w:b/>
                <w:kern w:val="0"/>
                <w:szCs w:val="21"/>
                <w:lang w:bidi="ar"/>
              </w:rPr>
              <w:t>公司未来有没有国际化的考虑？</w:t>
            </w:r>
          </w:p>
          <w:p w14:paraId="3BBC03E7" w14:textId="45205435" w:rsidR="00CD0218" w:rsidRPr="00604535" w:rsidRDefault="00CD0218" w:rsidP="00CD0218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</w:rPr>
            </w:pPr>
            <w:r>
              <w:rPr>
                <w:rFonts w:ascii="Arial" w:eastAsia="楷体_GB2312" w:hAnsi="Arial" w:cs="Arial" w:hint="eastAsia"/>
              </w:rPr>
              <w:t>答：</w:t>
            </w:r>
            <w:r w:rsidR="00A21D07">
              <w:rPr>
                <w:rFonts w:ascii="Arial" w:eastAsia="楷体_GB2312" w:hAnsi="Arial" w:cs="Arial" w:hint="eastAsia"/>
              </w:rPr>
              <w:t>公司</w:t>
            </w:r>
            <w:r>
              <w:rPr>
                <w:rFonts w:ascii="Arial" w:eastAsia="楷体_GB2312" w:hAnsi="Arial" w:cs="Arial" w:hint="eastAsia"/>
              </w:rPr>
              <w:t>认为中国的金融科技公司是可以走国际化道路的，公司也在汲取国内优秀企业的经验。相比于东南亚市场的本土公司，公司</w:t>
            </w:r>
            <w:r>
              <w:rPr>
                <w:rFonts w:ascii="Arial" w:eastAsia="楷体_GB2312" w:hAnsi="Arial" w:cs="Arial" w:hint="eastAsia"/>
              </w:rPr>
              <w:lastRenderedPageBreak/>
              <w:t>的技术其实是走在它们的前</w:t>
            </w:r>
            <w:r w:rsidR="00A21D07">
              <w:rPr>
                <w:rFonts w:ascii="Arial" w:eastAsia="楷体_GB2312" w:hAnsi="Arial" w:cs="Arial" w:hint="eastAsia"/>
              </w:rPr>
              <w:t>面</w:t>
            </w:r>
            <w:r>
              <w:rPr>
                <w:rFonts w:ascii="Arial" w:eastAsia="楷体_GB2312" w:hAnsi="Arial" w:cs="Arial" w:hint="eastAsia"/>
              </w:rPr>
              <w:t>的，具有竞争力，尤其是公司的信用卡和风险管理业务具有普遍性，是适合走国际化道路的。</w:t>
            </w:r>
          </w:p>
          <w:p w14:paraId="62833241" w14:textId="77777777" w:rsidR="00EA6B7E" w:rsidRDefault="00EA6B7E" w:rsidP="00EA6B7E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</w:rPr>
            </w:pPr>
          </w:p>
          <w:p w14:paraId="736E594B" w14:textId="162D4A2C" w:rsidR="00B618D8" w:rsidRPr="00EA6B7E" w:rsidRDefault="005D2E0E" w:rsidP="00EA6B7E">
            <w:pPr>
              <w:widowControl/>
              <w:spacing w:line="26" w:lineRule="atLeast"/>
              <w:jc w:val="left"/>
              <w:rPr>
                <w:rFonts w:ascii="Arial" w:eastAsia="楷体_GB2312" w:hAnsi="Arial" w:cs="Arial"/>
                <w:b/>
                <w:bCs/>
              </w:rPr>
            </w:pPr>
            <w:r w:rsidRPr="00EA6B7E">
              <w:rPr>
                <w:rFonts w:ascii="Arial" w:eastAsia="楷体_GB2312" w:hAnsi="Arial" w:cs="Arial"/>
                <w:b/>
                <w:bCs/>
              </w:rPr>
              <w:t>1</w:t>
            </w:r>
            <w:r w:rsidR="00A51157" w:rsidRPr="00EA6B7E">
              <w:rPr>
                <w:rFonts w:ascii="Arial" w:eastAsia="楷体_GB2312" w:hAnsi="Arial" w:cs="Arial"/>
                <w:b/>
                <w:bCs/>
              </w:rPr>
              <w:t>5</w:t>
            </w:r>
            <w:r w:rsidRPr="00EA6B7E">
              <w:rPr>
                <w:rFonts w:ascii="Arial" w:eastAsia="楷体_GB2312" w:hAnsi="Arial" w:cs="Arial"/>
                <w:b/>
                <w:bCs/>
              </w:rPr>
              <w:t>.</w:t>
            </w:r>
            <w:r w:rsidRPr="00EA6B7E">
              <w:rPr>
                <w:rFonts w:ascii="Arial" w:eastAsia="楷体_GB2312" w:hAnsi="Arial" w:cs="Arial" w:hint="eastAsia"/>
                <w:b/>
                <w:bCs/>
              </w:rPr>
              <w:t>公司研发</w:t>
            </w:r>
            <w:r w:rsidR="00982B3D" w:rsidRPr="00EA6B7E">
              <w:rPr>
                <w:rFonts w:ascii="Arial" w:eastAsia="楷体_GB2312" w:hAnsi="Arial" w:cs="Arial" w:hint="eastAsia"/>
                <w:b/>
                <w:bCs/>
              </w:rPr>
              <w:t>有关</w:t>
            </w:r>
            <w:r w:rsidRPr="00EA6B7E">
              <w:rPr>
                <w:rFonts w:ascii="Arial" w:eastAsia="楷体_GB2312" w:hAnsi="Arial" w:cs="Arial" w:hint="eastAsia"/>
                <w:b/>
                <w:bCs/>
              </w:rPr>
              <w:t>情况？</w:t>
            </w:r>
          </w:p>
          <w:p w14:paraId="36EE7D00" w14:textId="1CB2327B" w:rsidR="00A51157" w:rsidRPr="00EA6B7E" w:rsidRDefault="005D2E0E" w:rsidP="00EA6B7E">
            <w:pPr>
              <w:widowControl/>
              <w:spacing w:line="26" w:lineRule="atLeast"/>
              <w:jc w:val="left"/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</w:pPr>
            <w:r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答：公司一直非常重视研发工作，近几年（报告期）研发费占收入均在</w:t>
            </w:r>
            <w:r w:rsidRPr="00EA6B7E">
              <w:rPr>
                <w:rFonts w:ascii="Arial" w:eastAsia="楷体_GB2312" w:hAnsi="Arial" w:cs="Arial"/>
                <w:kern w:val="0"/>
                <w:szCs w:val="21"/>
                <w:lang w:bidi="ar"/>
              </w:rPr>
              <w:t>10%</w:t>
            </w:r>
            <w:r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以上。公司会持续加大研发投入，用好募集资金到募投项目上，持续提升公司的核心竞争能力。公司</w:t>
            </w:r>
            <w:r w:rsidR="00982B3D"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现已</w:t>
            </w:r>
            <w:r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形成了“研究</w:t>
            </w:r>
            <w:r w:rsidR="00982B3D"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院和</w:t>
            </w:r>
            <w:r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专业事业部”两级研发体系，研究</w:t>
            </w:r>
            <w:r w:rsidR="00982B3D"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院</w:t>
            </w:r>
            <w:r w:rsidRPr="00EA6B7E">
              <w:rPr>
                <w:rFonts w:ascii="Arial" w:eastAsia="楷体_GB2312" w:hAnsi="Arial" w:cs="Arial" w:hint="eastAsia"/>
                <w:kern w:val="0"/>
                <w:szCs w:val="21"/>
                <w:lang w:bidi="ar"/>
              </w:rPr>
              <w:t>承担公司基础技术平台产品和工具研发，专业事业部承担金融行业中的业务领域应用产品和解决方案的研发，确保了公司的技术支撑能力、业务创新能力的可持续性。</w:t>
            </w:r>
          </w:p>
        </w:tc>
      </w:tr>
      <w:tr w:rsidR="00B618D8" w:rsidRPr="009C3EF1" w14:paraId="3ADF86A1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D51B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5555" w14:textId="2EC435EF" w:rsidR="00B618D8" w:rsidRPr="009C3EF1" w:rsidRDefault="005F36B0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618D8" w:rsidRPr="009C3EF1" w14:paraId="4B997E53" w14:textId="77777777" w:rsidTr="00C369E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A5EE" w14:textId="77777777" w:rsidR="00B618D8" w:rsidRPr="009C3EF1" w:rsidRDefault="00B618D8" w:rsidP="00C369ED"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 w:rsidRPr="009C3EF1">
              <w:rPr>
                <w:rFonts w:eastAsia="仿宋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7454" w14:textId="17642A79" w:rsidR="00B618D8" w:rsidRPr="009C3EF1" w:rsidRDefault="006971FB" w:rsidP="00C369ED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2020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年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9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月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1</w:t>
            </w:r>
            <w:r w:rsidR="00E80052">
              <w:rPr>
                <w:rFonts w:eastAsia="仿宋"/>
                <w:bCs/>
                <w:iCs/>
                <w:color w:val="000000"/>
                <w:sz w:val="24"/>
              </w:rPr>
              <w:t>4</w:t>
            </w:r>
            <w:r w:rsidRPr="006971FB">
              <w:rPr>
                <w:rFonts w:eastAsia="仿宋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65F89B77" w14:textId="4B5A4FD4" w:rsidR="000E41FD" w:rsidRPr="00717CD8" w:rsidRDefault="000E41FD" w:rsidP="00BF3744">
      <w:pPr>
        <w:snapToGrid w:val="0"/>
        <w:spacing w:line="560" w:lineRule="exact"/>
        <w:jc w:val="left"/>
        <w:outlineLvl w:val="0"/>
        <w:rPr>
          <w:szCs w:val="24"/>
        </w:rPr>
      </w:pPr>
    </w:p>
    <w:sectPr w:rsidR="000E41FD" w:rsidRPr="00717CD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02CA4" w14:textId="77777777" w:rsidR="00590BB0" w:rsidRDefault="00590BB0" w:rsidP="00893217">
      <w:r>
        <w:separator/>
      </w:r>
    </w:p>
  </w:endnote>
  <w:endnote w:type="continuationSeparator" w:id="0">
    <w:p w14:paraId="6FAEDD9B" w14:textId="77777777" w:rsidR="00590BB0" w:rsidRDefault="00590BB0" w:rsidP="0089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851402"/>
      <w:docPartObj>
        <w:docPartGallery w:val="Page Numbers (Bottom of Page)"/>
        <w:docPartUnique/>
      </w:docPartObj>
    </w:sdtPr>
    <w:sdtEndPr/>
    <w:sdtContent>
      <w:p w14:paraId="5F691D86" w14:textId="77777777" w:rsidR="009D090F" w:rsidRDefault="009D0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18" w:rsidRPr="00CD0218">
          <w:rPr>
            <w:noProof/>
            <w:lang w:val="zh-CN"/>
          </w:rPr>
          <w:t>3</w:t>
        </w:r>
        <w:r>
          <w:fldChar w:fldCharType="end"/>
        </w:r>
      </w:p>
    </w:sdtContent>
  </w:sdt>
  <w:p w14:paraId="5E9E939E" w14:textId="77777777" w:rsidR="009D090F" w:rsidRDefault="009D09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B39A7" w14:textId="77777777" w:rsidR="00590BB0" w:rsidRDefault="00590BB0" w:rsidP="00893217">
      <w:r>
        <w:separator/>
      </w:r>
    </w:p>
  </w:footnote>
  <w:footnote w:type="continuationSeparator" w:id="0">
    <w:p w14:paraId="733D393C" w14:textId="77777777" w:rsidR="00590BB0" w:rsidRDefault="00590BB0" w:rsidP="00893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9CD"/>
    <w:multiLevelType w:val="hybridMultilevel"/>
    <w:tmpl w:val="AA5AC30C"/>
    <w:lvl w:ilvl="0" w:tplc="23AAB388">
      <w:start w:val="1"/>
      <w:numFmt w:val="decimalEnclosedCircle"/>
      <w:lvlText w:val="%1"/>
      <w:lvlJc w:val="left"/>
      <w:pPr>
        <w:ind w:left="780" w:hanging="36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74348A"/>
    <w:multiLevelType w:val="multilevel"/>
    <w:tmpl w:val="8C9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487176"/>
    <w:multiLevelType w:val="hybridMultilevel"/>
    <w:tmpl w:val="B9187062"/>
    <w:lvl w:ilvl="0" w:tplc="E670F0DC">
      <w:start w:val="1"/>
      <w:numFmt w:val="decimal"/>
      <w:lvlText w:val="%1、"/>
      <w:lvlJc w:val="left"/>
      <w:pPr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3" w15:restartNumberingAfterBreak="0">
    <w:nsid w:val="10D731E9"/>
    <w:multiLevelType w:val="hybridMultilevel"/>
    <w:tmpl w:val="0644D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31718"/>
    <w:multiLevelType w:val="hybridMultilevel"/>
    <w:tmpl w:val="E91454EC"/>
    <w:lvl w:ilvl="0" w:tplc="8B327B9E">
      <w:start w:val="1"/>
      <w:numFmt w:val="decimal"/>
      <w:lvlText w:val="%1、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5" w15:restartNumberingAfterBreak="0">
    <w:nsid w:val="1FB468D9"/>
    <w:multiLevelType w:val="hybridMultilevel"/>
    <w:tmpl w:val="7ABE7180"/>
    <w:lvl w:ilvl="0" w:tplc="86A04BB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2ACE531A"/>
    <w:multiLevelType w:val="hybridMultilevel"/>
    <w:tmpl w:val="C6508310"/>
    <w:lvl w:ilvl="0" w:tplc="442C9AC4">
      <w:start w:val="9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EE832D1"/>
    <w:multiLevelType w:val="hybridMultilevel"/>
    <w:tmpl w:val="8A50C61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883458E"/>
    <w:multiLevelType w:val="hybridMultilevel"/>
    <w:tmpl w:val="C1F2EA34"/>
    <w:lvl w:ilvl="0" w:tplc="B31481A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2B84D3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F6A3FD6">
      <w:start w:val="2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0312AD"/>
    <w:multiLevelType w:val="hybridMultilevel"/>
    <w:tmpl w:val="B9129BA2"/>
    <w:lvl w:ilvl="0" w:tplc="6E3A2D4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8BC6C396">
      <w:start w:val="1"/>
      <w:numFmt w:val="decimal"/>
      <w:lvlText w:val="%2、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BA26509"/>
    <w:multiLevelType w:val="hybridMultilevel"/>
    <w:tmpl w:val="D9DC8F52"/>
    <w:lvl w:ilvl="0" w:tplc="0FA6D5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4F897FD3"/>
    <w:multiLevelType w:val="hybridMultilevel"/>
    <w:tmpl w:val="31723BA8"/>
    <w:lvl w:ilvl="0" w:tplc="497C7E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AE08EA"/>
    <w:multiLevelType w:val="hybridMultilevel"/>
    <w:tmpl w:val="355446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CEE7043"/>
    <w:multiLevelType w:val="hybridMultilevel"/>
    <w:tmpl w:val="047E9958"/>
    <w:lvl w:ilvl="0" w:tplc="2E68B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BAE4C02"/>
    <w:multiLevelType w:val="hybridMultilevel"/>
    <w:tmpl w:val="2B20C556"/>
    <w:lvl w:ilvl="0" w:tplc="24620B3A">
      <w:start w:val="1"/>
      <w:numFmt w:val="decimalEnclosedCircle"/>
      <w:lvlText w:val="%1"/>
      <w:lvlJc w:val="left"/>
      <w:pPr>
        <w:ind w:left="780" w:hanging="36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EA73C64"/>
    <w:multiLevelType w:val="hybridMultilevel"/>
    <w:tmpl w:val="567C2570"/>
    <w:lvl w:ilvl="0" w:tplc="DEF86DF8">
      <w:start w:val="1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6" w15:restartNumberingAfterBreak="0">
    <w:nsid w:val="7C535F90"/>
    <w:multiLevelType w:val="hybridMultilevel"/>
    <w:tmpl w:val="9654AF70"/>
    <w:lvl w:ilvl="0" w:tplc="418AABB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CA2784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6"/>
  </w:num>
  <w:num w:numId="14">
    <w:abstractNumId w:val="14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C7"/>
    <w:rsid w:val="00000760"/>
    <w:rsid w:val="00017330"/>
    <w:rsid w:val="00020FEE"/>
    <w:rsid w:val="00021249"/>
    <w:rsid w:val="000217CC"/>
    <w:rsid w:val="00036C31"/>
    <w:rsid w:val="00040B0B"/>
    <w:rsid w:val="00047460"/>
    <w:rsid w:val="000534FF"/>
    <w:rsid w:val="0005646B"/>
    <w:rsid w:val="000570DC"/>
    <w:rsid w:val="00071393"/>
    <w:rsid w:val="000850E0"/>
    <w:rsid w:val="00090D31"/>
    <w:rsid w:val="0009135D"/>
    <w:rsid w:val="00096403"/>
    <w:rsid w:val="000B3446"/>
    <w:rsid w:val="000B616A"/>
    <w:rsid w:val="000B6D71"/>
    <w:rsid w:val="000C0420"/>
    <w:rsid w:val="000C19BA"/>
    <w:rsid w:val="000C4C0C"/>
    <w:rsid w:val="000C52C5"/>
    <w:rsid w:val="000D1CA0"/>
    <w:rsid w:val="000D6EEC"/>
    <w:rsid w:val="000E016E"/>
    <w:rsid w:val="000E41FD"/>
    <w:rsid w:val="000E46D1"/>
    <w:rsid w:val="000F3C01"/>
    <w:rsid w:val="00101E58"/>
    <w:rsid w:val="001038FD"/>
    <w:rsid w:val="001049D8"/>
    <w:rsid w:val="00121FFC"/>
    <w:rsid w:val="001224BC"/>
    <w:rsid w:val="001237E1"/>
    <w:rsid w:val="00130FB3"/>
    <w:rsid w:val="00132636"/>
    <w:rsid w:val="00133DB5"/>
    <w:rsid w:val="00151D20"/>
    <w:rsid w:val="00157EA2"/>
    <w:rsid w:val="001615DD"/>
    <w:rsid w:val="0016222E"/>
    <w:rsid w:val="001641E0"/>
    <w:rsid w:val="00172591"/>
    <w:rsid w:val="001877B1"/>
    <w:rsid w:val="001D0D0B"/>
    <w:rsid w:val="001E4AF9"/>
    <w:rsid w:val="001F4C14"/>
    <w:rsid w:val="0020392E"/>
    <w:rsid w:val="0021498D"/>
    <w:rsid w:val="002350AC"/>
    <w:rsid w:val="00253294"/>
    <w:rsid w:val="00253488"/>
    <w:rsid w:val="002558F1"/>
    <w:rsid w:val="00264E51"/>
    <w:rsid w:val="0029551D"/>
    <w:rsid w:val="00296064"/>
    <w:rsid w:val="00297CCB"/>
    <w:rsid w:val="002C1BE8"/>
    <w:rsid w:val="002C296A"/>
    <w:rsid w:val="002C5F88"/>
    <w:rsid w:val="002D0E08"/>
    <w:rsid w:val="002F2C8D"/>
    <w:rsid w:val="002F2D8C"/>
    <w:rsid w:val="002F7926"/>
    <w:rsid w:val="0030167B"/>
    <w:rsid w:val="00310141"/>
    <w:rsid w:val="00320369"/>
    <w:rsid w:val="00322DBA"/>
    <w:rsid w:val="00340453"/>
    <w:rsid w:val="003464F5"/>
    <w:rsid w:val="00347C77"/>
    <w:rsid w:val="00352BCB"/>
    <w:rsid w:val="00376505"/>
    <w:rsid w:val="00376B2F"/>
    <w:rsid w:val="00381E11"/>
    <w:rsid w:val="00385F13"/>
    <w:rsid w:val="00392FE0"/>
    <w:rsid w:val="003A53BB"/>
    <w:rsid w:val="003B0604"/>
    <w:rsid w:val="003B11C4"/>
    <w:rsid w:val="003B6D9E"/>
    <w:rsid w:val="003C5681"/>
    <w:rsid w:val="003D0493"/>
    <w:rsid w:val="003D3AF0"/>
    <w:rsid w:val="003D6140"/>
    <w:rsid w:val="003D715F"/>
    <w:rsid w:val="003F0D3D"/>
    <w:rsid w:val="003F1393"/>
    <w:rsid w:val="003F7368"/>
    <w:rsid w:val="0040048E"/>
    <w:rsid w:val="004026EF"/>
    <w:rsid w:val="00404B8E"/>
    <w:rsid w:val="00404D87"/>
    <w:rsid w:val="00406DCD"/>
    <w:rsid w:val="004146FA"/>
    <w:rsid w:val="00423E95"/>
    <w:rsid w:val="0042526C"/>
    <w:rsid w:val="0043137E"/>
    <w:rsid w:val="00436D53"/>
    <w:rsid w:val="00450949"/>
    <w:rsid w:val="004641D2"/>
    <w:rsid w:val="00465195"/>
    <w:rsid w:val="0046708E"/>
    <w:rsid w:val="00474BFE"/>
    <w:rsid w:val="004758C4"/>
    <w:rsid w:val="004820FB"/>
    <w:rsid w:val="004845FF"/>
    <w:rsid w:val="004951B3"/>
    <w:rsid w:val="004952AC"/>
    <w:rsid w:val="004B1627"/>
    <w:rsid w:val="004B1C85"/>
    <w:rsid w:val="004B3739"/>
    <w:rsid w:val="004C12E4"/>
    <w:rsid w:val="004C7CF7"/>
    <w:rsid w:val="004D5D8B"/>
    <w:rsid w:val="004F7080"/>
    <w:rsid w:val="005006EF"/>
    <w:rsid w:val="0050072E"/>
    <w:rsid w:val="005107BE"/>
    <w:rsid w:val="005307C1"/>
    <w:rsid w:val="00534EC7"/>
    <w:rsid w:val="005613FB"/>
    <w:rsid w:val="00585797"/>
    <w:rsid w:val="00590BB0"/>
    <w:rsid w:val="00590E90"/>
    <w:rsid w:val="00591585"/>
    <w:rsid w:val="00593BFF"/>
    <w:rsid w:val="00594F2B"/>
    <w:rsid w:val="00595098"/>
    <w:rsid w:val="005B60A9"/>
    <w:rsid w:val="005C3518"/>
    <w:rsid w:val="005D2E0E"/>
    <w:rsid w:val="005D5F2D"/>
    <w:rsid w:val="005E4E09"/>
    <w:rsid w:val="005F229B"/>
    <w:rsid w:val="005F36B0"/>
    <w:rsid w:val="0060389B"/>
    <w:rsid w:val="00612FEE"/>
    <w:rsid w:val="00614381"/>
    <w:rsid w:val="006317A3"/>
    <w:rsid w:val="00643070"/>
    <w:rsid w:val="0064406A"/>
    <w:rsid w:val="006444E7"/>
    <w:rsid w:val="00651303"/>
    <w:rsid w:val="006529B5"/>
    <w:rsid w:val="00653185"/>
    <w:rsid w:val="00655CFE"/>
    <w:rsid w:val="00664B9B"/>
    <w:rsid w:val="00672FE9"/>
    <w:rsid w:val="00681B40"/>
    <w:rsid w:val="00696AAE"/>
    <w:rsid w:val="006971FB"/>
    <w:rsid w:val="00697323"/>
    <w:rsid w:val="0069776F"/>
    <w:rsid w:val="006B4337"/>
    <w:rsid w:val="006C1F8B"/>
    <w:rsid w:val="006C7D25"/>
    <w:rsid w:val="006D3B78"/>
    <w:rsid w:val="006D5C12"/>
    <w:rsid w:val="006E359C"/>
    <w:rsid w:val="006F6D59"/>
    <w:rsid w:val="00700F95"/>
    <w:rsid w:val="00701E0D"/>
    <w:rsid w:val="00714657"/>
    <w:rsid w:val="00717CD8"/>
    <w:rsid w:val="007229E7"/>
    <w:rsid w:val="007259C2"/>
    <w:rsid w:val="00731F3D"/>
    <w:rsid w:val="00734314"/>
    <w:rsid w:val="00736E19"/>
    <w:rsid w:val="00741EED"/>
    <w:rsid w:val="007423AC"/>
    <w:rsid w:val="007459B0"/>
    <w:rsid w:val="00745D47"/>
    <w:rsid w:val="00751CCA"/>
    <w:rsid w:val="007540C7"/>
    <w:rsid w:val="00756FD4"/>
    <w:rsid w:val="00760F70"/>
    <w:rsid w:val="00760F78"/>
    <w:rsid w:val="00764C7B"/>
    <w:rsid w:val="00772232"/>
    <w:rsid w:val="007767AC"/>
    <w:rsid w:val="00782B9A"/>
    <w:rsid w:val="007870FF"/>
    <w:rsid w:val="007954EA"/>
    <w:rsid w:val="007A438D"/>
    <w:rsid w:val="007A51E5"/>
    <w:rsid w:val="007A56FB"/>
    <w:rsid w:val="007B1D0B"/>
    <w:rsid w:val="007B444F"/>
    <w:rsid w:val="007D2DDF"/>
    <w:rsid w:val="007E6063"/>
    <w:rsid w:val="007E7E36"/>
    <w:rsid w:val="007F5698"/>
    <w:rsid w:val="00803137"/>
    <w:rsid w:val="00814EE5"/>
    <w:rsid w:val="00832EA1"/>
    <w:rsid w:val="00834BC5"/>
    <w:rsid w:val="00837906"/>
    <w:rsid w:val="008445DE"/>
    <w:rsid w:val="00855980"/>
    <w:rsid w:val="00856D91"/>
    <w:rsid w:val="00863103"/>
    <w:rsid w:val="0087479E"/>
    <w:rsid w:val="00877CA0"/>
    <w:rsid w:val="008840A3"/>
    <w:rsid w:val="00884AD7"/>
    <w:rsid w:val="008861AF"/>
    <w:rsid w:val="00886A5F"/>
    <w:rsid w:val="00893217"/>
    <w:rsid w:val="00893EBF"/>
    <w:rsid w:val="008963C2"/>
    <w:rsid w:val="00897A6D"/>
    <w:rsid w:val="008A0338"/>
    <w:rsid w:val="008A635E"/>
    <w:rsid w:val="008A6560"/>
    <w:rsid w:val="008C2201"/>
    <w:rsid w:val="008C2CD5"/>
    <w:rsid w:val="008D0241"/>
    <w:rsid w:val="008D61B4"/>
    <w:rsid w:val="008E25B5"/>
    <w:rsid w:val="008F2FA9"/>
    <w:rsid w:val="00910595"/>
    <w:rsid w:val="00911C35"/>
    <w:rsid w:val="009211B2"/>
    <w:rsid w:val="0092649C"/>
    <w:rsid w:val="00934F6B"/>
    <w:rsid w:val="00961296"/>
    <w:rsid w:val="00964195"/>
    <w:rsid w:val="00967C4A"/>
    <w:rsid w:val="009721D7"/>
    <w:rsid w:val="009748A9"/>
    <w:rsid w:val="00975E41"/>
    <w:rsid w:val="00982812"/>
    <w:rsid w:val="00982B3D"/>
    <w:rsid w:val="00986B61"/>
    <w:rsid w:val="009875A5"/>
    <w:rsid w:val="009A7A77"/>
    <w:rsid w:val="009B0CE4"/>
    <w:rsid w:val="009B2449"/>
    <w:rsid w:val="009B5F9C"/>
    <w:rsid w:val="009B6782"/>
    <w:rsid w:val="009C7949"/>
    <w:rsid w:val="009D090F"/>
    <w:rsid w:val="009D4ABA"/>
    <w:rsid w:val="009D50AC"/>
    <w:rsid w:val="009D7FF0"/>
    <w:rsid w:val="009F3620"/>
    <w:rsid w:val="00A02E45"/>
    <w:rsid w:val="00A10272"/>
    <w:rsid w:val="00A10B2E"/>
    <w:rsid w:val="00A20B7D"/>
    <w:rsid w:val="00A21D07"/>
    <w:rsid w:val="00A21F13"/>
    <w:rsid w:val="00A32446"/>
    <w:rsid w:val="00A40573"/>
    <w:rsid w:val="00A462D8"/>
    <w:rsid w:val="00A51157"/>
    <w:rsid w:val="00A5453E"/>
    <w:rsid w:val="00A56BDA"/>
    <w:rsid w:val="00A76DF6"/>
    <w:rsid w:val="00A80829"/>
    <w:rsid w:val="00A92284"/>
    <w:rsid w:val="00AB489B"/>
    <w:rsid w:val="00AB49E7"/>
    <w:rsid w:val="00AB70B2"/>
    <w:rsid w:val="00AC1EFF"/>
    <w:rsid w:val="00AC5C1A"/>
    <w:rsid w:val="00AC6D19"/>
    <w:rsid w:val="00AD1147"/>
    <w:rsid w:val="00AD47A5"/>
    <w:rsid w:val="00AF4B2E"/>
    <w:rsid w:val="00AF7AEF"/>
    <w:rsid w:val="00B04AC2"/>
    <w:rsid w:val="00B10106"/>
    <w:rsid w:val="00B167A3"/>
    <w:rsid w:val="00B23C25"/>
    <w:rsid w:val="00B273EB"/>
    <w:rsid w:val="00B27F9A"/>
    <w:rsid w:val="00B45650"/>
    <w:rsid w:val="00B618D8"/>
    <w:rsid w:val="00B6326B"/>
    <w:rsid w:val="00B756AB"/>
    <w:rsid w:val="00B7749C"/>
    <w:rsid w:val="00B80EE1"/>
    <w:rsid w:val="00B9266B"/>
    <w:rsid w:val="00B9363C"/>
    <w:rsid w:val="00BB0971"/>
    <w:rsid w:val="00BB28BF"/>
    <w:rsid w:val="00BC2613"/>
    <w:rsid w:val="00BC46B8"/>
    <w:rsid w:val="00BD0D22"/>
    <w:rsid w:val="00BD429E"/>
    <w:rsid w:val="00BE4DEC"/>
    <w:rsid w:val="00BE79CF"/>
    <w:rsid w:val="00BF15AD"/>
    <w:rsid w:val="00BF25FB"/>
    <w:rsid w:val="00BF3744"/>
    <w:rsid w:val="00C312C2"/>
    <w:rsid w:val="00C369ED"/>
    <w:rsid w:val="00C44FE4"/>
    <w:rsid w:val="00C52216"/>
    <w:rsid w:val="00C57BD2"/>
    <w:rsid w:val="00C608F8"/>
    <w:rsid w:val="00C72FDC"/>
    <w:rsid w:val="00C826B3"/>
    <w:rsid w:val="00C84FE7"/>
    <w:rsid w:val="00C925D1"/>
    <w:rsid w:val="00C958AE"/>
    <w:rsid w:val="00CA199A"/>
    <w:rsid w:val="00CA4537"/>
    <w:rsid w:val="00CA7701"/>
    <w:rsid w:val="00CB0A79"/>
    <w:rsid w:val="00CB38AE"/>
    <w:rsid w:val="00CB54C8"/>
    <w:rsid w:val="00CB7E82"/>
    <w:rsid w:val="00CC1F6B"/>
    <w:rsid w:val="00CD0218"/>
    <w:rsid w:val="00CD0875"/>
    <w:rsid w:val="00CD7725"/>
    <w:rsid w:val="00CE462F"/>
    <w:rsid w:val="00CE547C"/>
    <w:rsid w:val="00CE6C8E"/>
    <w:rsid w:val="00CF24AA"/>
    <w:rsid w:val="00D104FA"/>
    <w:rsid w:val="00D15ABE"/>
    <w:rsid w:val="00D20C0E"/>
    <w:rsid w:val="00D2683F"/>
    <w:rsid w:val="00D342D7"/>
    <w:rsid w:val="00D42D1A"/>
    <w:rsid w:val="00D55C69"/>
    <w:rsid w:val="00D5720F"/>
    <w:rsid w:val="00D71278"/>
    <w:rsid w:val="00D84A00"/>
    <w:rsid w:val="00D95328"/>
    <w:rsid w:val="00DC3FD9"/>
    <w:rsid w:val="00DC4EF4"/>
    <w:rsid w:val="00DD5F05"/>
    <w:rsid w:val="00DD7719"/>
    <w:rsid w:val="00DE1C1C"/>
    <w:rsid w:val="00DE3C2E"/>
    <w:rsid w:val="00DE5254"/>
    <w:rsid w:val="00DF669F"/>
    <w:rsid w:val="00E008AE"/>
    <w:rsid w:val="00E4008F"/>
    <w:rsid w:val="00E5045B"/>
    <w:rsid w:val="00E609DB"/>
    <w:rsid w:val="00E6640E"/>
    <w:rsid w:val="00E67637"/>
    <w:rsid w:val="00E67E6E"/>
    <w:rsid w:val="00E72347"/>
    <w:rsid w:val="00E73609"/>
    <w:rsid w:val="00E746F5"/>
    <w:rsid w:val="00E80052"/>
    <w:rsid w:val="00E920B5"/>
    <w:rsid w:val="00E93B15"/>
    <w:rsid w:val="00EA47AD"/>
    <w:rsid w:val="00EA6B7E"/>
    <w:rsid w:val="00EB0F3A"/>
    <w:rsid w:val="00EB2B16"/>
    <w:rsid w:val="00EB6DC9"/>
    <w:rsid w:val="00EC7188"/>
    <w:rsid w:val="00EE681B"/>
    <w:rsid w:val="00EF62A3"/>
    <w:rsid w:val="00F0499A"/>
    <w:rsid w:val="00F17B51"/>
    <w:rsid w:val="00F207DB"/>
    <w:rsid w:val="00F225F9"/>
    <w:rsid w:val="00F22C14"/>
    <w:rsid w:val="00F4097F"/>
    <w:rsid w:val="00F40C20"/>
    <w:rsid w:val="00F43D57"/>
    <w:rsid w:val="00F510BE"/>
    <w:rsid w:val="00F51431"/>
    <w:rsid w:val="00F57F21"/>
    <w:rsid w:val="00F60335"/>
    <w:rsid w:val="00F61C39"/>
    <w:rsid w:val="00F63D93"/>
    <w:rsid w:val="00F70E42"/>
    <w:rsid w:val="00F71CF3"/>
    <w:rsid w:val="00F81329"/>
    <w:rsid w:val="00F85C28"/>
    <w:rsid w:val="00F970A4"/>
    <w:rsid w:val="00F97CC5"/>
    <w:rsid w:val="00FA4E3C"/>
    <w:rsid w:val="00FB0856"/>
    <w:rsid w:val="00FB4B4C"/>
    <w:rsid w:val="00FB50E6"/>
    <w:rsid w:val="00FD3711"/>
    <w:rsid w:val="00FE0070"/>
    <w:rsid w:val="00FE28FB"/>
    <w:rsid w:val="00FE66FE"/>
    <w:rsid w:val="00FF078A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5E0BB"/>
  <w15:docId w15:val="{7C3D14E9-DBBC-4162-916A-232AD2E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217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9321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93217"/>
    <w:pPr>
      <w:jc w:val="left"/>
    </w:pPr>
    <w:rPr>
      <w:szCs w:val="24"/>
    </w:rPr>
  </w:style>
  <w:style w:type="character" w:customStyle="1" w:styleId="a9">
    <w:name w:val="批注文字 字符"/>
    <w:basedOn w:val="a0"/>
    <w:link w:val="a8"/>
    <w:uiPriority w:val="99"/>
    <w:semiHidden/>
    <w:rsid w:val="00893217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321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93217"/>
    <w:rPr>
      <w:rFonts w:ascii="Times New Roman" w:eastAsia="宋体" w:hAnsi="Times New Roman" w:cs="Times New Roman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37906"/>
    <w:rPr>
      <w:b/>
      <w:bCs/>
      <w:szCs w:val="20"/>
    </w:rPr>
  </w:style>
  <w:style w:type="character" w:customStyle="1" w:styleId="ad">
    <w:name w:val="批注主题 字符"/>
    <w:basedOn w:val="a9"/>
    <w:link w:val="ac"/>
    <w:uiPriority w:val="99"/>
    <w:semiHidden/>
    <w:rsid w:val="00837906"/>
    <w:rPr>
      <w:rFonts w:ascii="Times New Roman" w:eastAsia="宋体" w:hAnsi="Times New Roman" w:cs="Times New Roman"/>
      <w:b/>
      <w:bCs/>
      <w:szCs w:val="20"/>
    </w:rPr>
  </w:style>
  <w:style w:type="character" w:customStyle="1" w:styleId="ng-binding">
    <w:name w:val="ng-binding"/>
    <w:basedOn w:val="a0"/>
    <w:rsid w:val="002C296A"/>
  </w:style>
  <w:style w:type="paragraph" w:styleId="ae">
    <w:name w:val="List Paragraph"/>
    <w:basedOn w:val="a"/>
    <w:uiPriority w:val="34"/>
    <w:qFormat/>
    <w:rsid w:val="004952AC"/>
    <w:pPr>
      <w:ind w:firstLineChars="200" w:firstLine="420"/>
    </w:pPr>
  </w:style>
  <w:style w:type="paragraph" w:styleId="af">
    <w:name w:val="Revision"/>
    <w:hidden/>
    <w:uiPriority w:val="99"/>
    <w:semiHidden/>
    <w:rsid w:val="00AD47A5"/>
    <w:rPr>
      <w:rFonts w:ascii="Times New Roman" w:eastAsia="宋体" w:hAnsi="Times New Roman" w:cs="Times New Roman"/>
      <w:szCs w:val="20"/>
    </w:rPr>
  </w:style>
  <w:style w:type="character" w:styleId="af0">
    <w:name w:val="Hyperlink"/>
    <w:basedOn w:val="a0"/>
    <w:uiPriority w:val="99"/>
    <w:unhideWhenUsed/>
    <w:rsid w:val="00C57BD2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21498D"/>
    <w:rPr>
      <w:color w:val="808080"/>
    </w:rPr>
  </w:style>
  <w:style w:type="paragraph" w:styleId="af2">
    <w:name w:val="No Spacing"/>
    <w:uiPriority w:val="1"/>
    <w:qFormat/>
    <w:rsid w:val="006971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f3">
    <w:name w:val="Normal (Web)"/>
    <w:basedOn w:val="a"/>
    <w:uiPriority w:val="99"/>
    <w:unhideWhenUsed/>
    <w:rsid w:val="00CD02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8DF68-7BEF-4E9F-A3FC-08FE69096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A1754-35DE-43DF-B7B0-142364A5A8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4827DC-EA26-4EAA-8882-A01B9C6A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BFC278-BEBC-42A5-B820-CCD868AC3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王芳[fwang]</dc:creator>
  <cp:lastModifiedBy>gan quan</cp:lastModifiedBy>
  <cp:revision>6</cp:revision>
  <dcterms:created xsi:type="dcterms:W3CDTF">2020-09-16T02:54:00Z</dcterms:created>
  <dcterms:modified xsi:type="dcterms:W3CDTF">2020-09-16T03:23:00Z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</Properties>
</file>