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14EEA" w14:textId="52CD3822" w:rsidR="00010512" w:rsidRPr="00B9240E" w:rsidRDefault="00F756D6">
      <w:pPr>
        <w:spacing w:beforeLines="50" w:before="156" w:afterLines="50" w:after="156" w:line="400" w:lineRule="exact"/>
        <w:rPr>
          <w:bCs/>
          <w:iCs/>
          <w:color w:val="000000"/>
          <w:sz w:val="24"/>
        </w:rPr>
      </w:pPr>
      <w:r w:rsidRPr="00B9240E">
        <w:rPr>
          <w:bCs/>
          <w:iCs/>
          <w:color w:val="000000"/>
          <w:sz w:val="24"/>
        </w:rPr>
        <w:t>证券代码：</w:t>
      </w:r>
      <w:r w:rsidRPr="00B9240E">
        <w:rPr>
          <w:bCs/>
          <w:iCs/>
          <w:color w:val="000000"/>
          <w:sz w:val="24"/>
        </w:rPr>
        <w:t xml:space="preserve">300006                                   </w:t>
      </w:r>
      <w:r w:rsidRPr="00B9240E">
        <w:rPr>
          <w:bCs/>
          <w:iCs/>
          <w:color w:val="000000"/>
          <w:sz w:val="24"/>
        </w:rPr>
        <w:t>证券简称：莱美药业</w:t>
      </w:r>
      <w:r w:rsidRPr="00B9240E">
        <w:rPr>
          <w:bCs/>
          <w:iCs/>
          <w:color w:val="000000"/>
          <w:sz w:val="24"/>
        </w:rPr>
        <w:t xml:space="preserve">           </w:t>
      </w:r>
    </w:p>
    <w:p w14:paraId="788D0653" w14:textId="77777777" w:rsidR="00010512" w:rsidRPr="00B9240E" w:rsidRDefault="00F756D6">
      <w:pPr>
        <w:spacing w:beforeLines="50" w:before="156" w:afterLines="50" w:after="156" w:line="400" w:lineRule="exact"/>
        <w:jc w:val="center"/>
        <w:rPr>
          <w:b/>
          <w:bCs/>
          <w:iCs/>
          <w:color w:val="000000"/>
          <w:sz w:val="32"/>
          <w:szCs w:val="32"/>
        </w:rPr>
      </w:pPr>
      <w:r w:rsidRPr="00B9240E">
        <w:rPr>
          <w:b/>
          <w:bCs/>
          <w:iCs/>
          <w:color w:val="000000"/>
          <w:sz w:val="32"/>
          <w:szCs w:val="32"/>
        </w:rPr>
        <w:t>重庆莱美药业股份有限公司投资者关系活动记录表</w:t>
      </w:r>
    </w:p>
    <w:p w14:paraId="55389B82" w14:textId="2C713805" w:rsidR="00010512" w:rsidRPr="00B9240E" w:rsidRDefault="00F756D6">
      <w:pPr>
        <w:spacing w:line="400" w:lineRule="exact"/>
        <w:rPr>
          <w:bCs/>
          <w:iCs/>
          <w:color w:val="000000"/>
          <w:sz w:val="24"/>
        </w:rPr>
      </w:pPr>
      <w:r w:rsidRPr="00B9240E">
        <w:rPr>
          <w:bCs/>
          <w:iCs/>
          <w:color w:val="000000"/>
          <w:sz w:val="24"/>
        </w:rPr>
        <w:t xml:space="preserve">                                                        </w:t>
      </w:r>
      <w:r w:rsidRPr="00B9240E">
        <w:rPr>
          <w:bCs/>
          <w:iCs/>
          <w:color w:val="000000"/>
          <w:sz w:val="24"/>
        </w:rPr>
        <w:t>编号：</w:t>
      </w:r>
      <w:r w:rsidRPr="00B9240E">
        <w:rPr>
          <w:bCs/>
          <w:iCs/>
          <w:color w:val="000000"/>
          <w:sz w:val="24"/>
        </w:rPr>
        <w:t>2020-00</w:t>
      </w:r>
      <w:r w:rsidR="00817635" w:rsidRPr="00B9240E">
        <w:rPr>
          <w:bCs/>
          <w:iCs/>
          <w:color w:val="000000"/>
          <w:sz w:val="24"/>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614"/>
      </w:tblGrid>
      <w:tr w:rsidR="00010512" w:rsidRPr="00B9240E" w14:paraId="12C454AB" w14:textId="77777777" w:rsidTr="00AF794A">
        <w:tc>
          <w:tcPr>
            <w:tcW w:w="1908" w:type="dxa"/>
            <w:tcBorders>
              <w:top w:val="single" w:sz="4" w:space="0" w:color="auto"/>
              <w:left w:val="single" w:sz="4" w:space="0" w:color="auto"/>
              <w:bottom w:val="single" w:sz="4" w:space="0" w:color="auto"/>
              <w:right w:val="single" w:sz="4" w:space="0" w:color="auto"/>
            </w:tcBorders>
            <w:vAlign w:val="center"/>
          </w:tcPr>
          <w:p w14:paraId="1AA6395A" w14:textId="01490114" w:rsidR="00010512" w:rsidRPr="00B9240E" w:rsidRDefault="00F756D6" w:rsidP="00AF794A">
            <w:pPr>
              <w:spacing w:line="480" w:lineRule="atLeast"/>
              <w:rPr>
                <w:bCs/>
                <w:iCs/>
                <w:color w:val="000000"/>
                <w:sz w:val="24"/>
              </w:rPr>
            </w:pPr>
            <w:r w:rsidRPr="00B9240E">
              <w:rPr>
                <w:bCs/>
                <w:iCs/>
                <w:color w:val="000000"/>
                <w:sz w:val="24"/>
              </w:rPr>
              <w:t>投资者关系活动类别</w:t>
            </w:r>
          </w:p>
        </w:tc>
        <w:tc>
          <w:tcPr>
            <w:tcW w:w="6614" w:type="dxa"/>
            <w:tcBorders>
              <w:top w:val="single" w:sz="4" w:space="0" w:color="auto"/>
              <w:left w:val="single" w:sz="4" w:space="0" w:color="auto"/>
              <w:bottom w:val="single" w:sz="4" w:space="0" w:color="auto"/>
              <w:right w:val="single" w:sz="4" w:space="0" w:color="auto"/>
            </w:tcBorders>
          </w:tcPr>
          <w:p w14:paraId="75F2ED8F" w14:textId="76BA1E6F" w:rsidR="00010512" w:rsidRPr="00B9240E" w:rsidRDefault="000F3D47">
            <w:pPr>
              <w:spacing w:line="480" w:lineRule="atLeast"/>
              <w:rPr>
                <w:bCs/>
                <w:iCs/>
                <w:color w:val="000000"/>
                <w:sz w:val="24"/>
              </w:rPr>
            </w:pPr>
            <w:r w:rsidRPr="00B9240E">
              <w:rPr>
                <w:bCs/>
                <w:iCs/>
                <w:color w:val="000000"/>
                <w:sz w:val="24"/>
              </w:rPr>
              <w:t>□</w:t>
            </w:r>
            <w:r w:rsidR="00F756D6" w:rsidRPr="00B9240E">
              <w:rPr>
                <w:sz w:val="28"/>
                <w:szCs w:val="28"/>
              </w:rPr>
              <w:t>特定对象调研</w:t>
            </w:r>
            <w:r w:rsidR="00F756D6" w:rsidRPr="00B9240E">
              <w:rPr>
                <w:sz w:val="28"/>
                <w:szCs w:val="28"/>
              </w:rPr>
              <w:t xml:space="preserve">        </w:t>
            </w:r>
            <w:r w:rsidR="00F756D6" w:rsidRPr="00B9240E">
              <w:rPr>
                <w:bCs/>
                <w:iCs/>
                <w:color w:val="000000"/>
                <w:sz w:val="24"/>
              </w:rPr>
              <w:t>□</w:t>
            </w:r>
            <w:r w:rsidR="00F756D6" w:rsidRPr="00B9240E">
              <w:rPr>
                <w:sz w:val="28"/>
                <w:szCs w:val="28"/>
              </w:rPr>
              <w:t>分析师会议</w:t>
            </w:r>
          </w:p>
          <w:p w14:paraId="03908C2D" w14:textId="77777777" w:rsidR="00010512" w:rsidRPr="00B9240E" w:rsidRDefault="00F756D6">
            <w:pPr>
              <w:spacing w:line="480" w:lineRule="atLeast"/>
              <w:rPr>
                <w:bCs/>
                <w:iCs/>
                <w:color w:val="000000"/>
                <w:sz w:val="24"/>
              </w:rPr>
            </w:pPr>
            <w:r w:rsidRPr="00B9240E">
              <w:rPr>
                <w:bCs/>
                <w:iCs/>
                <w:color w:val="000000"/>
                <w:sz w:val="24"/>
              </w:rPr>
              <w:t>□</w:t>
            </w:r>
            <w:r w:rsidRPr="00B9240E">
              <w:rPr>
                <w:sz w:val="28"/>
                <w:szCs w:val="28"/>
              </w:rPr>
              <w:t>媒体采访</w:t>
            </w:r>
            <w:r w:rsidRPr="00B9240E">
              <w:rPr>
                <w:sz w:val="28"/>
                <w:szCs w:val="28"/>
              </w:rPr>
              <w:t xml:space="preserve">            </w:t>
            </w:r>
            <w:r w:rsidRPr="00B9240E">
              <w:rPr>
                <w:bCs/>
                <w:iCs/>
                <w:color w:val="000000"/>
                <w:sz w:val="24"/>
              </w:rPr>
              <w:t>□</w:t>
            </w:r>
            <w:r w:rsidRPr="00B9240E">
              <w:rPr>
                <w:sz w:val="28"/>
                <w:szCs w:val="28"/>
              </w:rPr>
              <w:t>业绩说明会</w:t>
            </w:r>
          </w:p>
          <w:p w14:paraId="5B5E4C53" w14:textId="5D2E8767" w:rsidR="00010512" w:rsidRPr="00B9240E" w:rsidRDefault="00F756D6">
            <w:pPr>
              <w:spacing w:line="480" w:lineRule="atLeast"/>
              <w:rPr>
                <w:bCs/>
                <w:iCs/>
                <w:color w:val="000000"/>
                <w:sz w:val="24"/>
              </w:rPr>
            </w:pPr>
            <w:r w:rsidRPr="00B9240E">
              <w:rPr>
                <w:bCs/>
                <w:iCs/>
                <w:color w:val="000000"/>
                <w:sz w:val="24"/>
              </w:rPr>
              <w:t>□</w:t>
            </w:r>
            <w:r w:rsidRPr="00B9240E">
              <w:rPr>
                <w:sz w:val="28"/>
                <w:szCs w:val="28"/>
              </w:rPr>
              <w:t>新闻发布会</w:t>
            </w:r>
            <w:r w:rsidRPr="00B9240E">
              <w:rPr>
                <w:sz w:val="28"/>
                <w:szCs w:val="28"/>
              </w:rPr>
              <w:t xml:space="preserve">          </w:t>
            </w:r>
            <w:r w:rsidR="000F3D47" w:rsidRPr="00B9240E">
              <w:rPr>
                <w:bCs/>
                <w:iCs/>
                <w:color w:val="000000"/>
                <w:sz w:val="24"/>
              </w:rPr>
              <w:sym w:font="Wingdings 2" w:char="0052"/>
            </w:r>
            <w:r w:rsidRPr="00B9240E">
              <w:rPr>
                <w:sz w:val="28"/>
                <w:szCs w:val="28"/>
              </w:rPr>
              <w:t>路演活动</w:t>
            </w:r>
          </w:p>
          <w:p w14:paraId="4BA2EBE9" w14:textId="77777777" w:rsidR="00010512" w:rsidRPr="00B9240E" w:rsidRDefault="00F756D6">
            <w:pPr>
              <w:tabs>
                <w:tab w:val="left" w:pos="3045"/>
                <w:tab w:val="center" w:pos="3199"/>
              </w:tabs>
              <w:spacing w:line="480" w:lineRule="atLeast"/>
              <w:rPr>
                <w:bCs/>
                <w:iCs/>
                <w:color w:val="000000"/>
                <w:sz w:val="24"/>
              </w:rPr>
            </w:pPr>
            <w:r w:rsidRPr="00B9240E">
              <w:rPr>
                <w:bCs/>
                <w:iCs/>
                <w:color w:val="000000"/>
                <w:sz w:val="24"/>
              </w:rPr>
              <w:t>□</w:t>
            </w:r>
            <w:r w:rsidRPr="00B9240E">
              <w:rPr>
                <w:sz w:val="28"/>
                <w:szCs w:val="28"/>
              </w:rPr>
              <w:t>现场参观</w:t>
            </w:r>
            <w:r w:rsidRPr="00B9240E">
              <w:rPr>
                <w:bCs/>
                <w:iCs/>
                <w:color w:val="000000"/>
                <w:sz w:val="24"/>
              </w:rPr>
              <w:tab/>
            </w:r>
          </w:p>
          <w:p w14:paraId="444128BB" w14:textId="77777777" w:rsidR="00010512" w:rsidRPr="00B9240E" w:rsidRDefault="00F756D6">
            <w:pPr>
              <w:tabs>
                <w:tab w:val="center" w:pos="3199"/>
              </w:tabs>
              <w:spacing w:line="480" w:lineRule="atLeast"/>
              <w:rPr>
                <w:bCs/>
                <w:iCs/>
                <w:color w:val="000000"/>
                <w:sz w:val="24"/>
              </w:rPr>
            </w:pPr>
            <w:r w:rsidRPr="00B9240E">
              <w:rPr>
                <w:bCs/>
                <w:iCs/>
                <w:color w:val="000000"/>
                <w:sz w:val="24"/>
              </w:rPr>
              <w:t>□</w:t>
            </w:r>
            <w:r w:rsidRPr="00B9240E">
              <w:rPr>
                <w:sz w:val="28"/>
                <w:szCs w:val="28"/>
              </w:rPr>
              <w:t>其他</w:t>
            </w:r>
            <w:r w:rsidRPr="00B9240E">
              <w:rPr>
                <w:sz w:val="28"/>
                <w:szCs w:val="28"/>
              </w:rPr>
              <w:t xml:space="preserve"> </w:t>
            </w:r>
            <w:r w:rsidRPr="00B9240E">
              <w:rPr>
                <w:sz w:val="28"/>
                <w:szCs w:val="28"/>
              </w:rPr>
              <w:t>（</w:t>
            </w:r>
            <w:r w:rsidRPr="00B9240E">
              <w:rPr>
                <w:sz w:val="28"/>
                <w:szCs w:val="28"/>
                <w:u w:val="single"/>
              </w:rPr>
              <w:t>请文字说明其他活动内容）</w:t>
            </w:r>
          </w:p>
        </w:tc>
      </w:tr>
      <w:tr w:rsidR="00010512" w:rsidRPr="00B9240E" w14:paraId="2C440EC3" w14:textId="77777777" w:rsidTr="00AF794A">
        <w:tc>
          <w:tcPr>
            <w:tcW w:w="1908" w:type="dxa"/>
            <w:tcBorders>
              <w:top w:val="single" w:sz="4" w:space="0" w:color="auto"/>
              <w:left w:val="single" w:sz="4" w:space="0" w:color="auto"/>
              <w:bottom w:val="single" w:sz="4" w:space="0" w:color="auto"/>
              <w:right w:val="single" w:sz="4" w:space="0" w:color="auto"/>
            </w:tcBorders>
            <w:vAlign w:val="center"/>
          </w:tcPr>
          <w:p w14:paraId="10F0E995" w14:textId="77777777" w:rsidR="00010512" w:rsidRPr="00B9240E" w:rsidRDefault="00F756D6" w:rsidP="00AF794A">
            <w:pPr>
              <w:spacing w:line="480" w:lineRule="atLeast"/>
              <w:rPr>
                <w:bCs/>
                <w:iCs/>
                <w:color w:val="000000"/>
                <w:sz w:val="24"/>
              </w:rPr>
            </w:pPr>
            <w:r w:rsidRPr="00B9240E">
              <w:rPr>
                <w:bCs/>
                <w:iCs/>
                <w:color w:val="000000"/>
                <w:sz w:val="24"/>
              </w:rPr>
              <w:t>参与单位名称及人员姓名</w:t>
            </w:r>
          </w:p>
        </w:tc>
        <w:tc>
          <w:tcPr>
            <w:tcW w:w="6614" w:type="dxa"/>
            <w:tcBorders>
              <w:top w:val="single" w:sz="4" w:space="0" w:color="auto"/>
              <w:left w:val="single" w:sz="4" w:space="0" w:color="auto"/>
              <w:bottom w:val="single" w:sz="4" w:space="0" w:color="auto"/>
              <w:right w:val="single" w:sz="4" w:space="0" w:color="auto"/>
            </w:tcBorders>
          </w:tcPr>
          <w:p w14:paraId="053DBB38" w14:textId="0565E6D4" w:rsidR="00010512" w:rsidRPr="00B9240E" w:rsidRDefault="00F756D6">
            <w:pPr>
              <w:spacing w:line="480" w:lineRule="atLeast"/>
              <w:rPr>
                <w:bCs/>
                <w:iCs/>
                <w:color w:val="000000"/>
                <w:sz w:val="24"/>
              </w:rPr>
            </w:pPr>
            <w:r w:rsidRPr="00B9240E">
              <w:rPr>
                <w:bCs/>
                <w:iCs/>
                <w:color w:val="000000"/>
                <w:sz w:val="24"/>
              </w:rPr>
              <w:t>天风证券股份有限公司、西南证券股份有限公司</w:t>
            </w:r>
            <w:r w:rsidR="00A3712D" w:rsidRPr="00B9240E">
              <w:rPr>
                <w:bCs/>
                <w:iCs/>
                <w:color w:val="000000"/>
                <w:sz w:val="24"/>
              </w:rPr>
              <w:t>、中银国际证券股份有限公司、中信证券股份有限公司、中泰证券股份有限公司、</w:t>
            </w:r>
            <w:hyperlink r:id="rId8" w:tgtFrame="_blank" w:history="1">
              <w:r w:rsidR="0099051B" w:rsidRPr="00B9240E">
                <w:rPr>
                  <w:color w:val="000000"/>
                  <w:sz w:val="24"/>
                </w:rPr>
                <w:t>国盛证券</w:t>
              </w:r>
              <w:r w:rsidR="0099051B" w:rsidRPr="00B9240E">
                <w:rPr>
                  <w:iCs/>
                  <w:color w:val="000000"/>
                  <w:sz w:val="24"/>
                </w:rPr>
                <w:t>资产管理有限公司、</w:t>
              </w:r>
            </w:hyperlink>
            <w:r w:rsidR="000F3D47" w:rsidRPr="00B9240E">
              <w:rPr>
                <w:bCs/>
                <w:iCs/>
                <w:color w:val="000000"/>
                <w:sz w:val="24"/>
              </w:rPr>
              <w:t>浦银安盛基金管理有限公司、</w:t>
            </w:r>
            <w:hyperlink r:id="rId9" w:tgtFrame="_blank" w:history="1">
              <w:r w:rsidR="000F3D47" w:rsidRPr="00B9240E">
                <w:rPr>
                  <w:color w:val="000000"/>
                  <w:sz w:val="24"/>
                </w:rPr>
                <w:t>财通基金</w:t>
              </w:r>
              <w:r w:rsidR="000F3D47" w:rsidRPr="00B9240E">
                <w:rPr>
                  <w:iCs/>
                  <w:color w:val="000000"/>
                  <w:sz w:val="24"/>
                </w:rPr>
                <w:t>管理有限公司</w:t>
              </w:r>
            </w:hyperlink>
            <w:r w:rsidR="000F3D47" w:rsidRPr="00B9240E">
              <w:rPr>
                <w:bCs/>
                <w:iCs/>
                <w:color w:val="000000"/>
                <w:sz w:val="24"/>
              </w:rPr>
              <w:t>、</w:t>
            </w:r>
            <w:r w:rsidR="000F3D47" w:rsidRPr="00B9240E">
              <w:rPr>
                <w:iCs/>
                <w:color w:val="000000"/>
                <w:sz w:val="24"/>
              </w:rPr>
              <w:t>中欧基金管理有限公司、安信基金管理有限责任公司、</w:t>
            </w:r>
            <w:r w:rsidR="00817635" w:rsidRPr="00B9240E">
              <w:rPr>
                <w:bCs/>
                <w:iCs/>
                <w:color w:val="000000"/>
                <w:sz w:val="24"/>
              </w:rPr>
              <w:t>金库（杭州）创业投资管理有限公司、上海</w:t>
            </w:r>
            <w:r w:rsidR="00254161" w:rsidRPr="00B9240E">
              <w:rPr>
                <w:bCs/>
                <w:iCs/>
                <w:color w:val="000000"/>
                <w:sz w:val="24"/>
              </w:rPr>
              <w:t>通盛</w:t>
            </w:r>
            <w:r w:rsidR="00817635" w:rsidRPr="00B9240E">
              <w:rPr>
                <w:bCs/>
                <w:iCs/>
                <w:color w:val="000000"/>
                <w:sz w:val="24"/>
              </w:rPr>
              <w:t>时富股权投资管理有限公司、</w:t>
            </w:r>
            <w:hyperlink r:id="rId10" w:history="1">
              <w:r w:rsidR="00817635" w:rsidRPr="00B9240E">
                <w:rPr>
                  <w:iCs/>
                  <w:color w:val="000000"/>
                  <w:sz w:val="24"/>
                </w:rPr>
                <w:t>上海</w:t>
              </w:r>
              <w:r w:rsidR="00817635" w:rsidRPr="00B9240E">
                <w:rPr>
                  <w:color w:val="000000"/>
                  <w:sz w:val="24"/>
                </w:rPr>
                <w:t>山溪资产</w:t>
              </w:r>
              <w:r w:rsidR="00817635" w:rsidRPr="00B9240E">
                <w:rPr>
                  <w:iCs/>
                  <w:color w:val="000000"/>
                  <w:sz w:val="24"/>
                </w:rPr>
                <w:t>管理有限公司</w:t>
              </w:r>
            </w:hyperlink>
            <w:r w:rsidR="00817635" w:rsidRPr="00B9240E">
              <w:rPr>
                <w:bCs/>
                <w:iCs/>
                <w:color w:val="000000"/>
                <w:sz w:val="24"/>
              </w:rPr>
              <w:t>、</w:t>
            </w:r>
            <w:hyperlink r:id="rId11" w:tgtFrame="_blank" w:history="1">
              <w:r w:rsidR="00A3712D" w:rsidRPr="00B9240E">
                <w:rPr>
                  <w:iCs/>
                  <w:color w:val="000000"/>
                  <w:sz w:val="24"/>
                </w:rPr>
                <w:t>上海复霈投资管理有限公司</w:t>
              </w:r>
            </w:hyperlink>
            <w:r w:rsidR="00A3712D" w:rsidRPr="00B9240E">
              <w:rPr>
                <w:iCs/>
                <w:color w:val="000000"/>
                <w:sz w:val="24"/>
              </w:rPr>
              <w:t>、</w:t>
            </w:r>
            <w:hyperlink r:id="rId12" w:tgtFrame="_blank" w:history="1">
              <w:r w:rsidR="00BE3CC4" w:rsidRPr="00B9240E">
                <w:rPr>
                  <w:iCs/>
                  <w:color w:val="000000"/>
                  <w:sz w:val="24"/>
                </w:rPr>
                <w:t>上海</w:t>
              </w:r>
              <w:r w:rsidR="00BE3CC4" w:rsidRPr="00B9240E">
                <w:rPr>
                  <w:color w:val="000000"/>
                  <w:sz w:val="24"/>
                </w:rPr>
                <w:t>槐南资产</w:t>
              </w:r>
              <w:r w:rsidR="00BE3CC4" w:rsidRPr="00B9240E">
                <w:rPr>
                  <w:iCs/>
                  <w:color w:val="000000"/>
                  <w:sz w:val="24"/>
                </w:rPr>
                <w:t>管理有限公司</w:t>
              </w:r>
            </w:hyperlink>
            <w:r w:rsidR="00BE3CC4" w:rsidRPr="00B9240E">
              <w:rPr>
                <w:iCs/>
                <w:color w:val="000000"/>
                <w:sz w:val="24"/>
              </w:rPr>
              <w:t>、北京颐和久富投资管理有限公司</w:t>
            </w:r>
            <w:r w:rsidR="00A3712D" w:rsidRPr="00B9240E">
              <w:rPr>
                <w:iCs/>
                <w:color w:val="000000"/>
                <w:sz w:val="24"/>
              </w:rPr>
              <w:t>、</w:t>
            </w:r>
            <w:hyperlink r:id="rId13" w:tgtFrame="_blank" w:history="1">
              <w:r w:rsidR="00A3712D" w:rsidRPr="00B9240E">
                <w:rPr>
                  <w:iCs/>
                  <w:color w:val="000000"/>
                  <w:sz w:val="24"/>
                </w:rPr>
                <w:t>上海</w:t>
              </w:r>
              <w:r w:rsidR="00A3712D" w:rsidRPr="00B9240E">
                <w:rPr>
                  <w:color w:val="000000"/>
                  <w:sz w:val="24"/>
                </w:rPr>
                <w:t>敦颐资产</w:t>
              </w:r>
              <w:r w:rsidR="00A3712D" w:rsidRPr="00B9240E">
                <w:rPr>
                  <w:iCs/>
                  <w:color w:val="000000"/>
                  <w:sz w:val="24"/>
                </w:rPr>
                <w:t>管理有限公司</w:t>
              </w:r>
            </w:hyperlink>
            <w:r w:rsidR="00A3712D" w:rsidRPr="00B9240E">
              <w:rPr>
                <w:bCs/>
                <w:iCs/>
                <w:color w:val="000000"/>
                <w:sz w:val="24"/>
              </w:rPr>
              <w:t>、</w:t>
            </w:r>
            <w:r w:rsidR="00A3712D" w:rsidRPr="00B9240E">
              <w:rPr>
                <w:iCs/>
                <w:color w:val="000000"/>
                <w:sz w:val="24"/>
              </w:rPr>
              <w:t>上海朴道瑞富投资管理中心（有限合伙）、</w:t>
            </w:r>
            <w:hyperlink r:id="rId14" w:tgtFrame="_blank" w:history="1">
              <w:r w:rsidR="00BE3CC4" w:rsidRPr="00B9240E">
                <w:rPr>
                  <w:iCs/>
                  <w:color w:val="000000"/>
                  <w:sz w:val="24"/>
                </w:rPr>
                <w:t>上海</w:t>
              </w:r>
              <w:r w:rsidR="00BE3CC4" w:rsidRPr="00B9240E">
                <w:rPr>
                  <w:color w:val="000000"/>
                  <w:sz w:val="24"/>
                </w:rPr>
                <w:t>于翼资产</w:t>
              </w:r>
              <w:r w:rsidR="00BE3CC4" w:rsidRPr="00B9240E">
                <w:rPr>
                  <w:iCs/>
                  <w:color w:val="000000"/>
                  <w:sz w:val="24"/>
                </w:rPr>
                <w:t>管理合伙企业（有限合伙）</w:t>
              </w:r>
            </w:hyperlink>
          </w:p>
        </w:tc>
      </w:tr>
      <w:tr w:rsidR="00010512" w:rsidRPr="00B9240E" w14:paraId="54758B41" w14:textId="77777777" w:rsidTr="00AF794A">
        <w:tc>
          <w:tcPr>
            <w:tcW w:w="1908" w:type="dxa"/>
            <w:tcBorders>
              <w:top w:val="single" w:sz="4" w:space="0" w:color="auto"/>
              <w:left w:val="single" w:sz="4" w:space="0" w:color="auto"/>
              <w:bottom w:val="single" w:sz="4" w:space="0" w:color="auto"/>
              <w:right w:val="single" w:sz="4" w:space="0" w:color="auto"/>
            </w:tcBorders>
            <w:vAlign w:val="center"/>
          </w:tcPr>
          <w:p w14:paraId="49F72A41" w14:textId="77777777" w:rsidR="00010512" w:rsidRPr="00B9240E" w:rsidRDefault="00F756D6" w:rsidP="00AF794A">
            <w:pPr>
              <w:spacing w:line="480" w:lineRule="atLeast"/>
              <w:rPr>
                <w:bCs/>
                <w:iCs/>
                <w:color w:val="000000"/>
                <w:sz w:val="24"/>
              </w:rPr>
            </w:pPr>
            <w:r w:rsidRPr="00B9240E">
              <w:rPr>
                <w:bCs/>
                <w:iCs/>
                <w:color w:val="000000"/>
                <w:sz w:val="24"/>
              </w:rPr>
              <w:t>时间</w:t>
            </w:r>
          </w:p>
        </w:tc>
        <w:tc>
          <w:tcPr>
            <w:tcW w:w="6614" w:type="dxa"/>
            <w:tcBorders>
              <w:top w:val="single" w:sz="4" w:space="0" w:color="auto"/>
              <w:left w:val="single" w:sz="4" w:space="0" w:color="auto"/>
              <w:bottom w:val="single" w:sz="4" w:space="0" w:color="auto"/>
              <w:right w:val="single" w:sz="4" w:space="0" w:color="auto"/>
            </w:tcBorders>
          </w:tcPr>
          <w:p w14:paraId="2D84A332" w14:textId="5FE0F276" w:rsidR="00010512" w:rsidRPr="00B9240E" w:rsidRDefault="00F756D6">
            <w:pPr>
              <w:spacing w:line="480" w:lineRule="atLeast"/>
              <w:rPr>
                <w:bCs/>
                <w:iCs/>
                <w:color w:val="000000"/>
                <w:sz w:val="24"/>
              </w:rPr>
            </w:pPr>
            <w:r w:rsidRPr="00B9240E">
              <w:rPr>
                <w:bCs/>
                <w:iCs/>
                <w:color w:val="000000"/>
                <w:sz w:val="24"/>
              </w:rPr>
              <w:t>2020</w:t>
            </w:r>
            <w:r w:rsidRPr="00B9240E">
              <w:rPr>
                <w:bCs/>
                <w:iCs/>
                <w:color w:val="000000"/>
                <w:sz w:val="24"/>
              </w:rPr>
              <w:t>年</w:t>
            </w:r>
            <w:r w:rsidRPr="00B9240E">
              <w:rPr>
                <w:bCs/>
                <w:iCs/>
                <w:color w:val="000000"/>
                <w:sz w:val="24"/>
              </w:rPr>
              <w:t>9</w:t>
            </w:r>
            <w:r w:rsidRPr="00B9240E">
              <w:rPr>
                <w:bCs/>
                <w:iCs/>
                <w:color w:val="000000"/>
                <w:sz w:val="24"/>
              </w:rPr>
              <w:t>月</w:t>
            </w:r>
            <w:r w:rsidR="00276DE7" w:rsidRPr="00B9240E">
              <w:rPr>
                <w:bCs/>
                <w:iCs/>
                <w:color w:val="000000"/>
                <w:sz w:val="24"/>
              </w:rPr>
              <w:t>16</w:t>
            </w:r>
            <w:r w:rsidRPr="00B9240E">
              <w:rPr>
                <w:bCs/>
                <w:iCs/>
                <w:color w:val="000000"/>
                <w:sz w:val="24"/>
              </w:rPr>
              <w:t>日下午</w:t>
            </w:r>
            <w:r w:rsidR="00276DE7" w:rsidRPr="00B9240E">
              <w:rPr>
                <w:bCs/>
                <w:iCs/>
                <w:color w:val="000000"/>
                <w:sz w:val="24"/>
              </w:rPr>
              <w:t>15:00</w:t>
            </w:r>
            <w:r w:rsidRPr="00B9240E">
              <w:rPr>
                <w:bCs/>
                <w:iCs/>
                <w:color w:val="000000"/>
                <w:sz w:val="24"/>
              </w:rPr>
              <w:t>-1</w:t>
            </w:r>
            <w:r w:rsidR="00276DE7" w:rsidRPr="00B9240E">
              <w:rPr>
                <w:bCs/>
                <w:iCs/>
                <w:color w:val="000000"/>
                <w:sz w:val="24"/>
              </w:rPr>
              <w:t>8</w:t>
            </w:r>
            <w:r w:rsidRPr="00B9240E">
              <w:rPr>
                <w:bCs/>
                <w:iCs/>
                <w:color w:val="000000"/>
                <w:sz w:val="24"/>
              </w:rPr>
              <w:t>:</w:t>
            </w:r>
            <w:r w:rsidR="00276DE7" w:rsidRPr="00B9240E">
              <w:rPr>
                <w:bCs/>
                <w:iCs/>
                <w:color w:val="000000"/>
                <w:sz w:val="24"/>
              </w:rPr>
              <w:t>0</w:t>
            </w:r>
            <w:r w:rsidRPr="00B9240E">
              <w:rPr>
                <w:bCs/>
                <w:iCs/>
                <w:color w:val="000000"/>
                <w:sz w:val="24"/>
              </w:rPr>
              <w:t>0</w:t>
            </w:r>
          </w:p>
        </w:tc>
      </w:tr>
      <w:tr w:rsidR="00010512" w:rsidRPr="00B9240E" w14:paraId="191D247C" w14:textId="77777777" w:rsidTr="00AF794A">
        <w:tc>
          <w:tcPr>
            <w:tcW w:w="1908" w:type="dxa"/>
            <w:tcBorders>
              <w:top w:val="single" w:sz="4" w:space="0" w:color="auto"/>
              <w:left w:val="single" w:sz="4" w:space="0" w:color="auto"/>
              <w:bottom w:val="single" w:sz="4" w:space="0" w:color="auto"/>
              <w:right w:val="single" w:sz="4" w:space="0" w:color="auto"/>
            </w:tcBorders>
            <w:vAlign w:val="center"/>
          </w:tcPr>
          <w:p w14:paraId="3C6C3181" w14:textId="77777777" w:rsidR="00010512" w:rsidRPr="00B9240E" w:rsidRDefault="00F756D6" w:rsidP="00AF794A">
            <w:pPr>
              <w:spacing w:line="480" w:lineRule="atLeast"/>
              <w:rPr>
                <w:bCs/>
                <w:iCs/>
                <w:color w:val="000000"/>
                <w:sz w:val="24"/>
              </w:rPr>
            </w:pPr>
            <w:r w:rsidRPr="00B9240E">
              <w:rPr>
                <w:bCs/>
                <w:iCs/>
                <w:color w:val="000000"/>
                <w:sz w:val="24"/>
              </w:rPr>
              <w:t>地点</w:t>
            </w:r>
          </w:p>
        </w:tc>
        <w:tc>
          <w:tcPr>
            <w:tcW w:w="6614" w:type="dxa"/>
            <w:tcBorders>
              <w:top w:val="single" w:sz="4" w:space="0" w:color="auto"/>
              <w:left w:val="single" w:sz="4" w:space="0" w:color="auto"/>
              <w:bottom w:val="single" w:sz="4" w:space="0" w:color="auto"/>
              <w:right w:val="single" w:sz="4" w:space="0" w:color="auto"/>
            </w:tcBorders>
          </w:tcPr>
          <w:p w14:paraId="1DB3E321" w14:textId="17DDD906" w:rsidR="00010512" w:rsidRPr="00B9240E" w:rsidRDefault="00276DE7">
            <w:pPr>
              <w:spacing w:line="480" w:lineRule="atLeast"/>
              <w:rPr>
                <w:bCs/>
                <w:iCs/>
                <w:color w:val="000000"/>
                <w:sz w:val="24"/>
              </w:rPr>
            </w:pPr>
            <w:r w:rsidRPr="00B9240E">
              <w:rPr>
                <w:bCs/>
                <w:iCs/>
                <w:color w:val="000000"/>
                <w:sz w:val="24"/>
              </w:rPr>
              <w:t>上海</w:t>
            </w:r>
            <w:r w:rsidR="005E7E35">
              <w:rPr>
                <w:rFonts w:hint="eastAsia"/>
                <w:bCs/>
                <w:iCs/>
                <w:color w:val="000000"/>
                <w:sz w:val="24"/>
              </w:rPr>
              <w:t>市</w:t>
            </w:r>
            <w:r w:rsidR="00F15AE8" w:rsidRPr="00B9240E">
              <w:rPr>
                <w:bCs/>
                <w:iCs/>
                <w:color w:val="000000"/>
                <w:sz w:val="24"/>
              </w:rPr>
              <w:t>浦东新区</w:t>
            </w:r>
            <w:r w:rsidRPr="00B9240E">
              <w:rPr>
                <w:bCs/>
                <w:iCs/>
                <w:color w:val="000000"/>
                <w:sz w:val="24"/>
              </w:rPr>
              <w:t>丽思卡尔顿酒店</w:t>
            </w:r>
            <w:r w:rsidRPr="00B9240E">
              <w:rPr>
                <w:bCs/>
                <w:iCs/>
                <w:color w:val="000000"/>
                <w:sz w:val="24"/>
              </w:rPr>
              <w:t>3</w:t>
            </w:r>
            <w:r w:rsidRPr="00B9240E">
              <w:rPr>
                <w:bCs/>
                <w:iCs/>
                <w:color w:val="000000"/>
                <w:sz w:val="24"/>
              </w:rPr>
              <w:t>楼多功能</w:t>
            </w:r>
            <w:r w:rsidR="00097DB9" w:rsidRPr="00B9240E">
              <w:rPr>
                <w:bCs/>
                <w:iCs/>
                <w:color w:val="000000"/>
                <w:sz w:val="24"/>
              </w:rPr>
              <w:t>C</w:t>
            </w:r>
            <w:r w:rsidRPr="00B9240E">
              <w:rPr>
                <w:bCs/>
                <w:iCs/>
                <w:color w:val="000000"/>
                <w:sz w:val="24"/>
              </w:rPr>
              <w:t>厅</w:t>
            </w:r>
          </w:p>
        </w:tc>
      </w:tr>
      <w:tr w:rsidR="00010512" w:rsidRPr="00B9240E" w14:paraId="7CF6479E" w14:textId="77777777" w:rsidTr="00AF794A">
        <w:tc>
          <w:tcPr>
            <w:tcW w:w="1908" w:type="dxa"/>
            <w:tcBorders>
              <w:top w:val="single" w:sz="4" w:space="0" w:color="auto"/>
              <w:left w:val="single" w:sz="4" w:space="0" w:color="auto"/>
              <w:bottom w:val="single" w:sz="4" w:space="0" w:color="auto"/>
              <w:right w:val="single" w:sz="4" w:space="0" w:color="auto"/>
            </w:tcBorders>
            <w:vAlign w:val="center"/>
          </w:tcPr>
          <w:p w14:paraId="0E0D6511" w14:textId="77777777" w:rsidR="00010512" w:rsidRPr="00B9240E" w:rsidRDefault="00F756D6" w:rsidP="00AF794A">
            <w:pPr>
              <w:spacing w:line="480" w:lineRule="atLeast"/>
              <w:rPr>
                <w:bCs/>
                <w:iCs/>
                <w:color w:val="000000"/>
                <w:sz w:val="24"/>
              </w:rPr>
            </w:pPr>
            <w:r w:rsidRPr="00B9240E">
              <w:rPr>
                <w:bCs/>
                <w:iCs/>
                <w:color w:val="000000"/>
                <w:sz w:val="24"/>
              </w:rPr>
              <w:t>上市公司接待人员姓名</w:t>
            </w:r>
          </w:p>
        </w:tc>
        <w:tc>
          <w:tcPr>
            <w:tcW w:w="6614" w:type="dxa"/>
            <w:tcBorders>
              <w:top w:val="single" w:sz="4" w:space="0" w:color="auto"/>
              <w:left w:val="single" w:sz="4" w:space="0" w:color="auto"/>
              <w:bottom w:val="single" w:sz="4" w:space="0" w:color="auto"/>
              <w:right w:val="single" w:sz="4" w:space="0" w:color="auto"/>
            </w:tcBorders>
            <w:vAlign w:val="center"/>
          </w:tcPr>
          <w:p w14:paraId="32EB039C" w14:textId="0CE95198" w:rsidR="00010512" w:rsidRPr="00B9240E" w:rsidRDefault="00F756D6" w:rsidP="00011693">
            <w:pPr>
              <w:spacing w:line="480" w:lineRule="atLeast"/>
              <w:rPr>
                <w:bCs/>
                <w:iCs/>
                <w:color w:val="000000"/>
                <w:sz w:val="24"/>
              </w:rPr>
            </w:pPr>
            <w:r w:rsidRPr="00B9240E">
              <w:rPr>
                <w:bCs/>
                <w:iCs/>
                <w:color w:val="000000"/>
                <w:sz w:val="24"/>
              </w:rPr>
              <w:t>邱宇、崔丹</w:t>
            </w:r>
          </w:p>
        </w:tc>
      </w:tr>
      <w:tr w:rsidR="00010512" w:rsidRPr="00B9240E" w14:paraId="455449F1" w14:textId="77777777" w:rsidTr="00AF794A">
        <w:tc>
          <w:tcPr>
            <w:tcW w:w="1908" w:type="dxa"/>
            <w:tcBorders>
              <w:top w:val="single" w:sz="4" w:space="0" w:color="auto"/>
              <w:left w:val="single" w:sz="4" w:space="0" w:color="auto"/>
              <w:bottom w:val="single" w:sz="4" w:space="0" w:color="auto"/>
              <w:right w:val="single" w:sz="4" w:space="0" w:color="auto"/>
            </w:tcBorders>
            <w:vAlign w:val="center"/>
          </w:tcPr>
          <w:p w14:paraId="0F267156" w14:textId="77777777" w:rsidR="00010512" w:rsidRPr="00B9240E" w:rsidRDefault="00F756D6" w:rsidP="00AF794A">
            <w:pPr>
              <w:spacing w:line="480" w:lineRule="atLeast"/>
              <w:rPr>
                <w:bCs/>
                <w:iCs/>
                <w:color w:val="000000"/>
                <w:sz w:val="24"/>
              </w:rPr>
            </w:pPr>
            <w:r w:rsidRPr="00B9240E">
              <w:rPr>
                <w:bCs/>
                <w:iCs/>
                <w:color w:val="000000"/>
                <w:sz w:val="24"/>
              </w:rPr>
              <w:t>投资者关系活动主要内容介绍</w:t>
            </w:r>
          </w:p>
          <w:p w14:paraId="50D6AA50" w14:textId="77777777" w:rsidR="00010512" w:rsidRPr="00B9240E" w:rsidRDefault="00010512" w:rsidP="00AF794A">
            <w:pPr>
              <w:spacing w:line="480" w:lineRule="atLeast"/>
              <w:rPr>
                <w:bCs/>
                <w:iCs/>
                <w:color w:val="000000"/>
                <w:sz w:val="24"/>
              </w:rPr>
            </w:pPr>
          </w:p>
        </w:tc>
        <w:tc>
          <w:tcPr>
            <w:tcW w:w="6614" w:type="dxa"/>
            <w:tcBorders>
              <w:top w:val="single" w:sz="4" w:space="0" w:color="auto"/>
              <w:left w:val="single" w:sz="4" w:space="0" w:color="auto"/>
              <w:bottom w:val="single" w:sz="4" w:space="0" w:color="auto"/>
              <w:right w:val="single" w:sz="4" w:space="0" w:color="auto"/>
            </w:tcBorders>
          </w:tcPr>
          <w:p w14:paraId="56509022" w14:textId="77777777" w:rsidR="00010512" w:rsidRPr="00B9240E" w:rsidRDefault="00F756D6">
            <w:pPr>
              <w:numPr>
                <w:ilvl w:val="0"/>
                <w:numId w:val="1"/>
              </w:numPr>
              <w:spacing w:line="480" w:lineRule="atLeast"/>
              <w:rPr>
                <w:b/>
                <w:iCs/>
                <w:color w:val="000000"/>
                <w:sz w:val="24"/>
              </w:rPr>
            </w:pPr>
            <w:r w:rsidRPr="00B9240E">
              <w:rPr>
                <w:b/>
                <w:iCs/>
                <w:color w:val="000000"/>
                <w:sz w:val="24"/>
              </w:rPr>
              <w:t>公司基本情况介绍</w:t>
            </w:r>
          </w:p>
          <w:p w14:paraId="3449171D" w14:textId="0DCF7BC4" w:rsidR="00B22DE6" w:rsidRPr="00B9240E" w:rsidRDefault="00782AAE" w:rsidP="00B92896">
            <w:pPr>
              <w:spacing w:line="480" w:lineRule="atLeast"/>
              <w:ind w:firstLineChars="200" w:firstLine="480"/>
              <w:rPr>
                <w:bCs/>
                <w:iCs/>
                <w:color w:val="000000"/>
                <w:sz w:val="24"/>
              </w:rPr>
            </w:pPr>
            <w:r w:rsidRPr="00B9240E">
              <w:rPr>
                <w:bCs/>
                <w:iCs/>
                <w:color w:val="000000"/>
                <w:sz w:val="24"/>
              </w:rPr>
              <w:t>公司自成立以来致力于科研创新，</w:t>
            </w:r>
            <w:r w:rsidR="00B22DE6" w:rsidRPr="00B9240E">
              <w:rPr>
                <w:sz w:val="24"/>
              </w:rPr>
              <w:t>公司拥有独立开发原创药物（如全球独家纳米炭混悬注射液）的能力，也具有开发原创药物临床价值和市场渠道的丰富经验，能够实现原创药物的</w:t>
            </w:r>
            <w:r w:rsidR="00B22DE6" w:rsidRPr="00B9240E">
              <w:rPr>
                <w:sz w:val="24"/>
              </w:rPr>
              <w:lastRenderedPageBreak/>
              <w:t>临床价值和市场价值，</w:t>
            </w:r>
            <w:r w:rsidR="00011693" w:rsidRPr="00B9240E">
              <w:rPr>
                <w:sz w:val="24"/>
              </w:rPr>
              <w:t>后续</w:t>
            </w:r>
            <w:r w:rsidR="00F756D6" w:rsidRPr="00B9240E">
              <w:rPr>
                <w:bCs/>
                <w:iCs/>
                <w:color w:val="000000"/>
                <w:sz w:val="24"/>
              </w:rPr>
              <w:t>公司将以创新药物和技术为主，仿制药为辅，紧紧围绕医疗机构和消费</w:t>
            </w:r>
            <w:r w:rsidR="00F756D6" w:rsidRPr="00B9240E">
              <w:rPr>
                <w:bCs/>
                <w:iCs/>
                <w:color w:val="000000"/>
                <w:sz w:val="24"/>
              </w:rPr>
              <w:t>C</w:t>
            </w:r>
            <w:r w:rsidR="00F756D6" w:rsidRPr="00B9240E">
              <w:rPr>
                <w:bCs/>
                <w:iCs/>
                <w:color w:val="000000"/>
                <w:sz w:val="24"/>
              </w:rPr>
              <w:t>端，打造具有高度市场转化能力的创新型企业</w:t>
            </w:r>
            <w:r w:rsidR="00011693" w:rsidRPr="00B9240E">
              <w:rPr>
                <w:bCs/>
                <w:iCs/>
                <w:color w:val="000000"/>
                <w:sz w:val="24"/>
              </w:rPr>
              <w:t>，提升盈利水平</w:t>
            </w:r>
            <w:r w:rsidR="00E00C1A" w:rsidRPr="00B9240E">
              <w:rPr>
                <w:bCs/>
                <w:iCs/>
                <w:color w:val="000000"/>
                <w:sz w:val="24"/>
              </w:rPr>
              <w:t>。</w:t>
            </w:r>
          </w:p>
          <w:p w14:paraId="4D29C009" w14:textId="17A79A65" w:rsidR="00010512" w:rsidRPr="00B9240E" w:rsidRDefault="00E00C1A" w:rsidP="00B92896">
            <w:pPr>
              <w:spacing w:line="480" w:lineRule="atLeast"/>
              <w:ind w:firstLineChars="200" w:firstLine="480"/>
              <w:rPr>
                <w:bCs/>
                <w:iCs/>
                <w:color w:val="000000"/>
                <w:sz w:val="24"/>
              </w:rPr>
            </w:pPr>
            <w:r w:rsidRPr="00B9240E">
              <w:rPr>
                <w:bCs/>
                <w:iCs/>
                <w:color w:val="000000"/>
                <w:sz w:val="24"/>
              </w:rPr>
              <w:t>公司正在处置不符合公司战略发展和可能与控股股东中恒集团</w:t>
            </w:r>
            <w:r w:rsidR="00134486" w:rsidRPr="00B9240E">
              <w:rPr>
                <w:bCs/>
                <w:iCs/>
                <w:color w:val="000000"/>
                <w:sz w:val="24"/>
              </w:rPr>
              <w:t>存在潜在同</w:t>
            </w:r>
            <w:r w:rsidRPr="00B9240E">
              <w:rPr>
                <w:bCs/>
                <w:iCs/>
                <w:color w:val="000000"/>
                <w:sz w:val="24"/>
              </w:rPr>
              <w:t>业竞争的子公司，</w:t>
            </w:r>
            <w:r w:rsidR="00B92896" w:rsidRPr="00B9240E">
              <w:rPr>
                <w:bCs/>
                <w:iCs/>
                <w:color w:val="000000"/>
                <w:sz w:val="24"/>
              </w:rPr>
              <w:t>本次处置完成后，</w:t>
            </w:r>
            <w:r w:rsidR="00134486" w:rsidRPr="00B9240E">
              <w:rPr>
                <w:bCs/>
                <w:iCs/>
                <w:color w:val="000000"/>
                <w:sz w:val="24"/>
              </w:rPr>
              <w:t>将</w:t>
            </w:r>
            <w:r w:rsidR="00B8744A" w:rsidRPr="00B9240E">
              <w:rPr>
                <w:bCs/>
                <w:iCs/>
                <w:color w:val="000000"/>
                <w:sz w:val="24"/>
              </w:rPr>
              <w:t>有助于公司进一步聚焦主业，</w:t>
            </w:r>
            <w:r w:rsidR="00B22DE6" w:rsidRPr="00B9240E">
              <w:rPr>
                <w:bCs/>
                <w:iCs/>
                <w:color w:val="000000"/>
                <w:sz w:val="24"/>
              </w:rPr>
              <w:t>有利于减少业绩亏损，</w:t>
            </w:r>
            <w:r w:rsidRPr="00B9240E">
              <w:rPr>
                <w:bCs/>
                <w:iCs/>
                <w:color w:val="000000"/>
                <w:sz w:val="24"/>
              </w:rPr>
              <w:t>打造细分领域有高度市场转化能力的创新性企业。</w:t>
            </w:r>
          </w:p>
          <w:p w14:paraId="55B90863" w14:textId="77777777" w:rsidR="00010512" w:rsidRPr="00B9240E" w:rsidRDefault="00F756D6">
            <w:pPr>
              <w:numPr>
                <w:ilvl w:val="0"/>
                <w:numId w:val="1"/>
              </w:numPr>
              <w:spacing w:line="480" w:lineRule="atLeast"/>
              <w:rPr>
                <w:b/>
                <w:iCs/>
                <w:color w:val="000000"/>
                <w:sz w:val="24"/>
              </w:rPr>
            </w:pPr>
            <w:r w:rsidRPr="00B9240E">
              <w:rPr>
                <w:b/>
                <w:iCs/>
                <w:color w:val="000000"/>
                <w:sz w:val="24"/>
              </w:rPr>
              <w:t>介绍公司引入战略投资者中恒集团的基本情况</w:t>
            </w:r>
          </w:p>
          <w:p w14:paraId="3B81B77A" w14:textId="07BDF948" w:rsidR="00B22DE6" w:rsidRPr="00B9240E" w:rsidRDefault="00F756D6" w:rsidP="00B92896">
            <w:pPr>
              <w:spacing w:line="480" w:lineRule="atLeast"/>
              <w:ind w:firstLineChars="200" w:firstLine="480"/>
              <w:rPr>
                <w:bCs/>
                <w:iCs/>
                <w:color w:val="000000"/>
                <w:sz w:val="24"/>
              </w:rPr>
            </w:pPr>
            <w:r w:rsidRPr="00B9240E">
              <w:rPr>
                <w:bCs/>
                <w:iCs/>
                <w:color w:val="000000"/>
                <w:sz w:val="24"/>
              </w:rPr>
              <w:t>中恒集团通过接受表决权委托的方式成为了公司</w:t>
            </w:r>
            <w:r w:rsidR="00016333" w:rsidRPr="00B9240E">
              <w:rPr>
                <w:bCs/>
                <w:iCs/>
                <w:color w:val="000000"/>
                <w:sz w:val="24"/>
              </w:rPr>
              <w:t>控股股东</w:t>
            </w:r>
            <w:r w:rsidRPr="00B9240E">
              <w:rPr>
                <w:bCs/>
                <w:iCs/>
                <w:color w:val="000000"/>
                <w:sz w:val="24"/>
              </w:rPr>
              <w:t>，公司新一届董事会中恒集团委派</w:t>
            </w:r>
            <w:r w:rsidRPr="00B9240E">
              <w:rPr>
                <w:bCs/>
                <w:iCs/>
                <w:color w:val="000000"/>
                <w:sz w:val="24"/>
              </w:rPr>
              <w:t>5</w:t>
            </w:r>
            <w:r w:rsidRPr="00B9240E">
              <w:rPr>
                <w:bCs/>
                <w:iCs/>
                <w:color w:val="000000"/>
                <w:sz w:val="24"/>
              </w:rPr>
              <w:t>名董事。公司已向深圳证券交易所提交了向特定对象发行股份申请并予以受理。中恒集团、中恒同德及广投国宏三名认购方合计认购金额不超过</w:t>
            </w:r>
            <w:r w:rsidRPr="00B9240E">
              <w:rPr>
                <w:bCs/>
                <w:iCs/>
                <w:color w:val="000000"/>
                <w:sz w:val="24"/>
              </w:rPr>
              <w:t>10.84</w:t>
            </w:r>
            <w:r w:rsidRPr="00B9240E">
              <w:rPr>
                <w:bCs/>
                <w:iCs/>
                <w:color w:val="000000"/>
                <w:sz w:val="24"/>
              </w:rPr>
              <w:t>亿元。本次</w:t>
            </w:r>
            <w:r w:rsidR="00AD49C1" w:rsidRPr="00B9240E">
              <w:rPr>
                <w:bCs/>
                <w:iCs/>
                <w:color w:val="000000"/>
                <w:sz w:val="24"/>
              </w:rPr>
              <w:t>向特定对象</w:t>
            </w:r>
            <w:r w:rsidRPr="00B9240E">
              <w:rPr>
                <w:bCs/>
                <w:iCs/>
                <w:color w:val="000000"/>
                <w:sz w:val="24"/>
              </w:rPr>
              <w:t>发行</w:t>
            </w:r>
            <w:r w:rsidR="00AD49C1" w:rsidRPr="00B9240E">
              <w:rPr>
                <w:bCs/>
                <w:iCs/>
                <w:color w:val="000000"/>
                <w:sz w:val="24"/>
              </w:rPr>
              <w:t>股票</w:t>
            </w:r>
            <w:r w:rsidRPr="00B9240E">
              <w:rPr>
                <w:bCs/>
                <w:iCs/>
                <w:color w:val="000000"/>
                <w:sz w:val="24"/>
              </w:rPr>
              <w:t>完成后，中恒集团、中恒同德和广投国宏将合计取得莱美药业</w:t>
            </w:r>
            <w:r w:rsidRPr="00B9240E">
              <w:rPr>
                <w:bCs/>
                <w:iCs/>
                <w:color w:val="000000"/>
                <w:sz w:val="24"/>
              </w:rPr>
              <w:t>43.99%</w:t>
            </w:r>
            <w:r w:rsidRPr="00B9240E">
              <w:rPr>
                <w:bCs/>
                <w:iCs/>
                <w:color w:val="000000"/>
                <w:sz w:val="24"/>
              </w:rPr>
              <w:t>股份对应的表决权。</w:t>
            </w:r>
          </w:p>
          <w:p w14:paraId="738892CE" w14:textId="2DFE125C" w:rsidR="00010512" w:rsidRPr="00B9240E" w:rsidRDefault="00F756D6">
            <w:pPr>
              <w:numPr>
                <w:ilvl w:val="0"/>
                <w:numId w:val="1"/>
              </w:numPr>
              <w:spacing w:line="480" w:lineRule="atLeast"/>
              <w:rPr>
                <w:b/>
                <w:iCs/>
                <w:color w:val="000000"/>
                <w:sz w:val="24"/>
              </w:rPr>
            </w:pPr>
            <w:r w:rsidRPr="00B9240E">
              <w:rPr>
                <w:b/>
                <w:iCs/>
                <w:color w:val="000000"/>
                <w:sz w:val="24"/>
              </w:rPr>
              <w:t>介绍公司</w:t>
            </w:r>
            <w:r w:rsidR="000F3D47" w:rsidRPr="00B9240E">
              <w:rPr>
                <w:b/>
                <w:iCs/>
                <w:color w:val="000000"/>
                <w:sz w:val="24"/>
              </w:rPr>
              <w:t>各项业务发展</w:t>
            </w:r>
            <w:r w:rsidRPr="00B9240E">
              <w:rPr>
                <w:b/>
                <w:iCs/>
                <w:color w:val="000000"/>
                <w:sz w:val="24"/>
              </w:rPr>
              <w:t>情况</w:t>
            </w:r>
          </w:p>
          <w:p w14:paraId="5974D4BB" w14:textId="07132B77" w:rsidR="00010512" w:rsidRPr="00B9240E" w:rsidRDefault="00F756D6">
            <w:pPr>
              <w:spacing w:line="480" w:lineRule="atLeast"/>
              <w:rPr>
                <w:b/>
                <w:iCs/>
                <w:color w:val="000000"/>
                <w:sz w:val="24"/>
              </w:rPr>
            </w:pPr>
            <w:r w:rsidRPr="00B9240E">
              <w:rPr>
                <w:b/>
                <w:iCs/>
                <w:color w:val="000000"/>
                <w:sz w:val="24"/>
              </w:rPr>
              <w:t xml:space="preserve">3.1 </w:t>
            </w:r>
            <w:r w:rsidR="000F3D47" w:rsidRPr="00B9240E">
              <w:rPr>
                <w:b/>
                <w:iCs/>
                <w:color w:val="000000"/>
                <w:sz w:val="24"/>
              </w:rPr>
              <w:t>核心</w:t>
            </w:r>
            <w:r w:rsidRPr="00B9240E">
              <w:rPr>
                <w:b/>
                <w:iCs/>
                <w:color w:val="000000"/>
                <w:sz w:val="24"/>
              </w:rPr>
              <w:t>业务</w:t>
            </w:r>
            <w:r w:rsidR="000F3D47" w:rsidRPr="00B9240E">
              <w:rPr>
                <w:b/>
                <w:iCs/>
                <w:color w:val="000000"/>
                <w:sz w:val="24"/>
              </w:rPr>
              <w:t>与新业务</w:t>
            </w:r>
          </w:p>
          <w:p w14:paraId="5FBE8894" w14:textId="32CD11F0" w:rsidR="000F3D47" w:rsidRPr="00B9240E" w:rsidRDefault="000F3D47" w:rsidP="00D43226">
            <w:pPr>
              <w:spacing w:line="480" w:lineRule="atLeast"/>
              <w:rPr>
                <w:bCs/>
                <w:iCs/>
                <w:color w:val="000000"/>
                <w:sz w:val="24"/>
              </w:rPr>
            </w:pPr>
            <w:r w:rsidRPr="00B9240E">
              <w:rPr>
                <w:bCs/>
                <w:iCs/>
                <w:color w:val="000000"/>
                <w:sz w:val="24"/>
              </w:rPr>
              <w:t>3.1.1</w:t>
            </w:r>
            <w:r w:rsidRPr="00B9240E">
              <w:rPr>
                <w:bCs/>
                <w:iCs/>
                <w:color w:val="000000"/>
                <w:sz w:val="24"/>
              </w:rPr>
              <w:t>核心业务情况</w:t>
            </w:r>
          </w:p>
          <w:p w14:paraId="7211F959" w14:textId="625C82AC" w:rsidR="00010512" w:rsidRPr="00B9240E" w:rsidRDefault="00F756D6" w:rsidP="00373355">
            <w:pPr>
              <w:spacing w:line="480" w:lineRule="atLeast"/>
              <w:ind w:firstLineChars="200" w:firstLine="480"/>
              <w:rPr>
                <w:bCs/>
                <w:iCs/>
                <w:color w:val="000000"/>
                <w:sz w:val="24"/>
              </w:rPr>
            </w:pPr>
            <w:r w:rsidRPr="00B9240E">
              <w:rPr>
                <w:rFonts w:ascii="宋体" w:hAnsi="宋体" w:cs="宋体" w:hint="eastAsia"/>
                <w:bCs/>
                <w:iCs/>
                <w:color w:val="000000"/>
                <w:sz w:val="24"/>
              </w:rPr>
              <w:t>①</w:t>
            </w:r>
            <w:r w:rsidR="000F3D47" w:rsidRPr="00B9240E">
              <w:rPr>
                <w:bCs/>
                <w:iCs/>
                <w:color w:val="000000"/>
                <w:sz w:val="24"/>
              </w:rPr>
              <w:t>介绍核心产品卡纳琳相关情况。</w:t>
            </w:r>
            <w:r w:rsidRPr="00B9240E">
              <w:rPr>
                <w:bCs/>
                <w:iCs/>
                <w:color w:val="000000"/>
                <w:sz w:val="24"/>
              </w:rPr>
              <w:t>公司</w:t>
            </w:r>
            <w:r w:rsidR="00A868DF" w:rsidRPr="00B9240E">
              <w:rPr>
                <w:bCs/>
                <w:iCs/>
                <w:color w:val="000000"/>
                <w:sz w:val="24"/>
              </w:rPr>
              <w:t>核心</w:t>
            </w:r>
            <w:r w:rsidRPr="00B9240E">
              <w:rPr>
                <w:bCs/>
                <w:iCs/>
                <w:color w:val="000000"/>
                <w:sz w:val="24"/>
              </w:rPr>
              <w:t>产品卡纳琳（纳米炭混悬注射液）作为淋巴示踪剂经多年发展具备了产品优势、专业学术优势和专家资源等优势。</w:t>
            </w:r>
            <w:r w:rsidR="00373355" w:rsidRPr="00B9240E">
              <w:rPr>
                <w:bCs/>
                <w:iCs/>
                <w:color w:val="000000"/>
                <w:sz w:val="24"/>
              </w:rPr>
              <w:t>目前卡纳琳在甲状腺癌手术使用率达</w:t>
            </w:r>
            <w:r w:rsidR="00373355" w:rsidRPr="00B9240E">
              <w:rPr>
                <w:bCs/>
                <w:iCs/>
                <w:color w:val="000000"/>
                <w:sz w:val="24"/>
              </w:rPr>
              <w:t>85%</w:t>
            </w:r>
            <w:r w:rsidR="00016333" w:rsidRPr="00B9240E">
              <w:rPr>
                <w:bCs/>
                <w:iCs/>
                <w:color w:val="000000"/>
                <w:sz w:val="24"/>
              </w:rPr>
              <w:t>以上</w:t>
            </w:r>
            <w:r w:rsidR="00373355" w:rsidRPr="00B9240E">
              <w:rPr>
                <w:bCs/>
                <w:iCs/>
                <w:color w:val="000000"/>
                <w:sz w:val="24"/>
              </w:rPr>
              <w:t>，未来</w:t>
            </w:r>
            <w:r w:rsidR="00B92896" w:rsidRPr="00B9240E">
              <w:rPr>
                <w:bCs/>
                <w:iCs/>
                <w:color w:val="000000"/>
                <w:sz w:val="24"/>
              </w:rPr>
              <w:t>甲状腺癌、乳腺癌及胃肠癌患者</w:t>
            </w:r>
            <w:r w:rsidR="00CE3C4A" w:rsidRPr="00B9240E">
              <w:rPr>
                <w:bCs/>
                <w:iCs/>
                <w:color w:val="000000"/>
                <w:sz w:val="24"/>
              </w:rPr>
              <w:t>具有良好的市场空间</w:t>
            </w:r>
            <w:r w:rsidR="00B92896" w:rsidRPr="00B9240E">
              <w:rPr>
                <w:bCs/>
                <w:iCs/>
                <w:color w:val="000000"/>
                <w:sz w:val="24"/>
              </w:rPr>
              <w:t>，</w:t>
            </w:r>
            <w:r w:rsidRPr="00B9240E">
              <w:rPr>
                <w:bCs/>
                <w:iCs/>
                <w:color w:val="000000"/>
                <w:sz w:val="24"/>
              </w:rPr>
              <w:t>卡纳琳</w:t>
            </w:r>
            <w:r w:rsidR="00016333" w:rsidRPr="00B9240E">
              <w:rPr>
                <w:bCs/>
                <w:iCs/>
                <w:color w:val="000000"/>
                <w:sz w:val="24"/>
              </w:rPr>
              <w:t>可显著减少手术风险，提高手术成功率，其</w:t>
            </w:r>
            <w:r w:rsidRPr="00B9240E">
              <w:rPr>
                <w:bCs/>
                <w:iCs/>
                <w:color w:val="000000"/>
                <w:sz w:val="24"/>
              </w:rPr>
              <w:t>在甲状腺癌、乳腺癌、胃肠癌等领域</w:t>
            </w:r>
            <w:r w:rsidR="00016333" w:rsidRPr="00B9240E">
              <w:rPr>
                <w:bCs/>
                <w:iCs/>
                <w:color w:val="000000"/>
                <w:sz w:val="24"/>
              </w:rPr>
              <w:t>临床</w:t>
            </w:r>
            <w:r w:rsidRPr="00B9240E">
              <w:rPr>
                <w:bCs/>
                <w:iCs/>
                <w:color w:val="000000"/>
                <w:sz w:val="24"/>
              </w:rPr>
              <w:t>使用</w:t>
            </w:r>
            <w:r w:rsidR="00016333" w:rsidRPr="00B9240E">
              <w:rPr>
                <w:bCs/>
                <w:iCs/>
                <w:color w:val="000000"/>
                <w:sz w:val="24"/>
              </w:rPr>
              <w:t>和拓展</w:t>
            </w:r>
            <w:r w:rsidR="00B92896" w:rsidRPr="00B9240E">
              <w:rPr>
                <w:bCs/>
                <w:iCs/>
                <w:color w:val="000000"/>
                <w:sz w:val="24"/>
              </w:rPr>
              <w:t>，</w:t>
            </w:r>
            <w:r w:rsidR="00016333" w:rsidRPr="00B9240E">
              <w:rPr>
                <w:bCs/>
                <w:iCs/>
                <w:color w:val="000000"/>
                <w:sz w:val="24"/>
              </w:rPr>
              <w:t>将有助于进一步</w:t>
            </w:r>
            <w:r w:rsidRPr="00B9240E">
              <w:rPr>
                <w:bCs/>
                <w:iCs/>
                <w:color w:val="000000"/>
                <w:sz w:val="24"/>
              </w:rPr>
              <w:t>提升公司的竞争实力和盈利水平。</w:t>
            </w:r>
          </w:p>
          <w:p w14:paraId="3697CF5B" w14:textId="10FE068B" w:rsidR="00010512" w:rsidRPr="00B9240E" w:rsidRDefault="00F756D6">
            <w:pPr>
              <w:spacing w:line="480" w:lineRule="atLeast"/>
              <w:ind w:firstLineChars="200" w:firstLine="480"/>
              <w:rPr>
                <w:bCs/>
                <w:iCs/>
                <w:color w:val="000000"/>
                <w:sz w:val="24"/>
              </w:rPr>
            </w:pPr>
            <w:r w:rsidRPr="00B9240E">
              <w:rPr>
                <w:rFonts w:ascii="宋体" w:hAnsi="宋体" w:cs="宋体" w:hint="eastAsia"/>
                <w:bCs/>
                <w:iCs/>
                <w:color w:val="000000"/>
                <w:sz w:val="24"/>
              </w:rPr>
              <w:t>②</w:t>
            </w:r>
            <w:r w:rsidR="00A868DF" w:rsidRPr="00B9240E">
              <w:rPr>
                <w:bCs/>
                <w:iCs/>
                <w:color w:val="000000"/>
                <w:sz w:val="24"/>
              </w:rPr>
              <w:t>介绍公司消化道药物组合相关情况。</w:t>
            </w:r>
            <w:r w:rsidRPr="00B9240E">
              <w:rPr>
                <w:bCs/>
                <w:iCs/>
                <w:color w:val="000000"/>
                <w:sz w:val="24"/>
              </w:rPr>
              <w:t>公司重点产品</w:t>
            </w:r>
            <w:r w:rsidR="00011693" w:rsidRPr="00B9240E">
              <w:rPr>
                <w:bCs/>
                <w:iCs/>
                <w:color w:val="000000"/>
                <w:sz w:val="24"/>
              </w:rPr>
              <w:t>莱美舒</w:t>
            </w:r>
            <w:r w:rsidRPr="00B9240E">
              <w:rPr>
                <w:bCs/>
                <w:iCs/>
                <w:color w:val="000000"/>
                <w:sz w:val="24"/>
              </w:rPr>
              <w:t>（</w:t>
            </w:r>
            <w:r w:rsidR="00011693" w:rsidRPr="00B9240E">
              <w:rPr>
                <w:bCs/>
                <w:iCs/>
                <w:color w:val="000000"/>
                <w:sz w:val="24"/>
              </w:rPr>
              <w:t>艾司奥美拉唑肠溶胶囊</w:t>
            </w:r>
            <w:r w:rsidRPr="00B9240E">
              <w:rPr>
                <w:bCs/>
                <w:iCs/>
                <w:color w:val="000000"/>
                <w:sz w:val="24"/>
              </w:rPr>
              <w:t>）销量逐年上升</w:t>
            </w:r>
            <w:r w:rsidR="00361479" w:rsidRPr="00B9240E">
              <w:rPr>
                <w:bCs/>
                <w:iCs/>
                <w:color w:val="000000"/>
                <w:sz w:val="24"/>
              </w:rPr>
              <w:t>。公司</w:t>
            </w:r>
            <w:r w:rsidR="008A6D41" w:rsidRPr="00B9240E">
              <w:rPr>
                <w:bCs/>
                <w:iCs/>
                <w:color w:val="000000"/>
                <w:sz w:val="24"/>
              </w:rPr>
              <w:t>深耕消化道领域</w:t>
            </w:r>
            <w:r w:rsidR="00E76955" w:rsidRPr="00B9240E">
              <w:rPr>
                <w:bCs/>
                <w:iCs/>
                <w:color w:val="000000"/>
                <w:sz w:val="24"/>
              </w:rPr>
              <w:t>持续</w:t>
            </w:r>
            <w:r w:rsidR="008A6D41" w:rsidRPr="00B9240E">
              <w:rPr>
                <w:bCs/>
                <w:iCs/>
                <w:color w:val="000000"/>
                <w:sz w:val="24"/>
              </w:rPr>
              <w:t>开发一系列</w:t>
            </w:r>
            <w:r w:rsidR="008A6D41" w:rsidRPr="00B9240E">
              <w:rPr>
                <w:bCs/>
                <w:iCs/>
                <w:color w:val="000000"/>
                <w:sz w:val="24"/>
              </w:rPr>
              <w:t>PPI</w:t>
            </w:r>
            <w:r w:rsidR="008A6D41" w:rsidRPr="00B9240E">
              <w:rPr>
                <w:bCs/>
                <w:iCs/>
                <w:color w:val="000000"/>
                <w:sz w:val="24"/>
              </w:rPr>
              <w:t>制剂产品组合，</w:t>
            </w:r>
            <w:r w:rsidR="001C0D82" w:rsidRPr="00B9240E">
              <w:rPr>
                <w:bCs/>
                <w:iCs/>
                <w:color w:val="000000"/>
                <w:sz w:val="24"/>
              </w:rPr>
              <w:t>如</w:t>
            </w:r>
            <w:r w:rsidR="00361479" w:rsidRPr="00B9240E">
              <w:rPr>
                <w:bCs/>
                <w:iCs/>
                <w:color w:val="000000"/>
                <w:sz w:val="24"/>
              </w:rPr>
              <w:t>注射用艾司奥美拉唑钠</w:t>
            </w:r>
            <w:r w:rsidR="001C0D82" w:rsidRPr="00B9240E">
              <w:rPr>
                <w:bCs/>
                <w:iCs/>
                <w:color w:val="000000"/>
                <w:sz w:val="24"/>
              </w:rPr>
              <w:t>、</w:t>
            </w:r>
            <w:r w:rsidRPr="00B9240E">
              <w:rPr>
                <w:bCs/>
                <w:iCs/>
                <w:color w:val="000000"/>
                <w:sz w:val="24"/>
              </w:rPr>
              <w:t>艾司奥美拉唑镁胶囊</w:t>
            </w:r>
            <w:r w:rsidRPr="00B9240E">
              <w:rPr>
                <w:bCs/>
                <w:iCs/>
                <w:color w:val="000000"/>
                <w:sz w:val="24"/>
              </w:rPr>
              <w:t xml:space="preserve"> </w:t>
            </w:r>
            <w:r w:rsidRPr="00B9240E">
              <w:rPr>
                <w:bCs/>
                <w:iCs/>
                <w:color w:val="000000"/>
                <w:sz w:val="24"/>
              </w:rPr>
              <w:t>、艾司奥美拉唑镁肠溶片</w:t>
            </w:r>
            <w:r w:rsidRPr="00B9240E">
              <w:rPr>
                <w:bCs/>
                <w:iCs/>
                <w:color w:val="000000"/>
                <w:sz w:val="24"/>
              </w:rPr>
              <w:t xml:space="preserve"> </w:t>
            </w:r>
            <w:r w:rsidRPr="00B9240E">
              <w:rPr>
                <w:bCs/>
                <w:iCs/>
                <w:color w:val="000000"/>
                <w:sz w:val="24"/>
              </w:rPr>
              <w:t>、奥美</w:t>
            </w:r>
            <w:r w:rsidRPr="00B9240E">
              <w:rPr>
                <w:bCs/>
                <w:iCs/>
                <w:color w:val="000000"/>
                <w:sz w:val="24"/>
              </w:rPr>
              <w:lastRenderedPageBreak/>
              <w:t>拉唑镁片剂等</w:t>
            </w:r>
            <w:r w:rsidR="008A6D41" w:rsidRPr="00B9240E">
              <w:rPr>
                <w:bCs/>
                <w:iCs/>
                <w:color w:val="000000"/>
                <w:sz w:val="24"/>
              </w:rPr>
              <w:t>PPI</w:t>
            </w:r>
            <w:r w:rsidR="008A6D41" w:rsidRPr="00B9240E">
              <w:rPr>
                <w:bCs/>
                <w:iCs/>
                <w:color w:val="000000"/>
                <w:sz w:val="24"/>
              </w:rPr>
              <w:t>制剂</w:t>
            </w:r>
            <w:r w:rsidR="00E76955" w:rsidRPr="00B9240E">
              <w:rPr>
                <w:bCs/>
                <w:iCs/>
                <w:color w:val="000000"/>
                <w:sz w:val="24"/>
              </w:rPr>
              <w:t>组合</w:t>
            </w:r>
            <w:r w:rsidR="008A6D41" w:rsidRPr="00B9240E">
              <w:rPr>
                <w:bCs/>
                <w:iCs/>
                <w:color w:val="000000"/>
                <w:sz w:val="24"/>
              </w:rPr>
              <w:t>产品</w:t>
            </w:r>
            <w:r w:rsidRPr="00B9240E">
              <w:rPr>
                <w:bCs/>
                <w:iCs/>
                <w:color w:val="000000"/>
                <w:sz w:val="24"/>
              </w:rPr>
              <w:t>。</w:t>
            </w:r>
          </w:p>
          <w:p w14:paraId="78FAB1FE" w14:textId="444E820B" w:rsidR="00010512" w:rsidRPr="006330CD" w:rsidRDefault="00F756D6">
            <w:pPr>
              <w:spacing w:line="480" w:lineRule="atLeast"/>
              <w:rPr>
                <w:bCs/>
                <w:iCs/>
                <w:color w:val="000000"/>
                <w:sz w:val="24"/>
              </w:rPr>
            </w:pPr>
            <w:r w:rsidRPr="006330CD">
              <w:rPr>
                <w:bCs/>
                <w:iCs/>
                <w:color w:val="000000"/>
                <w:sz w:val="24"/>
              </w:rPr>
              <w:t>3.</w:t>
            </w:r>
            <w:r w:rsidR="000F3D47" w:rsidRPr="006330CD">
              <w:rPr>
                <w:bCs/>
                <w:iCs/>
                <w:color w:val="000000"/>
                <w:sz w:val="24"/>
              </w:rPr>
              <w:t>1.</w:t>
            </w:r>
            <w:r w:rsidRPr="006330CD">
              <w:rPr>
                <w:bCs/>
                <w:iCs/>
                <w:color w:val="000000"/>
                <w:sz w:val="24"/>
              </w:rPr>
              <w:t>2</w:t>
            </w:r>
            <w:r w:rsidRPr="006330CD">
              <w:rPr>
                <w:bCs/>
                <w:iCs/>
                <w:color w:val="000000"/>
                <w:sz w:val="24"/>
              </w:rPr>
              <w:t>新业务</w:t>
            </w:r>
            <w:r w:rsidR="000F3D47" w:rsidRPr="006330CD">
              <w:rPr>
                <w:bCs/>
                <w:iCs/>
                <w:color w:val="000000"/>
                <w:sz w:val="24"/>
              </w:rPr>
              <w:t>拓展情况</w:t>
            </w:r>
          </w:p>
          <w:p w14:paraId="448B589B" w14:textId="2C825AD3" w:rsidR="00010512" w:rsidRPr="00B9240E" w:rsidRDefault="00F756D6">
            <w:pPr>
              <w:spacing w:line="480" w:lineRule="atLeast"/>
              <w:ind w:firstLineChars="200" w:firstLine="480"/>
              <w:rPr>
                <w:bCs/>
                <w:iCs/>
                <w:color w:val="000000"/>
                <w:sz w:val="24"/>
              </w:rPr>
            </w:pPr>
            <w:r w:rsidRPr="00B9240E">
              <w:rPr>
                <w:rFonts w:ascii="宋体" w:hAnsi="宋体" w:cs="宋体" w:hint="eastAsia"/>
                <w:bCs/>
                <w:iCs/>
                <w:color w:val="000000"/>
                <w:sz w:val="24"/>
              </w:rPr>
              <w:t>①</w:t>
            </w:r>
            <w:r w:rsidR="00E00C1A" w:rsidRPr="00B9240E">
              <w:rPr>
                <w:bCs/>
                <w:iCs/>
                <w:color w:val="000000"/>
                <w:sz w:val="24"/>
              </w:rPr>
              <w:t>介绍</w:t>
            </w:r>
            <w:r w:rsidRPr="00B9240E">
              <w:rPr>
                <w:bCs/>
                <w:iCs/>
                <w:color w:val="000000"/>
                <w:sz w:val="24"/>
              </w:rPr>
              <w:t>公司与爱尔眼科合资设立湖南迈欧医疗科技有限公司</w:t>
            </w:r>
            <w:r w:rsidR="00016333" w:rsidRPr="00B9240E">
              <w:rPr>
                <w:bCs/>
                <w:iCs/>
                <w:color w:val="000000"/>
                <w:sz w:val="24"/>
              </w:rPr>
              <w:t>的目的及</w:t>
            </w:r>
            <w:r w:rsidR="00E00C1A" w:rsidRPr="00B9240E">
              <w:rPr>
                <w:bCs/>
                <w:iCs/>
                <w:color w:val="000000"/>
                <w:sz w:val="24"/>
              </w:rPr>
              <w:t>相关情况</w:t>
            </w:r>
            <w:r w:rsidR="00666630" w:rsidRPr="00B9240E">
              <w:rPr>
                <w:bCs/>
                <w:iCs/>
                <w:color w:val="000000"/>
                <w:sz w:val="24"/>
              </w:rPr>
              <w:t>。</w:t>
            </w:r>
            <w:r w:rsidR="00B22DE6" w:rsidRPr="00B9240E">
              <w:rPr>
                <w:bCs/>
                <w:iCs/>
                <w:color w:val="000000"/>
                <w:sz w:val="24"/>
              </w:rPr>
              <w:t>公司</w:t>
            </w:r>
            <w:r w:rsidR="00EE7600" w:rsidRPr="00B9240E">
              <w:rPr>
                <w:bCs/>
                <w:iCs/>
                <w:color w:val="000000"/>
                <w:sz w:val="24"/>
              </w:rPr>
              <w:t>联合爱尔眼科</w:t>
            </w:r>
            <w:r w:rsidR="00016333" w:rsidRPr="00B9240E">
              <w:rPr>
                <w:bCs/>
                <w:iCs/>
                <w:color w:val="000000"/>
                <w:sz w:val="24"/>
              </w:rPr>
              <w:t>借助其医院</w:t>
            </w:r>
            <w:r w:rsidR="00EE7600" w:rsidRPr="00B9240E">
              <w:rPr>
                <w:bCs/>
                <w:iCs/>
                <w:color w:val="000000"/>
                <w:sz w:val="24"/>
              </w:rPr>
              <w:t>体系</w:t>
            </w:r>
            <w:r w:rsidR="00A868DF" w:rsidRPr="00B9240E">
              <w:rPr>
                <w:bCs/>
                <w:iCs/>
                <w:color w:val="000000"/>
                <w:sz w:val="24"/>
              </w:rPr>
              <w:t>开发</w:t>
            </w:r>
            <w:r w:rsidRPr="00B9240E">
              <w:rPr>
                <w:bCs/>
                <w:iCs/>
                <w:color w:val="000000"/>
                <w:sz w:val="24"/>
              </w:rPr>
              <w:t>医疗机构制剂</w:t>
            </w:r>
            <w:r w:rsidR="00A868DF" w:rsidRPr="00B9240E">
              <w:rPr>
                <w:bCs/>
                <w:iCs/>
                <w:color w:val="000000"/>
                <w:sz w:val="24"/>
              </w:rPr>
              <w:t>，进行相关</w:t>
            </w:r>
            <w:r w:rsidRPr="00B9240E">
              <w:rPr>
                <w:bCs/>
                <w:iCs/>
                <w:color w:val="000000"/>
                <w:sz w:val="24"/>
              </w:rPr>
              <w:t>眼科药品的研发、生产及销售。目前正在</w:t>
            </w:r>
            <w:r w:rsidR="00EE7600" w:rsidRPr="00B9240E">
              <w:rPr>
                <w:bCs/>
                <w:iCs/>
                <w:color w:val="000000"/>
                <w:sz w:val="24"/>
              </w:rPr>
              <w:t>推进</w:t>
            </w:r>
            <w:r w:rsidR="00E00C1A" w:rsidRPr="00B9240E">
              <w:rPr>
                <w:bCs/>
                <w:iCs/>
                <w:color w:val="000000"/>
                <w:sz w:val="24"/>
              </w:rPr>
              <w:t>具有较大市场潜力的</w:t>
            </w:r>
            <w:r w:rsidRPr="00B9240E">
              <w:rPr>
                <w:bCs/>
                <w:iCs/>
                <w:color w:val="000000"/>
                <w:sz w:val="24"/>
              </w:rPr>
              <w:t>儿童青少年近视</w:t>
            </w:r>
            <w:r w:rsidR="00E00C1A" w:rsidRPr="00B9240E">
              <w:rPr>
                <w:bCs/>
                <w:iCs/>
                <w:color w:val="000000"/>
                <w:sz w:val="24"/>
              </w:rPr>
              <w:t>相关滴眼剂</w:t>
            </w:r>
            <w:r w:rsidR="00A868DF" w:rsidRPr="00B9240E">
              <w:rPr>
                <w:bCs/>
                <w:iCs/>
                <w:color w:val="000000"/>
                <w:sz w:val="24"/>
              </w:rPr>
              <w:t>产品</w:t>
            </w:r>
            <w:r w:rsidR="00EE7600" w:rsidRPr="00B9240E">
              <w:rPr>
                <w:bCs/>
                <w:iCs/>
                <w:color w:val="000000"/>
                <w:sz w:val="24"/>
              </w:rPr>
              <w:t>开发工作，</w:t>
            </w:r>
            <w:r w:rsidR="00E00C1A" w:rsidRPr="00B9240E">
              <w:rPr>
                <w:bCs/>
                <w:iCs/>
                <w:color w:val="000000"/>
                <w:sz w:val="24"/>
              </w:rPr>
              <w:t>以及</w:t>
            </w:r>
            <w:r w:rsidR="004526BE" w:rsidRPr="00B9240E">
              <w:rPr>
                <w:bCs/>
                <w:iCs/>
                <w:color w:val="000000"/>
                <w:sz w:val="24"/>
              </w:rPr>
              <w:t>积极开发</w:t>
            </w:r>
            <w:r w:rsidR="00E00C1A" w:rsidRPr="00B9240E">
              <w:rPr>
                <w:bCs/>
                <w:iCs/>
                <w:color w:val="000000"/>
                <w:sz w:val="24"/>
              </w:rPr>
              <w:t>有较高临床</w:t>
            </w:r>
            <w:r w:rsidR="00E74328" w:rsidRPr="00B9240E">
              <w:rPr>
                <w:bCs/>
                <w:iCs/>
                <w:color w:val="000000"/>
                <w:sz w:val="24"/>
              </w:rPr>
              <w:t>价值和</w:t>
            </w:r>
            <w:r w:rsidR="00E00C1A" w:rsidRPr="00B9240E">
              <w:rPr>
                <w:bCs/>
                <w:iCs/>
                <w:color w:val="000000"/>
                <w:sz w:val="24"/>
              </w:rPr>
              <w:t>市场</w:t>
            </w:r>
            <w:r w:rsidR="00C268EE" w:rsidRPr="00B9240E">
              <w:rPr>
                <w:bCs/>
                <w:iCs/>
                <w:color w:val="000000"/>
                <w:sz w:val="24"/>
              </w:rPr>
              <w:t>空间</w:t>
            </w:r>
            <w:r w:rsidR="00E74328" w:rsidRPr="00B9240E">
              <w:rPr>
                <w:bCs/>
                <w:iCs/>
                <w:color w:val="000000"/>
                <w:sz w:val="24"/>
              </w:rPr>
              <w:t>的</w:t>
            </w:r>
            <w:r w:rsidRPr="00B9240E">
              <w:rPr>
                <w:bCs/>
                <w:iCs/>
                <w:color w:val="000000"/>
                <w:sz w:val="24"/>
              </w:rPr>
              <w:t>干眼症</w:t>
            </w:r>
            <w:r w:rsidR="004526BE" w:rsidRPr="00B9240E">
              <w:rPr>
                <w:bCs/>
                <w:iCs/>
                <w:color w:val="000000"/>
                <w:sz w:val="24"/>
              </w:rPr>
              <w:t>药物</w:t>
            </w:r>
            <w:r w:rsidRPr="00B9240E">
              <w:rPr>
                <w:bCs/>
                <w:iCs/>
                <w:color w:val="000000"/>
                <w:sz w:val="24"/>
              </w:rPr>
              <w:t>等一系列眼科</w:t>
            </w:r>
            <w:r w:rsidR="004526BE" w:rsidRPr="00B9240E">
              <w:rPr>
                <w:bCs/>
                <w:iCs/>
                <w:color w:val="000000"/>
                <w:sz w:val="24"/>
              </w:rPr>
              <w:t>产品</w:t>
            </w:r>
            <w:r w:rsidRPr="00B9240E">
              <w:rPr>
                <w:bCs/>
                <w:iCs/>
                <w:color w:val="000000"/>
                <w:sz w:val="24"/>
              </w:rPr>
              <w:t>。</w:t>
            </w:r>
          </w:p>
          <w:p w14:paraId="30D30B8D" w14:textId="209F9B9E" w:rsidR="00010512" w:rsidRPr="00B9240E" w:rsidRDefault="00F756D6">
            <w:pPr>
              <w:spacing w:line="480" w:lineRule="atLeast"/>
              <w:ind w:firstLineChars="200" w:firstLine="480"/>
              <w:rPr>
                <w:bCs/>
                <w:iCs/>
                <w:color w:val="000000"/>
                <w:sz w:val="24"/>
              </w:rPr>
            </w:pPr>
            <w:r w:rsidRPr="00B9240E">
              <w:rPr>
                <w:rFonts w:ascii="宋体" w:hAnsi="宋体" w:cs="宋体" w:hint="eastAsia"/>
                <w:bCs/>
                <w:iCs/>
                <w:color w:val="000000"/>
                <w:sz w:val="24"/>
              </w:rPr>
              <w:t>②</w:t>
            </w:r>
            <w:r w:rsidRPr="00B9240E">
              <w:rPr>
                <w:bCs/>
                <w:iCs/>
                <w:color w:val="000000"/>
                <w:sz w:val="24"/>
              </w:rPr>
              <w:t>公司参与设立的湖南慧盼医疗科技有限公司以新销售模式探索为主要目标，以冲洗液</w:t>
            </w:r>
            <w:r w:rsidR="00E00C1A" w:rsidRPr="00B9240E">
              <w:rPr>
                <w:bCs/>
                <w:iCs/>
                <w:color w:val="000000"/>
                <w:sz w:val="24"/>
              </w:rPr>
              <w:t>等护理类产品</w:t>
            </w:r>
            <w:r w:rsidRPr="00B9240E">
              <w:rPr>
                <w:bCs/>
                <w:iCs/>
                <w:color w:val="000000"/>
                <w:sz w:val="24"/>
              </w:rPr>
              <w:t>为主要</w:t>
            </w:r>
            <w:r w:rsidR="00E00C1A" w:rsidRPr="00B9240E">
              <w:rPr>
                <w:bCs/>
                <w:iCs/>
                <w:color w:val="000000"/>
                <w:sz w:val="24"/>
              </w:rPr>
              <w:t>品种</w:t>
            </w:r>
            <w:r w:rsidRPr="00B9240E">
              <w:rPr>
                <w:bCs/>
                <w:iCs/>
                <w:color w:val="000000"/>
                <w:sz w:val="24"/>
              </w:rPr>
              <w:t>，打造线下、线上联动的新型销售平台，开发</w:t>
            </w:r>
            <w:r w:rsidR="00764FA8" w:rsidRPr="00B9240E">
              <w:rPr>
                <w:bCs/>
                <w:iCs/>
                <w:color w:val="000000"/>
                <w:sz w:val="24"/>
              </w:rPr>
              <w:t>的</w:t>
            </w:r>
            <w:r w:rsidRPr="00B9240E">
              <w:rPr>
                <w:bCs/>
                <w:iCs/>
                <w:color w:val="000000"/>
                <w:sz w:val="24"/>
              </w:rPr>
              <w:t>硬性角膜接触镜冲洗液已上市销售。后续将持续开发硬性角膜接触镜衍生产品如润眼液、多功能护理液等。</w:t>
            </w:r>
          </w:p>
          <w:p w14:paraId="2B6EE083" w14:textId="69E6C010" w:rsidR="00010512" w:rsidRPr="00B9240E" w:rsidRDefault="00F756D6" w:rsidP="0048587B">
            <w:pPr>
              <w:spacing w:line="480" w:lineRule="atLeast"/>
              <w:ind w:firstLineChars="200" w:firstLine="480"/>
              <w:rPr>
                <w:bCs/>
                <w:iCs/>
                <w:color w:val="000000"/>
              </w:rPr>
            </w:pPr>
            <w:r w:rsidRPr="00B9240E">
              <w:rPr>
                <w:rFonts w:ascii="宋体" w:hAnsi="宋体" w:cs="宋体" w:hint="eastAsia"/>
                <w:bCs/>
                <w:iCs/>
                <w:color w:val="000000"/>
                <w:sz w:val="24"/>
              </w:rPr>
              <w:t>③</w:t>
            </w:r>
            <w:r w:rsidRPr="00B9240E">
              <w:rPr>
                <w:bCs/>
                <w:iCs/>
                <w:color w:val="000000"/>
                <w:sz w:val="24"/>
              </w:rPr>
              <w:t>公司凭借卡纳琳在甲状腺领域取得的高度认可，公司建立了聚焦甲状腺领域的头部平台</w:t>
            </w:r>
            <w:r w:rsidRPr="00B9240E">
              <w:rPr>
                <w:bCs/>
                <w:iCs/>
                <w:color w:val="000000"/>
                <w:sz w:val="24"/>
              </w:rPr>
              <w:t>-</w:t>
            </w:r>
            <w:r w:rsidR="0021522A" w:rsidRPr="00B9240E">
              <w:rPr>
                <w:bCs/>
                <w:iCs/>
                <w:color w:val="000000"/>
                <w:sz w:val="24"/>
              </w:rPr>
              <w:t>-</w:t>
            </w:r>
            <w:r w:rsidRPr="00B9240E">
              <w:rPr>
                <w:bCs/>
                <w:iCs/>
                <w:color w:val="000000"/>
                <w:sz w:val="24"/>
              </w:rPr>
              <w:t>i</w:t>
            </w:r>
            <w:r w:rsidRPr="00B9240E">
              <w:rPr>
                <w:bCs/>
                <w:iCs/>
                <w:color w:val="000000"/>
                <w:sz w:val="24"/>
              </w:rPr>
              <w:t>甲专线</w:t>
            </w:r>
            <w:r w:rsidR="0048587B" w:rsidRPr="00B9240E">
              <w:rPr>
                <w:bCs/>
                <w:iCs/>
                <w:color w:val="000000"/>
                <w:sz w:val="24"/>
              </w:rPr>
              <w:t>，利用卡纳琳在甲状腺领域形成的专家共识和已掌握的患者资源，加速医生、患者、平台三方良性互动，构建甲状腺疾病管理生态圈</w:t>
            </w:r>
            <w:r w:rsidR="0048587B" w:rsidRPr="00B9240E">
              <w:rPr>
                <w:bCs/>
                <w:iCs/>
                <w:color w:val="000000"/>
              </w:rPr>
              <w:t>。</w:t>
            </w:r>
            <w:r w:rsidRPr="00B9240E">
              <w:rPr>
                <w:bCs/>
                <w:iCs/>
                <w:color w:val="000000"/>
                <w:sz w:val="24"/>
              </w:rPr>
              <w:t>该平台联合各省市重点医院围绕患者甲状腺健康需求开展疾病管理服务，并逐步引进专用药品、保险、医美、营养强化剂、肿瘤早筛检测服务等。</w:t>
            </w:r>
          </w:p>
          <w:p w14:paraId="57A7D595" w14:textId="662774DF" w:rsidR="00010512" w:rsidRPr="00B9240E" w:rsidRDefault="00F756D6" w:rsidP="00D43226">
            <w:pPr>
              <w:spacing w:line="480" w:lineRule="atLeast"/>
              <w:rPr>
                <w:b/>
                <w:iCs/>
                <w:color w:val="000000"/>
                <w:sz w:val="24"/>
              </w:rPr>
            </w:pPr>
            <w:r w:rsidRPr="00B9240E">
              <w:rPr>
                <w:b/>
                <w:iCs/>
                <w:color w:val="000000"/>
                <w:sz w:val="24"/>
              </w:rPr>
              <w:t>3.</w:t>
            </w:r>
            <w:r w:rsidR="000F3D47" w:rsidRPr="00B9240E">
              <w:rPr>
                <w:b/>
                <w:iCs/>
                <w:color w:val="000000"/>
                <w:sz w:val="24"/>
              </w:rPr>
              <w:t>2</w:t>
            </w:r>
            <w:r w:rsidRPr="00B9240E">
              <w:rPr>
                <w:b/>
                <w:iCs/>
                <w:color w:val="000000"/>
                <w:sz w:val="24"/>
              </w:rPr>
              <w:t>创新</w:t>
            </w:r>
            <w:r w:rsidR="000F3D47" w:rsidRPr="00B9240E">
              <w:rPr>
                <w:b/>
                <w:iCs/>
                <w:color w:val="000000"/>
                <w:sz w:val="24"/>
              </w:rPr>
              <w:t>技术和产品储备情况</w:t>
            </w:r>
          </w:p>
          <w:p w14:paraId="5CB9A6B8" w14:textId="7920EB5B" w:rsidR="00010512" w:rsidRPr="00B9240E" w:rsidRDefault="00F756D6" w:rsidP="0021522A">
            <w:pPr>
              <w:spacing w:line="480" w:lineRule="atLeast"/>
              <w:ind w:firstLineChars="200" w:firstLine="480"/>
              <w:rPr>
                <w:bCs/>
                <w:iCs/>
                <w:color w:val="000000"/>
                <w:sz w:val="24"/>
              </w:rPr>
            </w:pPr>
            <w:r w:rsidRPr="00B9240E">
              <w:rPr>
                <w:rFonts w:ascii="宋体" w:hAnsi="宋体" w:cs="宋体" w:hint="eastAsia"/>
                <w:bCs/>
                <w:iCs/>
                <w:color w:val="000000"/>
                <w:sz w:val="24"/>
              </w:rPr>
              <w:t>①</w:t>
            </w:r>
            <w:r w:rsidR="00B22DE6" w:rsidRPr="00B9240E">
              <w:rPr>
                <w:bCs/>
                <w:iCs/>
                <w:color w:val="000000"/>
                <w:sz w:val="24"/>
              </w:rPr>
              <w:t>介绍公司控股子公司四川康德赛医疗科技有限公司自主研发的基于自体免疫细胞的个体化创新性细胞治疗产品的治疗原理</w:t>
            </w:r>
            <w:r w:rsidR="00A868DF" w:rsidRPr="00B9240E">
              <w:rPr>
                <w:bCs/>
                <w:iCs/>
                <w:color w:val="000000"/>
                <w:sz w:val="24"/>
              </w:rPr>
              <w:t>，</w:t>
            </w:r>
            <w:r w:rsidR="00B22DE6" w:rsidRPr="00B9240E">
              <w:rPr>
                <w:bCs/>
                <w:iCs/>
                <w:color w:val="000000"/>
                <w:sz w:val="24"/>
              </w:rPr>
              <w:t>对晚期卵巢肿瘤等相关适应症的研发情况</w:t>
            </w:r>
            <w:r w:rsidR="00A868DF" w:rsidRPr="00B9240E">
              <w:rPr>
                <w:bCs/>
                <w:iCs/>
                <w:color w:val="000000"/>
                <w:sz w:val="24"/>
              </w:rPr>
              <w:t>进行了简要介绍</w:t>
            </w:r>
            <w:r w:rsidR="00B22DE6" w:rsidRPr="00B9240E">
              <w:rPr>
                <w:bCs/>
                <w:iCs/>
                <w:color w:val="000000"/>
                <w:sz w:val="24"/>
              </w:rPr>
              <w:t>。</w:t>
            </w:r>
          </w:p>
          <w:p w14:paraId="4106193F" w14:textId="0CFC0D3E" w:rsidR="0021522A" w:rsidRPr="00B9240E" w:rsidRDefault="00F756D6">
            <w:pPr>
              <w:spacing w:line="480" w:lineRule="atLeast"/>
              <w:ind w:firstLineChars="200" w:firstLine="480"/>
              <w:rPr>
                <w:bCs/>
                <w:iCs/>
                <w:color w:val="000000"/>
                <w:sz w:val="24"/>
              </w:rPr>
            </w:pPr>
            <w:r w:rsidRPr="00B9240E">
              <w:rPr>
                <w:rFonts w:ascii="宋体" w:hAnsi="宋体" w:cs="宋体" w:hint="eastAsia"/>
                <w:bCs/>
                <w:iCs/>
                <w:color w:val="000000"/>
                <w:sz w:val="24"/>
              </w:rPr>
              <w:t>②</w:t>
            </w:r>
            <w:r w:rsidR="00B22DE6" w:rsidRPr="00B9240E">
              <w:rPr>
                <w:bCs/>
                <w:iCs/>
                <w:color w:val="000000"/>
                <w:sz w:val="24"/>
              </w:rPr>
              <w:t>介绍公司控股子公司四川瀛瑞医疗科技有限公司开发纳米炭升级产品纳米炭铁混悬注射液的治疗原理及基本情况，介绍纳米炭铁的作用机理、淋巴治疗作用、临床价值相关情况。纳米炭铁临床价值得到临床专家的认同，</w:t>
            </w:r>
            <w:r w:rsidR="00666630" w:rsidRPr="00B9240E">
              <w:rPr>
                <w:bCs/>
                <w:iCs/>
                <w:color w:val="000000"/>
                <w:sz w:val="24"/>
              </w:rPr>
              <w:t>该产品</w:t>
            </w:r>
            <w:r w:rsidR="00B22DE6" w:rsidRPr="00B9240E">
              <w:rPr>
                <w:bCs/>
                <w:iCs/>
                <w:color w:val="000000"/>
                <w:sz w:val="24"/>
              </w:rPr>
              <w:t>能够应用于乳</w:t>
            </w:r>
            <w:r w:rsidR="00B22DE6" w:rsidRPr="00B9240E">
              <w:rPr>
                <w:bCs/>
                <w:iCs/>
                <w:color w:val="000000"/>
                <w:sz w:val="24"/>
              </w:rPr>
              <w:lastRenderedPageBreak/>
              <w:t>癌、宫颈癌、肺癌、胃癌等实体癌。</w:t>
            </w:r>
          </w:p>
          <w:p w14:paraId="0B9D9E00" w14:textId="5C715163" w:rsidR="00010512" w:rsidRPr="00B9240E" w:rsidRDefault="0048587B" w:rsidP="0048587B">
            <w:pPr>
              <w:spacing w:line="480" w:lineRule="atLeast"/>
              <w:ind w:firstLineChars="200" w:firstLine="480"/>
              <w:rPr>
                <w:bCs/>
                <w:iCs/>
                <w:color w:val="000000"/>
                <w:sz w:val="24"/>
              </w:rPr>
            </w:pPr>
            <w:r w:rsidRPr="00B9240E">
              <w:rPr>
                <w:rFonts w:ascii="宋体" w:hAnsi="宋体" w:cs="宋体" w:hint="eastAsia"/>
                <w:bCs/>
                <w:iCs/>
                <w:color w:val="000000"/>
                <w:sz w:val="24"/>
              </w:rPr>
              <w:t>③</w:t>
            </w:r>
            <w:r w:rsidR="0019005E" w:rsidRPr="00B9240E">
              <w:rPr>
                <w:bCs/>
                <w:iCs/>
                <w:color w:val="000000"/>
                <w:sz w:val="24"/>
              </w:rPr>
              <w:t>介绍公司参股的蛋白组学技术</w:t>
            </w:r>
            <w:r w:rsidR="00A868DF" w:rsidRPr="00B9240E">
              <w:rPr>
                <w:bCs/>
                <w:iCs/>
                <w:color w:val="000000"/>
                <w:sz w:val="24"/>
              </w:rPr>
              <w:t>平台</w:t>
            </w:r>
            <w:r w:rsidR="000F3D47" w:rsidRPr="00B9240E">
              <w:rPr>
                <w:bCs/>
                <w:iCs/>
                <w:color w:val="000000"/>
                <w:sz w:val="24"/>
              </w:rPr>
              <w:t>相关情况</w:t>
            </w:r>
            <w:r w:rsidR="0019005E" w:rsidRPr="00B9240E">
              <w:rPr>
                <w:bCs/>
                <w:iCs/>
                <w:color w:val="000000"/>
                <w:sz w:val="24"/>
              </w:rPr>
              <w:t>，</w:t>
            </w:r>
            <w:r w:rsidR="0019005E" w:rsidRPr="00B9240E">
              <w:rPr>
                <w:bCs/>
                <w:iCs/>
                <w:color w:val="000000"/>
                <w:sz w:val="24"/>
              </w:rPr>
              <w:t>AglaeaPharm</w:t>
            </w:r>
            <w:r w:rsidR="0019005E" w:rsidRPr="00B9240E">
              <w:rPr>
                <w:bCs/>
                <w:iCs/>
                <w:color w:val="000000"/>
                <w:sz w:val="24"/>
              </w:rPr>
              <w:t>公司开发</w:t>
            </w:r>
            <w:r w:rsidR="004526BE" w:rsidRPr="00B9240E">
              <w:rPr>
                <w:bCs/>
                <w:iCs/>
                <w:color w:val="000000"/>
                <w:sz w:val="24"/>
              </w:rPr>
              <w:t>的</w:t>
            </w:r>
            <w:r w:rsidR="0019005E" w:rsidRPr="00B9240E">
              <w:rPr>
                <w:bCs/>
                <w:iCs/>
                <w:color w:val="000000"/>
                <w:sz w:val="24"/>
              </w:rPr>
              <w:t>蛋白组学技术开发情况介绍，</w:t>
            </w:r>
            <w:r w:rsidR="004526BE" w:rsidRPr="00B9240E">
              <w:rPr>
                <w:bCs/>
                <w:iCs/>
                <w:color w:val="000000"/>
                <w:sz w:val="24"/>
              </w:rPr>
              <w:t>利用</w:t>
            </w:r>
            <w:r w:rsidR="00A868DF" w:rsidRPr="00B9240E">
              <w:rPr>
                <w:bCs/>
                <w:iCs/>
                <w:color w:val="000000"/>
                <w:sz w:val="24"/>
              </w:rPr>
              <w:t>多</w:t>
            </w:r>
            <w:r w:rsidR="004526BE" w:rsidRPr="00B9240E">
              <w:rPr>
                <w:bCs/>
                <w:iCs/>
                <w:color w:val="000000"/>
                <w:sz w:val="24"/>
              </w:rPr>
              <w:t>靶点</w:t>
            </w:r>
            <w:r w:rsidR="00A868DF" w:rsidRPr="00B9240E">
              <w:rPr>
                <w:bCs/>
                <w:iCs/>
                <w:color w:val="000000"/>
                <w:sz w:val="24"/>
              </w:rPr>
              <w:t>筛选技术平台</w:t>
            </w:r>
            <w:r w:rsidR="0019005E" w:rsidRPr="00B9240E">
              <w:rPr>
                <w:bCs/>
                <w:iCs/>
                <w:color w:val="000000"/>
                <w:sz w:val="24"/>
              </w:rPr>
              <w:t>有助于大幅提升小分子药物筛选的效率和筛选效果</w:t>
            </w:r>
            <w:r w:rsidR="00A868DF" w:rsidRPr="00B9240E">
              <w:rPr>
                <w:bCs/>
                <w:iCs/>
                <w:color w:val="000000"/>
                <w:sz w:val="24"/>
              </w:rPr>
              <w:t>，有望形成小分子创新药物全新筛选路径</w:t>
            </w:r>
            <w:r w:rsidR="0019005E" w:rsidRPr="00B9240E">
              <w:rPr>
                <w:bCs/>
                <w:iCs/>
                <w:color w:val="000000"/>
                <w:sz w:val="24"/>
              </w:rPr>
              <w:t>。</w:t>
            </w:r>
          </w:p>
          <w:p w14:paraId="443B7527" w14:textId="77777777" w:rsidR="00AD49C1" w:rsidRPr="00B9240E" w:rsidRDefault="00AD49C1" w:rsidP="00AD49C1">
            <w:pPr>
              <w:numPr>
                <w:ilvl w:val="0"/>
                <w:numId w:val="1"/>
              </w:numPr>
              <w:spacing w:line="480" w:lineRule="atLeast"/>
              <w:rPr>
                <w:b/>
                <w:iCs/>
                <w:color w:val="000000"/>
                <w:sz w:val="24"/>
              </w:rPr>
            </w:pPr>
            <w:r w:rsidRPr="00B9240E">
              <w:rPr>
                <w:b/>
                <w:iCs/>
                <w:color w:val="000000"/>
                <w:sz w:val="24"/>
              </w:rPr>
              <w:t>公司与友芝友生物合作的基本情况</w:t>
            </w:r>
          </w:p>
          <w:p w14:paraId="06B8024D" w14:textId="2C94B92E" w:rsidR="004B73C1" w:rsidRPr="00B9240E" w:rsidRDefault="004B73C1" w:rsidP="004B73C1">
            <w:pPr>
              <w:spacing w:line="480" w:lineRule="atLeast"/>
              <w:ind w:firstLineChars="200" w:firstLine="480"/>
              <w:rPr>
                <w:bCs/>
                <w:iCs/>
                <w:color w:val="000000"/>
                <w:sz w:val="24"/>
              </w:rPr>
            </w:pPr>
            <w:r w:rsidRPr="00B9240E">
              <w:rPr>
                <w:bCs/>
                <w:iCs/>
                <w:color w:val="000000"/>
                <w:sz w:val="24"/>
              </w:rPr>
              <w:t>公司与武汉友芝友生物制药有限公司签订了《战略合作协议》，武汉友芝友</w:t>
            </w:r>
            <w:r w:rsidR="00B9240E">
              <w:rPr>
                <w:rFonts w:hint="eastAsia"/>
                <w:bCs/>
                <w:iCs/>
                <w:color w:val="000000"/>
                <w:sz w:val="24"/>
              </w:rPr>
              <w:t>生物</w:t>
            </w:r>
            <w:r w:rsidRPr="00B9240E">
              <w:rPr>
                <w:bCs/>
                <w:iCs/>
                <w:color w:val="000000"/>
                <w:sz w:val="24"/>
              </w:rPr>
              <w:t>拟将其正在研究开发的眼科类用药</w:t>
            </w:r>
            <w:r w:rsidRPr="00B9240E">
              <w:rPr>
                <w:bCs/>
                <w:iCs/>
                <w:color w:val="000000"/>
                <w:sz w:val="24"/>
              </w:rPr>
              <w:t>Y400</w:t>
            </w:r>
            <w:r w:rsidRPr="00B9240E">
              <w:rPr>
                <w:bCs/>
                <w:iCs/>
                <w:color w:val="000000"/>
                <w:sz w:val="24"/>
              </w:rPr>
              <w:t>（</w:t>
            </w:r>
            <w:r w:rsidRPr="00B9240E">
              <w:rPr>
                <w:bCs/>
                <w:iCs/>
                <w:color w:val="000000"/>
                <w:sz w:val="24"/>
              </w:rPr>
              <w:t>anti-VEGFA×anti-ANG2 BsAb</w:t>
            </w:r>
            <w:r w:rsidRPr="00B9240E">
              <w:rPr>
                <w:bCs/>
                <w:iCs/>
                <w:color w:val="000000"/>
                <w:sz w:val="24"/>
              </w:rPr>
              <w:t>）湿性黄斑变性（</w:t>
            </w:r>
            <w:r w:rsidRPr="00B9240E">
              <w:rPr>
                <w:bCs/>
                <w:iCs/>
                <w:color w:val="000000"/>
                <w:sz w:val="24"/>
              </w:rPr>
              <w:t>nAMD</w:t>
            </w:r>
            <w:r w:rsidRPr="00B9240E">
              <w:rPr>
                <w:bCs/>
                <w:iCs/>
                <w:color w:val="000000"/>
                <w:sz w:val="24"/>
              </w:rPr>
              <w:t>）双特异抗体药物</w:t>
            </w:r>
            <w:r w:rsidRPr="00B9240E">
              <w:rPr>
                <w:bCs/>
                <w:color w:val="000000"/>
                <w:sz w:val="24"/>
              </w:rPr>
              <w:t>（以下简称</w:t>
            </w:r>
            <w:r w:rsidRPr="00B9240E">
              <w:rPr>
                <w:bCs/>
                <w:color w:val="000000"/>
                <w:sz w:val="24"/>
              </w:rPr>
              <w:t>“Y400</w:t>
            </w:r>
            <w:r w:rsidRPr="00B9240E">
              <w:rPr>
                <w:bCs/>
                <w:color w:val="000000"/>
                <w:sz w:val="24"/>
              </w:rPr>
              <w:t>双抗药物</w:t>
            </w:r>
            <w:r w:rsidRPr="00B9240E">
              <w:rPr>
                <w:bCs/>
                <w:color w:val="000000"/>
                <w:sz w:val="24"/>
              </w:rPr>
              <w:t>”</w:t>
            </w:r>
            <w:r w:rsidRPr="00B9240E">
              <w:rPr>
                <w:bCs/>
                <w:color w:val="000000"/>
                <w:sz w:val="24"/>
              </w:rPr>
              <w:t>）</w:t>
            </w:r>
            <w:r w:rsidRPr="00B9240E">
              <w:rPr>
                <w:bCs/>
                <w:iCs/>
                <w:color w:val="000000"/>
                <w:sz w:val="24"/>
              </w:rPr>
              <w:t>在中国区（含中国大陆、香港特别行政区、澳门特别行政区、台湾地区）的优先销售代理权授予公司或其指定关联方。</w:t>
            </w:r>
          </w:p>
          <w:p w14:paraId="4C827F23" w14:textId="6D763B2E" w:rsidR="004B73C1" w:rsidRPr="00B9240E" w:rsidRDefault="004B73C1" w:rsidP="007A3687">
            <w:pPr>
              <w:spacing w:line="480" w:lineRule="atLeast"/>
              <w:ind w:firstLineChars="200" w:firstLine="480"/>
              <w:rPr>
                <w:bCs/>
                <w:iCs/>
                <w:color w:val="000000"/>
              </w:rPr>
            </w:pPr>
            <w:r w:rsidRPr="00B9240E">
              <w:rPr>
                <w:bCs/>
                <w:iCs/>
                <w:color w:val="000000"/>
                <w:sz w:val="24"/>
              </w:rPr>
              <w:t>公司邀请友芝友生物创始人周鹏飞教授</w:t>
            </w:r>
            <w:r w:rsidR="006A78A6" w:rsidRPr="00B9240E">
              <w:rPr>
                <w:bCs/>
                <w:iCs/>
                <w:color w:val="000000"/>
                <w:sz w:val="24"/>
              </w:rPr>
              <w:t>通过网络会议方式</w:t>
            </w:r>
            <w:r w:rsidRPr="00B9240E">
              <w:rPr>
                <w:bCs/>
                <w:iCs/>
                <w:color w:val="000000"/>
                <w:sz w:val="24"/>
              </w:rPr>
              <w:t>介绍友芝友生物</w:t>
            </w:r>
            <w:r w:rsidR="006A78A6" w:rsidRPr="00B9240E">
              <w:rPr>
                <w:bCs/>
                <w:iCs/>
                <w:color w:val="000000"/>
                <w:sz w:val="24"/>
              </w:rPr>
              <w:t>及</w:t>
            </w:r>
            <w:r w:rsidRPr="00B9240E">
              <w:rPr>
                <w:bCs/>
                <w:iCs/>
                <w:color w:val="000000"/>
                <w:sz w:val="24"/>
              </w:rPr>
              <w:t>正在开发的</w:t>
            </w:r>
            <w:r w:rsidRPr="00B9240E">
              <w:rPr>
                <w:bCs/>
                <w:iCs/>
                <w:color w:val="000000"/>
                <w:sz w:val="24"/>
              </w:rPr>
              <w:t>Y400</w:t>
            </w:r>
            <w:r w:rsidRPr="00B9240E">
              <w:rPr>
                <w:bCs/>
                <w:iCs/>
                <w:color w:val="000000"/>
                <w:sz w:val="24"/>
              </w:rPr>
              <w:t>双抗药物</w:t>
            </w:r>
            <w:r w:rsidR="006A78A6" w:rsidRPr="00B9240E">
              <w:rPr>
                <w:bCs/>
                <w:iCs/>
                <w:color w:val="000000"/>
                <w:sz w:val="24"/>
              </w:rPr>
              <w:t>基本情况。眼底新生血管疾病逐渐成为全球影响中老年人视力的重要眼科疾病，常见病症包括老年性黄斑变性（</w:t>
            </w:r>
            <w:r w:rsidR="006A78A6" w:rsidRPr="00B9240E">
              <w:rPr>
                <w:bCs/>
                <w:iCs/>
                <w:color w:val="000000"/>
                <w:sz w:val="24"/>
              </w:rPr>
              <w:t>AMD</w:t>
            </w:r>
            <w:r w:rsidR="006A78A6" w:rsidRPr="00B9240E">
              <w:rPr>
                <w:bCs/>
                <w:iCs/>
                <w:color w:val="000000"/>
                <w:sz w:val="24"/>
              </w:rPr>
              <w:t>）、糖尿病黄斑水肿（</w:t>
            </w:r>
            <w:r w:rsidR="006A78A6" w:rsidRPr="00B9240E">
              <w:rPr>
                <w:bCs/>
                <w:iCs/>
                <w:color w:val="000000"/>
                <w:sz w:val="24"/>
              </w:rPr>
              <w:t>DME</w:t>
            </w:r>
            <w:r w:rsidR="006A78A6" w:rsidRPr="00B9240E">
              <w:rPr>
                <w:bCs/>
                <w:iCs/>
                <w:color w:val="000000"/>
                <w:sz w:val="24"/>
              </w:rPr>
              <w:t>）、病理性近视（</w:t>
            </w:r>
            <w:r w:rsidR="006A78A6" w:rsidRPr="00B9240E">
              <w:rPr>
                <w:bCs/>
                <w:iCs/>
                <w:color w:val="000000"/>
                <w:sz w:val="24"/>
              </w:rPr>
              <w:t>PMCNV)</w:t>
            </w:r>
            <w:r w:rsidR="006A78A6" w:rsidRPr="00B9240E">
              <w:rPr>
                <w:bCs/>
                <w:iCs/>
                <w:color w:val="000000"/>
                <w:sz w:val="24"/>
              </w:rPr>
              <w:t>和视网膜静脉阻塞（</w:t>
            </w:r>
            <w:r w:rsidR="006A78A6" w:rsidRPr="00B9240E">
              <w:rPr>
                <w:bCs/>
                <w:iCs/>
                <w:color w:val="000000"/>
                <w:sz w:val="24"/>
              </w:rPr>
              <w:t>RVO</w:t>
            </w:r>
            <w:r w:rsidR="006A78A6" w:rsidRPr="00B9240E">
              <w:rPr>
                <w:bCs/>
                <w:iCs/>
                <w:color w:val="000000"/>
                <w:sz w:val="24"/>
              </w:rPr>
              <w:t>）等。由于新生血管增殖和渗漏所导致的眼底病变目前尚无较好的根治手段，</w:t>
            </w:r>
            <w:r w:rsidR="006A78A6" w:rsidRPr="00B9240E">
              <w:rPr>
                <w:bCs/>
                <w:iCs/>
                <w:color w:val="000000"/>
                <w:sz w:val="24"/>
              </w:rPr>
              <w:t>anti-VEGF</w:t>
            </w:r>
            <w:r w:rsidR="006A78A6" w:rsidRPr="00B9240E">
              <w:rPr>
                <w:bCs/>
                <w:iCs/>
                <w:color w:val="000000"/>
                <w:sz w:val="24"/>
              </w:rPr>
              <w:t>疗法需要反复玻璃体注射，对病人增加痛苦</w:t>
            </w:r>
            <w:r w:rsidR="006A78A6" w:rsidRPr="00B9240E">
              <w:rPr>
                <w:bCs/>
                <w:iCs/>
                <w:color w:val="000000"/>
                <w:sz w:val="24"/>
              </w:rPr>
              <w:t>,</w:t>
            </w:r>
            <w:r w:rsidR="006A78A6" w:rsidRPr="00B9240E">
              <w:rPr>
                <w:bCs/>
                <w:iCs/>
                <w:color w:val="000000"/>
                <w:sz w:val="24"/>
              </w:rPr>
              <w:t>且复发、难治和瘢痕化导致治疗效果并不尽如人意。</w:t>
            </w:r>
            <w:r w:rsidR="006A78A6" w:rsidRPr="00B9240E">
              <w:rPr>
                <w:bCs/>
                <w:iCs/>
                <w:color w:val="000000"/>
                <w:sz w:val="24"/>
              </w:rPr>
              <w:t>Y400</w:t>
            </w:r>
            <w:r w:rsidR="006A78A6" w:rsidRPr="00B9240E">
              <w:rPr>
                <w:bCs/>
                <w:iCs/>
                <w:color w:val="000000"/>
                <w:sz w:val="24"/>
              </w:rPr>
              <w:t>有助于提高视网膜血管稳定性，减少视网膜血管损伤和视网膜微血管炎性反应，双特异性抗体有望成为眼科药物开发的一个新突破点。</w:t>
            </w:r>
          </w:p>
        </w:tc>
      </w:tr>
      <w:tr w:rsidR="00010512" w:rsidRPr="00B9240E" w14:paraId="369F7C4E" w14:textId="77777777" w:rsidTr="0094517B">
        <w:tc>
          <w:tcPr>
            <w:tcW w:w="1908" w:type="dxa"/>
            <w:tcBorders>
              <w:top w:val="single" w:sz="4" w:space="0" w:color="auto"/>
              <w:left w:val="single" w:sz="4" w:space="0" w:color="auto"/>
              <w:bottom w:val="single" w:sz="4" w:space="0" w:color="auto"/>
              <w:right w:val="single" w:sz="4" w:space="0" w:color="auto"/>
            </w:tcBorders>
            <w:vAlign w:val="center"/>
          </w:tcPr>
          <w:p w14:paraId="4DA56F6D" w14:textId="77777777" w:rsidR="00010512" w:rsidRPr="00B9240E" w:rsidRDefault="00F756D6">
            <w:pPr>
              <w:spacing w:line="480" w:lineRule="atLeast"/>
              <w:rPr>
                <w:bCs/>
                <w:iCs/>
                <w:color w:val="000000"/>
                <w:sz w:val="24"/>
              </w:rPr>
            </w:pPr>
            <w:r w:rsidRPr="00B9240E">
              <w:rPr>
                <w:bCs/>
                <w:iCs/>
                <w:color w:val="000000"/>
                <w:sz w:val="24"/>
              </w:rPr>
              <w:lastRenderedPageBreak/>
              <w:t>附件清单（如有）</w:t>
            </w:r>
          </w:p>
        </w:tc>
        <w:tc>
          <w:tcPr>
            <w:tcW w:w="6614" w:type="dxa"/>
            <w:tcBorders>
              <w:top w:val="single" w:sz="4" w:space="0" w:color="auto"/>
              <w:left w:val="single" w:sz="4" w:space="0" w:color="auto"/>
              <w:bottom w:val="single" w:sz="4" w:space="0" w:color="auto"/>
              <w:right w:val="single" w:sz="4" w:space="0" w:color="auto"/>
            </w:tcBorders>
            <w:vAlign w:val="center"/>
          </w:tcPr>
          <w:p w14:paraId="5EB0905F" w14:textId="67774F03" w:rsidR="00010512" w:rsidRPr="00B9240E" w:rsidRDefault="00011693" w:rsidP="0094517B">
            <w:pPr>
              <w:spacing w:line="480" w:lineRule="atLeast"/>
              <w:rPr>
                <w:bCs/>
                <w:iCs/>
                <w:color w:val="000000"/>
                <w:sz w:val="24"/>
              </w:rPr>
            </w:pPr>
            <w:r w:rsidRPr="00B9240E">
              <w:rPr>
                <w:bCs/>
                <w:iCs/>
                <w:color w:val="000000"/>
                <w:sz w:val="24"/>
              </w:rPr>
              <w:t>无</w:t>
            </w:r>
          </w:p>
        </w:tc>
      </w:tr>
      <w:tr w:rsidR="00010512" w:rsidRPr="00B9240E" w14:paraId="49C656C5" w14:textId="77777777">
        <w:tc>
          <w:tcPr>
            <w:tcW w:w="1908" w:type="dxa"/>
            <w:tcBorders>
              <w:top w:val="single" w:sz="4" w:space="0" w:color="auto"/>
              <w:left w:val="single" w:sz="4" w:space="0" w:color="auto"/>
              <w:bottom w:val="single" w:sz="4" w:space="0" w:color="auto"/>
              <w:right w:val="single" w:sz="4" w:space="0" w:color="auto"/>
            </w:tcBorders>
            <w:vAlign w:val="center"/>
          </w:tcPr>
          <w:p w14:paraId="1F70967A" w14:textId="77777777" w:rsidR="00010512" w:rsidRPr="00B9240E" w:rsidRDefault="00F756D6">
            <w:pPr>
              <w:spacing w:line="480" w:lineRule="atLeast"/>
              <w:rPr>
                <w:bCs/>
                <w:iCs/>
                <w:color w:val="000000"/>
                <w:sz w:val="24"/>
              </w:rPr>
            </w:pPr>
            <w:r w:rsidRPr="00B9240E">
              <w:rPr>
                <w:bCs/>
                <w:iCs/>
                <w:color w:val="000000"/>
                <w:sz w:val="24"/>
              </w:rPr>
              <w:t>日期</w:t>
            </w:r>
          </w:p>
        </w:tc>
        <w:tc>
          <w:tcPr>
            <w:tcW w:w="6614" w:type="dxa"/>
            <w:tcBorders>
              <w:top w:val="single" w:sz="4" w:space="0" w:color="auto"/>
              <w:left w:val="single" w:sz="4" w:space="0" w:color="auto"/>
              <w:bottom w:val="single" w:sz="4" w:space="0" w:color="auto"/>
              <w:right w:val="single" w:sz="4" w:space="0" w:color="auto"/>
            </w:tcBorders>
          </w:tcPr>
          <w:p w14:paraId="3D498D81" w14:textId="6F46A68C" w:rsidR="00010512" w:rsidRPr="00B9240E" w:rsidRDefault="00F756D6">
            <w:pPr>
              <w:spacing w:line="480" w:lineRule="atLeast"/>
              <w:rPr>
                <w:bCs/>
                <w:iCs/>
                <w:color w:val="000000"/>
                <w:sz w:val="24"/>
              </w:rPr>
            </w:pPr>
            <w:r w:rsidRPr="00B9240E">
              <w:rPr>
                <w:bCs/>
                <w:iCs/>
                <w:color w:val="000000"/>
                <w:sz w:val="24"/>
              </w:rPr>
              <w:t>2020</w:t>
            </w:r>
            <w:r w:rsidRPr="00B9240E">
              <w:rPr>
                <w:bCs/>
                <w:iCs/>
                <w:color w:val="000000"/>
                <w:sz w:val="24"/>
              </w:rPr>
              <w:t>年</w:t>
            </w:r>
            <w:r w:rsidRPr="00B9240E">
              <w:rPr>
                <w:bCs/>
                <w:iCs/>
                <w:color w:val="000000"/>
                <w:sz w:val="24"/>
              </w:rPr>
              <w:t>9</w:t>
            </w:r>
            <w:r w:rsidRPr="00B9240E">
              <w:rPr>
                <w:bCs/>
                <w:iCs/>
                <w:color w:val="000000"/>
                <w:sz w:val="24"/>
              </w:rPr>
              <w:t>月</w:t>
            </w:r>
            <w:r w:rsidR="004E72DB" w:rsidRPr="00B9240E">
              <w:rPr>
                <w:bCs/>
                <w:iCs/>
                <w:color w:val="000000"/>
                <w:sz w:val="24"/>
              </w:rPr>
              <w:t>16</w:t>
            </w:r>
            <w:r w:rsidRPr="00B9240E">
              <w:rPr>
                <w:bCs/>
                <w:iCs/>
                <w:color w:val="000000"/>
                <w:sz w:val="24"/>
              </w:rPr>
              <w:t>日</w:t>
            </w:r>
          </w:p>
        </w:tc>
      </w:tr>
    </w:tbl>
    <w:p w14:paraId="58FB934A" w14:textId="77777777" w:rsidR="00010512" w:rsidRPr="00B9240E" w:rsidRDefault="00010512"/>
    <w:sectPr w:rsidR="00010512" w:rsidRPr="00B9240E" w:rsidSect="00EE76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E9A61" w14:textId="77777777" w:rsidR="00E765C8" w:rsidRDefault="00E765C8" w:rsidP="00E00C1A">
      <w:r>
        <w:separator/>
      </w:r>
    </w:p>
  </w:endnote>
  <w:endnote w:type="continuationSeparator" w:id="0">
    <w:p w14:paraId="517D2F68" w14:textId="77777777" w:rsidR="00E765C8" w:rsidRDefault="00E765C8" w:rsidP="00E0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F870B" w14:textId="77777777" w:rsidR="00E765C8" w:rsidRDefault="00E765C8" w:rsidP="00E00C1A">
      <w:r>
        <w:separator/>
      </w:r>
    </w:p>
  </w:footnote>
  <w:footnote w:type="continuationSeparator" w:id="0">
    <w:p w14:paraId="22B87EE1" w14:textId="77777777" w:rsidR="00E765C8" w:rsidRDefault="00E765C8" w:rsidP="00E00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4C0A2"/>
    <w:multiLevelType w:val="singleLevel"/>
    <w:tmpl w:val="1A14C0A2"/>
    <w:lvl w:ilvl="0">
      <w:start w:val="1"/>
      <w:numFmt w:val="decimal"/>
      <w:suff w:val="nothing"/>
      <w:lvlText w:val="%1、"/>
      <w:lvlJc w:val="left"/>
    </w:lvl>
  </w:abstractNum>
  <w:abstractNum w:abstractNumId="1" w15:restartNumberingAfterBreak="0">
    <w:nsid w:val="29A97BAA"/>
    <w:multiLevelType w:val="hybridMultilevel"/>
    <w:tmpl w:val="C63EF412"/>
    <w:lvl w:ilvl="0" w:tplc="F13E7228">
      <w:start w:val="1"/>
      <w:numFmt w:val="decimal"/>
      <w:lvlText w:val="%1、"/>
      <w:lvlJc w:val="left"/>
      <w:pPr>
        <w:ind w:left="400" w:hanging="4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FE54A22"/>
    <w:multiLevelType w:val="hybridMultilevel"/>
    <w:tmpl w:val="95E4CC9A"/>
    <w:lvl w:ilvl="0" w:tplc="E9A03268">
      <w:start w:val="1"/>
      <w:numFmt w:val="bullet"/>
      <w:lvlText w:val="•"/>
      <w:lvlJc w:val="left"/>
      <w:pPr>
        <w:tabs>
          <w:tab w:val="num" w:pos="720"/>
        </w:tabs>
        <w:ind w:left="720" w:hanging="360"/>
      </w:pPr>
      <w:rPr>
        <w:rFonts w:ascii="Arial" w:hAnsi="Arial" w:hint="default"/>
      </w:rPr>
    </w:lvl>
    <w:lvl w:ilvl="1" w:tplc="46B4FB5A" w:tentative="1">
      <w:start w:val="1"/>
      <w:numFmt w:val="bullet"/>
      <w:lvlText w:val="•"/>
      <w:lvlJc w:val="left"/>
      <w:pPr>
        <w:tabs>
          <w:tab w:val="num" w:pos="1440"/>
        </w:tabs>
        <w:ind w:left="1440" w:hanging="360"/>
      </w:pPr>
      <w:rPr>
        <w:rFonts w:ascii="Arial" w:hAnsi="Arial" w:hint="default"/>
      </w:rPr>
    </w:lvl>
    <w:lvl w:ilvl="2" w:tplc="5AFE3DB4" w:tentative="1">
      <w:start w:val="1"/>
      <w:numFmt w:val="bullet"/>
      <w:lvlText w:val="•"/>
      <w:lvlJc w:val="left"/>
      <w:pPr>
        <w:tabs>
          <w:tab w:val="num" w:pos="2160"/>
        </w:tabs>
        <w:ind w:left="2160" w:hanging="360"/>
      </w:pPr>
      <w:rPr>
        <w:rFonts w:ascii="Arial" w:hAnsi="Arial" w:hint="default"/>
      </w:rPr>
    </w:lvl>
    <w:lvl w:ilvl="3" w:tplc="A07665BC" w:tentative="1">
      <w:start w:val="1"/>
      <w:numFmt w:val="bullet"/>
      <w:lvlText w:val="•"/>
      <w:lvlJc w:val="left"/>
      <w:pPr>
        <w:tabs>
          <w:tab w:val="num" w:pos="2880"/>
        </w:tabs>
        <w:ind w:left="2880" w:hanging="360"/>
      </w:pPr>
      <w:rPr>
        <w:rFonts w:ascii="Arial" w:hAnsi="Arial" w:hint="default"/>
      </w:rPr>
    </w:lvl>
    <w:lvl w:ilvl="4" w:tplc="5BAC7000" w:tentative="1">
      <w:start w:val="1"/>
      <w:numFmt w:val="bullet"/>
      <w:lvlText w:val="•"/>
      <w:lvlJc w:val="left"/>
      <w:pPr>
        <w:tabs>
          <w:tab w:val="num" w:pos="3600"/>
        </w:tabs>
        <w:ind w:left="3600" w:hanging="360"/>
      </w:pPr>
      <w:rPr>
        <w:rFonts w:ascii="Arial" w:hAnsi="Arial" w:hint="default"/>
      </w:rPr>
    </w:lvl>
    <w:lvl w:ilvl="5" w:tplc="498CD540" w:tentative="1">
      <w:start w:val="1"/>
      <w:numFmt w:val="bullet"/>
      <w:lvlText w:val="•"/>
      <w:lvlJc w:val="left"/>
      <w:pPr>
        <w:tabs>
          <w:tab w:val="num" w:pos="4320"/>
        </w:tabs>
        <w:ind w:left="4320" w:hanging="360"/>
      </w:pPr>
      <w:rPr>
        <w:rFonts w:ascii="Arial" w:hAnsi="Arial" w:hint="default"/>
      </w:rPr>
    </w:lvl>
    <w:lvl w:ilvl="6" w:tplc="A84AB588" w:tentative="1">
      <w:start w:val="1"/>
      <w:numFmt w:val="bullet"/>
      <w:lvlText w:val="•"/>
      <w:lvlJc w:val="left"/>
      <w:pPr>
        <w:tabs>
          <w:tab w:val="num" w:pos="5040"/>
        </w:tabs>
        <w:ind w:left="5040" w:hanging="360"/>
      </w:pPr>
      <w:rPr>
        <w:rFonts w:ascii="Arial" w:hAnsi="Arial" w:hint="default"/>
      </w:rPr>
    </w:lvl>
    <w:lvl w:ilvl="7" w:tplc="90966094" w:tentative="1">
      <w:start w:val="1"/>
      <w:numFmt w:val="bullet"/>
      <w:lvlText w:val="•"/>
      <w:lvlJc w:val="left"/>
      <w:pPr>
        <w:tabs>
          <w:tab w:val="num" w:pos="5760"/>
        </w:tabs>
        <w:ind w:left="5760" w:hanging="360"/>
      </w:pPr>
      <w:rPr>
        <w:rFonts w:ascii="Arial" w:hAnsi="Arial" w:hint="default"/>
      </w:rPr>
    </w:lvl>
    <w:lvl w:ilvl="8" w:tplc="7484908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4DF9"/>
    <w:rsid w:val="00010512"/>
    <w:rsid w:val="00011693"/>
    <w:rsid w:val="00016333"/>
    <w:rsid w:val="00021A91"/>
    <w:rsid w:val="00051FF9"/>
    <w:rsid w:val="00097DB9"/>
    <w:rsid w:val="000E05FE"/>
    <w:rsid w:val="000E24FF"/>
    <w:rsid w:val="000F3D47"/>
    <w:rsid w:val="00134486"/>
    <w:rsid w:val="00184B04"/>
    <w:rsid w:val="0019005E"/>
    <w:rsid w:val="001C0D82"/>
    <w:rsid w:val="002001A6"/>
    <w:rsid w:val="0021522A"/>
    <w:rsid w:val="00254161"/>
    <w:rsid w:val="00276DE7"/>
    <w:rsid w:val="002C0D63"/>
    <w:rsid w:val="0030629F"/>
    <w:rsid w:val="00355F69"/>
    <w:rsid w:val="00361479"/>
    <w:rsid w:val="00373355"/>
    <w:rsid w:val="0037730E"/>
    <w:rsid w:val="004526BE"/>
    <w:rsid w:val="00463FCA"/>
    <w:rsid w:val="0048587B"/>
    <w:rsid w:val="004B038E"/>
    <w:rsid w:val="004B73C1"/>
    <w:rsid w:val="004C0975"/>
    <w:rsid w:val="004E72DB"/>
    <w:rsid w:val="004F3E5E"/>
    <w:rsid w:val="00587B8F"/>
    <w:rsid w:val="005A1FB3"/>
    <w:rsid w:val="005E7E35"/>
    <w:rsid w:val="006330CD"/>
    <w:rsid w:val="00666630"/>
    <w:rsid w:val="00695E1D"/>
    <w:rsid w:val="006A78A6"/>
    <w:rsid w:val="006C582F"/>
    <w:rsid w:val="006E14F6"/>
    <w:rsid w:val="006F0546"/>
    <w:rsid w:val="00703ADF"/>
    <w:rsid w:val="007049B4"/>
    <w:rsid w:val="00743A37"/>
    <w:rsid w:val="00762C14"/>
    <w:rsid w:val="00764FA8"/>
    <w:rsid w:val="00770621"/>
    <w:rsid w:val="00782AAE"/>
    <w:rsid w:val="00790D32"/>
    <w:rsid w:val="007A1255"/>
    <w:rsid w:val="007A3687"/>
    <w:rsid w:val="007C0D87"/>
    <w:rsid w:val="00817635"/>
    <w:rsid w:val="00823FEC"/>
    <w:rsid w:val="00880BE7"/>
    <w:rsid w:val="00886ED2"/>
    <w:rsid w:val="008A6D41"/>
    <w:rsid w:val="008F4DF9"/>
    <w:rsid w:val="00912EA9"/>
    <w:rsid w:val="0094517B"/>
    <w:rsid w:val="00957237"/>
    <w:rsid w:val="009678B4"/>
    <w:rsid w:val="009818DF"/>
    <w:rsid w:val="0099051B"/>
    <w:rsid w:val="009D45B8"/>
    <w:rsid w:val="00A05818"/>
    <w:rsid w:val="00A3712D"/>
    <w:rsid w:val="00A62E50"/>
    <w:rsid w:val="00A868DF"/>
    <w:rsid w:val="00AA463D"/>
    <w:rsid w:val="00AD49C1"/>
    <w:rsid w:val="00AF794A"/>
    <w:rsid w:val="00B22DE6"/>
    <w:rsid w:val="00B231A9"/>
    <w:rsid w:val="00B32DAE"/>
    <w:rsid w:val="00B7137C"/>
    <w:rsid w:val="00B8744A"/>
    <w:rsid w:val="00B9240E"/>
    <w:rsid w:val="00B92896"/>
    <w:rsid w:val="00BB640D"/>
    <w:rsid w:val="00BC5D3E"/>
    <w:rsid w:val="00BD3C92"/>
    <w:rsid w:val="00BD6F8E"/>
    <w:rsid w:val="00BE3CC4"/>
    <w:rsid w:val="00BF2C50"/>
    <w:rsid w:val="00BF427C"/>
    <w:rsid w:val="00BF5FCA"/>
    <w:rsid w:val="00C268EE"/>
    <w:rsid w:val="00C61C09"/>
    <w:rsid w:val="00C8186D"/>
    <w:rsid w:val="00CA1505"/>
    <w:rsid w:val="00CE3C4A"/>
    <w:rsid w:val="00D00D29"/>
    <w:rsid w:val="00D43226"/>
    <w:rsid w:val="00D92739"/>
    <w:rsid w:val="00D975CF"/>
    <w:rsid w:val="00E00C1A"/>
    <w:rsid w:val="00E018AE"/>
    <w:rsid w:val="00E62C7D"/>
    <w:rsid w:val="00E74328"/>
    <w:rsid w:val="00E765C8"/>
    <w:rsid w:val="00E76955"/>
    <w:rsid w:val="00E76B91"/>
    <w:rsid w:val="00EE7600"/>
    <w:rsid w:val="00F10D5B"/>
    <w:rsid w:val="00F15AE8"/>
    <w:rsid w:val="00F31A7D"/>
    <w:rsid w:val="00F50E3C"/>
    <w:rsid w:val="00F73F4C"/>
    <w:rsid w:val="00F756D6"/>
    <w:rsid w:val="00FE13FC"/>
    <w:rsid w:val="065D12CB"/>
    <w:rsid w:val="0F443E15"/>
    <w:rsid w:val="10D440F6"/>
    <w:rsid w:val="169625DB"/>
    <w:rsid w:val="231D6286"/>
    <w:rsid w:val="25794905"/>
    <w:rsid w:val="2CA60498"/>
    <w:rsid w:val="2CA959FD"/>
    <w:rsid w:val="358A0835"/>
    <w:rsid w:val="3E5A60C3"/>
    <w:rsid w:val="47ED41D1"/>
    <w:rsid w:val="49E06214"/>
    <w:rsid w:val="4F8E57C6"/>
    <w:rsid w:val="520C36DF"/>
    <w:rsid w:val="6A460810"/>
    <w:rsid w:val="6A8E63FA"/>
    <w:rsid w:val="6B5A4E7C"/>
    <w:rsid w:val="6BD31449"/>
    <w:rsid w:val="74054029"/>
    <w:rsid w:val="79960D15"/>
    <w:rsid w:val="7CF40D5A"/>
    <w:rsid w:val="7F926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9298D"/>
  <w15:docId w15:val="{F476C4DD-EE36-4ACB-92AD-2423B5A02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semiHidden/>
    <w:unhideWhenUsed/>
    <w:pPr>
      <w:spacing w:beforeAutospacing="1" w:afterAutospacing="1"/>
      <w:jc w:val="left"/>
    </w:pPr>
    <w:rPr>
      <w:kern w:val="0"/>
      <w:sz w:val="24"/>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Balloon Text"/>
    <w:basedOn w:val="a"/>
    <w:link w:val="a9"/>
    <w:uiPriority w:val="99"/>
    <w:semiHidden/>
    <w:unhideWhenUsed/>
    <w:rsid w:val="00EE7600"/>
    <w:rPr>
      <w:sz w:val="18"/>
      <w:szCs w:val="18"/>
    </w:rPr>
  </w:style>
  <w:style w:type="character" w:customStyle="1" w:styleId="a9">
    <w:name w:val="批注框文本 字符"/>
    <w:basedOn w:val="a0"/>
    <w:link w:val="a8"/>
    <w:uiPriority w:val="99"/>
    <w:semiHidden/>
    <w:rsid w:val="00EE7600"/>
    <w:rPr>
      <w:kern w:val="2"/>
      <w:sz w:val="18"/>
      <w:szCs w:val="18"/>
    </w:rPr>
  </w:style>
  <w:style w:type="paragraph" w:styleId="aa">
    <w:name w:val="Revision"/>
    <w:hidden/>
    <w:uiPriority w:val="99"/>
    <w:semiHidden/>
    <w:rsid w:val="00016333"/>
    <w:rPr>
      <w:kern w:val="2"/>
      <w:sz w:val="21"/>
      <w:szCs w:val="24"/>
    </w:rPr>
  </w:style>
  <w:style w:type="character" w:styleId="ab">
    <w:name w:val="annotation reference"/>
    <w:basedOn w:val="a0"/>
    <w:uiPriority w:val="99"/>
    <w:semiHidden/>
    <w:unhideWhenUsed/>
    <w:rsid w:val="00016333"/>
    <w:rPr>
      <w:sz w:val="21"/>
      <w:szCs w:val="21"/>
    </w:rPr>
  </w:style>
  <w:style w:type="paragraph" w:styleId="ac">
    <w:name w:val="annotation text"/>
    <w:basedOn w:val="a"/>
    <w:link w:val="ad"/>
    <w:uiPriority w:val="99"/>
    <w:semiHidden/>
    <w:unhideWhenUsed/>
    <w:rsid w:val="00016333"/>
    <w:pPr>
      <w:jc w:val="left"/>
    </w:pPr>
  </w:style>
  <w:style w:type="character" w:customStyle="1" w:styleId="ad">
    <w:name w:val="批注文字 字符"/>
    <w:basedOn w:val="a0"/>
    <w:link w:val="ac"/>
    <w:uiPriority w:val="99"/>
    <w:semiHidden/>
    <w:rsid w:val="00016333"/>
    <w:rPr>
      <w:kern w:val="2"/>
      <w:sz w:val="21"/>
      <w:szCs w:val="24"/>
    </w:rPr>
  </w:style>
  <w:style w:type="paragraph" w:styleId="ae">
    <w:name w:val="annotation subject"/>
    <w:basedOn w:val="ac"/>
    <w:next w:val="ac"/>
    <w:link w:val="af"/>
    <w:uiPriority w:val="99"/>
    <w:semiHidden/>
    <w:unhideWhenUsed/>
    <w:rsid w:val="00016333"/>
    <w:rPr>
      <w:b/>
      <w:bCs/>
    </w:rPr>
  </w:style>
  <w:style w:type="character" w:customStyle="1" w:styleId="af">
    <w:name w:val="批注主题 字符"/>
    <w:basedOn w:val="ad"/>
    <w:link w:val="ae"/>
    <w:uiPriority w:val="99"/>
    <w:semiHidden/>
    <w:rsid w:val="00016333"/>
    <w:rPr>
      <w:b/>
      <w:bCs/>
      <w:kern w:val="2"/>
      <w:sz w:val="21"/>
      <w:szCs w:val="24"/>
    </w:rPr>
  </w:style>
  <w:style w:type="character" w:styleId="af0">
    <w:name w:val="Hyperlink"/>
    <w:basedOn w:val="a0"/>
    <w:uiPriority w:val="99"/>
    <w:semiHidden/>
    <w:unhideWhenUsed/>
    <w:rsid w:val="00817635"/>
    <w:rPr>
      <w:color w:val="0000FF"/>
      <w:u w:val="single"/>
    </w:rPr>
  </w:style>
  <w:style w:type="character" w:styleId="af1">
    <w:name w:val="Emphasis"/>
    <w:basedOn w:val="a0"/>
    <w:uiPriority w:val="20"/>
    <w:qFormat/>
    <w:rsid w:val="00817635"/>
    <w:rPr>
      <w:i/>
      <w:iCs/>
    </w:rPr>
  </w:style>
  <w:style w:type="paragraph" w:styleId="af2">
    <w:name w:val="List Paragraph"/>
    <w:basedOn w:val="a"/>
    <w:uiPriority w:val="34"/>
    <w:qFormat/>
    <w:rsid w:val="006A78A6"/>
    <w:pPr>
      <w:widowControl/>
      <w:ind w:firstLineChars="200" w:firstLine="420"/>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820820">
      <w:bodyDiv w:val="1"/>
      <w:marLeft w:val="0"/>
      <w:marRight w:val="0"/>
      <w:marTop w:val="0"/>
      <w:marBottom w:val="0"/>
      <w:divBdr>
        <w:top w:val="none" w:sz="0" w:space="0" w:color="auto"/>
        <w:left w:val="none" w:sz="0" w:space="0" w:color="auto"/>
        <w:bottom w:val="none" w:sz="0" w:space="0" w:color="auto"/>
        <w:right w:val="none" w:sz="0" w:space="0" w:color="auto"/>
      </w:divBdr>
    </w:div>
    <w:div w:id="755128205">
      <w:bodyDiv w:val="1"/>
      <w:marLeft w:val="0"/>
      <w:marRight w:val="0"/>
      <w:marTop w:val="0"/>
      <w:marBottom w:val="0"/>
      <w:divBdr>
        <w:top w:val="none" w:sz="0" w:space="0" w:color="auto"/>
        <w:left w:val="none" w:sz="0" w:space="0" w:color="auto"/>
        <w:bottom w:val="none" w:sz="0" w:space="0" w:color="auto"/>
        <w:right w:val="none" w:sz="0" w:space="0" w:color="auto"/>
      </w:divBdr>
    </w:div>
    <w:div w:id="934824007">
      <w:bodyDiv w:val="1"/>
      <w:marLeft w:val="0"/>
      <w:marRight w:val="0"/>
      <w:marTop w:val="0"/>
      <w:marBottom w:val="0"/>
      <w:divBdr>
        <w:top w:val="none" w:sz="0" w:space="0" w:color="auto"/>
        <w:left w:val="none" w:sz="0" w:space="0" w:color="auto"/>
        <w:bottom w:val="none" w:sz="0" w:space="0" w:color="auto"/>
        <w:right w:val="none" w:sz="0" w:space="0" w:color="auto"/>
      </w:divBdr>
    </w:div>
    <w:div w:id="1039403160">
      <w:bodyDiv w:val="1"/>
      <w:marLeft w:val="0"/>
      <w:marRight w:val="0"/>
      <w:marTop w:val="0"/>
      <w:marBottom w:val="0"/>
      <w:divBdr>
        <w:top w:val="none" w:sz="0" w:space="0" w:color="auto"/>
        <w:left w:val="none" w:sz="0" w:space="0" w:color="auto"/>
        <w:bottom w:val="none" w:sz="0" w:space="0" w:color="auto"/>
        <w:right w:val="none" w:sz="0" w:space="0" w:color="auto"/>
      </w:divBdr>
    </w:div>
    <w:div w:id="1145509925">
      <w:bodyDiv w:val="1"/>
      <w:marLeft w:val="0"/>
      <w:marRight w:val="0"/>
      <w:marTop w:val="0"/>
      <w:marBottom w:val="0"/>
      <w:divBdr>
        <w:top w:val="none" w:sz="0" w:space="0" w:color="auto"/>
        <w:left w:val="none" w:sz="0" w:space="0" w:color="auto"/>
        <w:bottom w:val="none" w:sz="0" w:space="0" w:color="auto"/>
        <w:right w:val="none" w:sz="0" w:space="0" w:color="auto"/>
      </w:divBdr>
      <w:divsChild>
        <w:div w:id="953903437">
          <w:marLeft w:val="446"/>
          <w:marRight w:val="0"/>
          <w:marTop w:val="0"/>
          <w:marBottom w:val="0"/>
          <w:divBdr>
            <w:top w:val="none" w:sz="0" w:space="0" w:color="auto"/>
            <w:left w:val="none" w:sz="0" w:space="0" w:color="auto"/>
            <w:bottom w:val="none" w:sz="0" w:space="0" w:color="auto"/>
            <w:right w:val="none" w:sz="0" w:space="0" w:color="auto"/>
          </w:divBdr>
        </w:div>
      </w:divsChild>
    </w:div>
    <w:div w:id="1437098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anyancha.com/company/20255195" TargetMode="External"/><Relationship Id="rId13" Type="http://schemas.openxmlformats.org/officeDocument/2006/relationships/hyperlink" Target="https://www.tianyancha.com/company/234035646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ianyancha.com/company/321409968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ianyancha.com/company/235069402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ianyancha.com/company/2370385799" TargetMode="External"/><Relationship Id="rId4" Type="http://schemas.openxmlformats.org/officeDocument/2006/relationships/settings" Target="settings.xml"/><Relationship Id="rId9" Type="http://schemas.openxmlformats.org/officeDocument/2006/relationships/hyperlink" Target="https://www.tianyancha.com/company/514106961" TargetMode="External"/><Relationship Id="rId14" Type="http://schemas.openxmlformats.org/officeDocument/2006/relationships/hyperlink" Target="https://www.tianyancha.com/company/235369262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475</Words>
  <Characters>2708</Characters>
  <Application>Microsoft Office Word</Application>
  <DocSecurity>0</DocSecurity>
  <Lines>22</Lines>
  <Paragraphs>6</Paragraphs>
  <ScaleCrop>false</ScaleCrop>
  <Company>cd</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崔丹</dc:creator>
  <cp:lastModifiedBy>chenfeng@cqlummy.com</cp:lastModifiedBy>
  <cp:revision>9</cp:revision>
  <cp:lastPrinted>2020-09-02T08:48:00Z</cp:lastPrinted>
  <dcterms:created xsi:type="dcterms:W3CDTF">2020-09-18T09:33:00Z</dcterms:created>
  <dcterms:modified xsi:type="dcterms:W3CDTF">2020-09-18T09:40:00Z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