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jc w:val="center"/>
        <w:rPr>
          <w:rFonts w:cs="楷体_GB2312" w:asciiTheme="minorEastAsia" w:hAnsiTheme="minorEastAsia"/>
          <w:b/>
          <w:bCs/>
          <w:iCs/>
          <w:color w:val="000000"/>
          <w:sz w:val="30"/>
          <w:szCs w:val="30"/>
        </w:rPr>
      </w:pPr>
      <w:r>
        <w:rPr>
          <w:rFonts w:hint="eastAsia" w:cs="楷体_GB2312" w:asciiTheme="minorEastAsia" w:hAnsiTheme="minorEastAsia"/>
          <w:b/>
          <w:bCs/>
          <w:iCs/>
          <w:color w:val="000000"/>
          <w:sz w:val="30"/>
          <w:szCs w:val="30"/>
        </w:rPr>
        <w:t>深圳市联得自动化装备股份有限公司</w:t>
      </w:r>
    </w:p>
    <w:p>
      <w:pPr>
        <w:spacing w:before="156" w:beforeLines="50" w:after="156" w:afterLines="50" w:line="460" w:lineRule="exact"/>
        <w:jc w:val="center"/>
        <w:rPr>
          <w:rFonts w:cs="Times New Roman" w:asciiTheme="minorEastAsia" w:hAnsiTheme="minorEastAsia"/>
          <w:b/>
          <w:bCs/>
          <w:iCs/>
          <w:color w:val="000000"/>
          <w:sz w:val="30"/>
          <w:szCs w:val="30"/>
        </w:rPr>
      </w:pPr>
      <w:r>
        <w:rPr>
          <w:rFonts w:hint="eastAsia" w:cs="楷体_GB2312" w:asciiTheme="minorEastAsia" w:hAnsiTheme="minorEastAsia"/>
          <w:b/>
          <w:bCs/>
          <w:iCs/>
          <w:color w:val="000000"/>
          <w:sz w:val="30"/>
          <w:szCs w:val="30"/>
        </w:rPr>
        <w:t>投资者关系活动记录表</w:t>
      </w:r>
    </w:p>
    <w:p>
      <w:pPr>
        <w:spacing w:before="156" w:beforeLines="50" w:after="156" w:afterLines="50" w:line="460" w:lineRule="exact"/>
        <w:rPr>
          <w:rFonts w:ascii="Times New Roman" w:hAnsi="Times New Roman" w:cs="Times New Roman"/>
          <w:bCs/>
          <w:iCs/>
          <w:color w:val="000000"/>
          <w:szCs w:val="21"/>
        </w:rPr>
      </w:pPr>
      <w:r>
        <w:rPr>
          <w:rFonts w:ascii="Times New Roman" w:cs="Times New Roman" w:hAnsiTheme="minorEastAsia"/>
          <w:bCs/>
          <w:iCs/>
          <w:color w:val="000000"/>
          <w:szCs w:val="21"/>
        </w:rPr>
        <w:t>证券简称：联得装备</w:t>
      </w:r>
      <w:r>
        <w:rPr>
          <w:rFonts w:ascii="Times New Roman" w:hAnsi="Times New Roman" w:cs="Times New Roman"/>
          <w:bCs/>
          <w:iCs/>
          <w:color w:val="000000"/>
          <w:szCs w:val="21"/>
        </w:rPr>
        <w:t xml:space="preserve">               </w:t>
      </w:r>
      <w:r>
        <w:rPr>
          <w:rFonts w:ascii="Times New Roman" w:cs="Times New Roman" w:hAnsiTheme="minorEastAsia"/>
          <w:bCs/>
          <w:iCs/>
          <w:color w:val="000000"/>
          <w:szCs w:val="21"/>
        </w:rPr>
        <w:t>证券代码：</w:t>
      </w:r>
      <w:r>
        <w:rPr>
          <w:rFonts w:ascii="Times New Roman" w:hAnsi="Times New Roman" w:cs="Times New Roman"/>
          <w:bCs/>
          <w:iCs/>
          <w:color w:val="000000"/>
          <w:szCs w:val="21"/>
        </w:rPr>
        <w:t xml:space="preserve">300545               </w:t>
      </w:r>
      <w:r>
        <w:rPr>
          <w:rFonts w:ascii="Times New Roman" w:cs="Times New Roman" w:hAnsiTheme="minorEastAsia"/>
          <w:bCs/>
          <w:iCs/>
          <w:color w:val="000000"/>
          <w:szCs w:val="21"/>
        </w:rPr>
        <w:t>编号：</w:t>
      </w:r>
      <w:r>
        <w:rPr>
          <w:rFonts w:hint="eastAsia" w:ascii="Times New Roman" w:hAnsi="Times New Roman" w:cs="Times New Roman"/>
          <w:bCs/>
          <w:iCs/>
          <w:color w:val="000000"/>
          <w:szCs w:val="21"/>
        </w:rPr>
        <w:t>2020-004</w:t>
      </w:r>
    </w:p>
    <w:tbl>
      <w:tblPr>
        <w:tblStyle w:val="5"/>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5" w:type="dxa"/>
            <w:tcBorders>
              <w:top w:val="single" w:color="auto" w:sz="4" w:space="0"/>
              <w:left w:val="single" w:color="auto" w:sz="4" w:space="0"/>
              <w:bottom w:val="single" w:color="auto" w:sz="4" w:space="0"/>
              <w:right w:val="single" w:color="auto" w:sz="4" w:space="0"/>
            </w:tcBorders>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投资者关系活动类别</w:t>
            </w:r>
          </w:p>
          <w:p>
            <w:pPr>
              <w:spacing w:line="460" w:lineRule="exact"/>
              <w:jc w:val="center"/>
              <w:rPr>
                <w:rFonts w:cs="Times New Roman" w:asciiTheme="minorEastAsia" w:hAnsiTheme="minorEastAsia"/>
                <w:bCs/>
                <w:iCs/>
                <w:color w:val="000000"/>
                <w:szCs w:val="21"/>
              </w:rPr>
            </w:pPr>
          </w:p>
        </w:tc>
        <w:tc>
          <w:tcPr>
            <w:tcW w:w="6991" w:type="dxa"/>
            <w:tcBorders>
              <w:top w:val="single" w:color="auto" w:sz="4" w:space="0"/>
              <w:left w:val="single" w:color="auto" w:sz="4" w:space="0"/>
              <w:bottom w:val="single" w:color="auto" w:sz="4" w:space="0"/>
              <w:right w:val="single" w:color="auto" w:sz="4" w:space="0"/>
            </w:tcBorders>
          </w:tcPr>
          <w:p>
            <w:pPr>
              <w:spacing w:line="460" w:lineRule="exact"/>
              <w:rPr>
                <w:rFonts w:cs="Times New Roman" w:asciiTheme="minorEastAsia" w:hAnsiTheme="minorEastAsia"/>
                <w:bCs/>
                <w:iCs/>
                <w:color w:val="000000"/>
                <w:szCs w:val="21"/>
              </w:rPr>
            </w:pPr>
            <w:r>
              <w:rPr>
                <w:rFonts w:hint="eastAsia" w:asciiTheme="minorEastAsia" w:hAnsiTheme="minorEastAsia"/>
                <w:bCs/>
                <w:iCs/>
                <w:color w:val="000000"/>
                <w:szCs w:val="21"/>
              </w:rPr>
              <w:t>█</w:t>
            </w:r>
            <w:r>
              <w:rPr>
                <w:rFonts w:hint="eastAsia" w:cs="Times New Roman" w:asciiTheme="minorEastAsia" w:hAnsiTheme="minorEastAsia"/>
                <w:szCs w:val="21"/>
              </w:rPr>
              <w:t xml:space="preserve">特定对象调研        </w:t>
            </w:r>
            <w:r>
              <w:rPr>
                <w:rFonts w:hint="eastAsia" w:cs="Times New Roman" w:asciiTheme="minorEastAsia" w:hAnsiTheme="minorEastAsia"/>
                <w:bCs/>
                <w:iCs/>
                <w:color w:val="000000"/>
                <w:szCs w:val="21"/>
              </w:rPr>
              <w:t>□</w:t>
            </w:r>
            <w:r>
              <w:rPr>
                <w:rFonts w:hint="eastAsia" w:cs="Times New Roman" w:asciiTheme="minorEastAsia" w:hAnsiTheme="minorEastAsia"/>
                <w:szCs w:val="21"/>
              </w:rPr>
              <w:t>分析师会议</w:t>
            </w:r>
          </w:p>
          <w:p>
            <w:pPr>
              <w:spacing w:line="460" w:lineRule="exact"/>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w:t>
            </w:r>
            <w:r>
              <w:rPr>
                <w:rFonts w:hint="eastAsia" w:cs="Times New Roman" w:asciiTheme="minorEastAsia" w:hAnsiTheme="minorEastAsia"/>
                <w:szCs w:val="21"/>
              </w:rPr>
              <w:t xml:space="preserve">媒体采访            </w:t>
            </w:r>
            <w:r>
              <w:rPr>
                <w:rFonts w:hint="eastAsia" w:cs="Times New Roman" w:asciiTheme="minorEastAsia" w:hAnsiTheme="minorEastAsia"/>
                <w:bCs/>
                <w:iCs/>
                <w:color w:val="000000"/>
                <w:szCs w:val="21"/>
              </w:rPr>
              <w:t>□</w:t>
            </w:r>
            <w:r>
              <w:rPr>
                <w:rFonts w:hint="eastAsia" w:cs="Times New Roman" w:asciiTheme="minorEastAsia" w:hAnsiTheme="minorEastAsia"/>
                <w:szCs w:val="21"/>
              </w:rPr>
              <w:t>业绩说明会</w:t>
            </w:r>
          </w:p>
          <w:p>
            <w:pPr>
              <w:spacing w:line="460" w:lineRule="exact"/>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w:t>
            </w:r>
            <w:r>
              <w:rPr>
                <w:rFonts w:hint="eastAsia" w:cs="Times New Roman" w:asciiTheme="minorEastAsia" w:hAnsiTheme="minorEastAsia"/>
                <w:szCs w:val="21"/>
              </w:rPr>
              <w:t xml:space="preserve">新闻发布会          </w:t>
            </w:r>
            <w:r>
              <w:rPr>
                <w:rFonts w:hint="eastAsia" w:cs="Times New Roman" w:asciiTheme="minorEastAsia" w:hAnsiTheme="minorEastAsia"/>
                <w:bCs/>
                <w:iCs/>
                <w:color w:val="000000"/>
                <w:szCs w:val="21"/>
              </w:rPr>
              <w:t>□</w:t>
            </w:r>
            <w:r>
              <w:rPr>
                <w:rFonts w:hint="eastAsia" w:cs="Times New Roman" w:asciiTheme="minorEastAsia" w:hAnsiTheme="minorEastAsia"/>
                <w:szCs w:val="21"/>
              </w:rPr>
              <w:t>路演活动</w:t>
            </w:r>
          </w:p>
          <w:p>
            <w:pPr>
              <w:tabs>
                <w:tab w:val="left" w:pos="3045"/>
                <w:tab w:val="center" w:pos="3199"/>
              </w:tabs>
              <w:spacing w:line="460" w:lineRule="exact"/>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w:t>
            </w:r>
            <w:r>
              <w:rPr>
                <w:rFonts w:hint="eastAsia" w:cs="Times New Roman" w:asciiTheme="minorEastAsia" w:hAnsiTheme="minorEastAsia"/>
                <w:szCs w:val="21"/>
              </w:rPr>
              <w:t xml:space="preserve">现场参观            </w:t>
            </w:r>
            <w:r>
              <w:rPr>
                <w:rFonts w:hint="eastAsia" w:cs="Times New Roman" w:asciiTheme="minorEastAsia" w:hAnsiTheme="minorEastAsia"/>
                <w:bCs/>
                <w:iCs/>
                <w:color w:val="000000"/>
                <w:szCs w:val="21"/>
              </w:rPr>
              <w:t>□</w:t>
            </w:r>
            <w:r>
              <w:rPr>
                <w:rFonts w:hint="eastAsia" w:cs="Times New Roman" w:asciiTheme="minorEastAsia" w:hAnsiTheme="minorEastAsia"/>
                <w:szCs w:val="21"/>
              </w:rPr>
              <w:t>其他 ___________________</w:t>
            </w:r>
            <w:r>
              <w:rPr>
                <w:rFonts w:hint="eastAsia" w:cs="Times New Roman" w:asciiTheme="minorEastAsia" w:hAnsiTheme="minorEastAsia"/>
                <w:bCs/>
                <w:iCs/>
                <w:color w:val="00000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tcBorders>
              <w:top w:val="single" w:color="auto" w:sz="4" w:space="0"/>
              <w:left w:val="single" w:color="auto" w:sz="4" w:space="0"/>
              <w:bottom w:val="single" w:color="auto" w:sz="4" w:space="0"/>
              <w:right w:val="single" w:color="auto" w:sz="4" w:space="0"/>
            </w:tcBorders>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参与单位名称及人员姓名</w:t>
            </w:r>
          </w:p>
        </w:tc>
        <w:tc>
          <w:tcPr>
            <w:tcW w:w="69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东方</w:t>
            </w:r>
            <w:r>
              <w:rPr>
                <w:rFonts w:hint="eastAsia" w:ascii="Times New Roman" w:hAnsi="Times New Roman" w:eastAsia="宋体" w:cs="Times New Roman"/>
                <w:bCs/>
                <w:iCs/>
                <w:color w:val="000000"/>
                <w:szCs w:val="21"/>
                <w:lang w:eastAsia="zh-CN"/>
              </w:rPr>
              <w:t>证券</w:t>
            </w:r>
            <w:bookmarkStart w:id="0" w:name="_GoBack"/>
            <w:bookmarkEnd w:id="0"/>
            <w:r>
              <w:rPr>
                <w:rFonts w:hint="eastAsia" w:ascii="Times New Roman" w:hAnsi="Times New Roman" w:eastAsia="宋体" w:cs="Times New Roman"/>
                <w:bCs/>
                <w:iCs/>
                <w:color w:val="000000"/>
                <w:szCs w:val="21"/>
              </w:rPr>
              <w:t xml:space="preserve"> 孙宇 姜楠 刘俊清 虞文娇</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温氏投资 黎明  房志宇</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玄元投资 李洲</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卓越投控 孙志龙</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山东国惠基金 邵良文   孙艳宇</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上海土星资产 林俊生</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北京瑞瀚资产 王峰</w:t>
            </w:r>
          </w:p>
          <w:p>
            <w:pPr>
              <w:spacing w:line="460" w:lineRule="exact"/>
              <w:jc w:val="left"/>
              <w:rPr>
                <w:rFonts w:ascii="Times New Roman" w:hAnsi="Times New Roman" w:eastAsia="宋体" w:cs="Times New Roman"/>
                <w:bCs/>
                <w:iCs/>
                <w:color w:val="000000"/>
                <w:szCs w:val="21"/>
              </w:rPr>
            </w:pPr>
            <w:r>
              <w:rPr>
                <w:rFonts w:hint="eastAsia" w:ascii="Times New Roman" w:hAnsi="Times New Roman" w:eastAsia="宋体" w:cs="Times New Roman"/>
                <w:bCs/>
                <w:iCs/>
                <w:color w:val="000000"/>
                <w:szCs w:val="21"/>
              </w:rPr>
              <w:t>鸿臻投资  吴黎征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tcBorders>
              <w:top w:val="single" w:color="auto" w:sz="4" w:space="0"/>
              <w:left w:val="single" w:color="auto" w:sz="4" w:space="0"/>
              <w:bottom w:val="single" w:color="auto" w:sz="4" w:space="0"/>
              <w:right w:val="single" w:color="auto" w:sz="4" w:space="0"/>
            </w:tcBorders>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时间</w:t>
            </w:r>
          </w:p>
        </w:tc>
        <w:tc>
          <w:tcPr>
            <w:tcW w:w="6991" w:type="dxa"/>
            <w:tcBorders>
              <w:top w:val="single" w:color="auto" w:sz="4" w:space="0"/>
              <w:left w:val="single" w:color="auto" w:sz="4" w:space="0"/>
              <w:bottom w:val="single" w:color="auto" w:sz="4" w:space="0"/>
              <w:right w:val="single" w:color="auto" w:sz="4" w:space="0"/>
            </w:tcBorders>
          </w:tcPr>
          <w:p>
            <w:pPr>
              <w:spacing w:line="460" w:lineRule="exact"/>
              <w:rPr>
                <w:rFonts w:cs="Times New Roman" w:asciiTheme="minorEastAsia" w:hAnsiTheme="minorEastAsia"/>
                <w:bCs/>
                <w:iCs/>
                <w:color w:val="000000"/>
                <w:szCs w:val="21"/>
              </w:rPr>
            </w:pPr>
            <w:r>
              <w:rPr>
                <w:rFonts w:ascii="Times New Roman" w:hAnsi="Times New Roman"/>
                <w:bCs/>
                <w:iCs/>
                <w:color w:val="000000"/>
                <w:szCs w:val="21"/>
              </w:rPr>
              <w:t>20</w:t>
            </w:r>
            <w:r>
              <w:rPr>
                <w:rFonts w:hint="eastAsia" w:ascii="Times New Roman" w:hAnsi="Times New Roman"/>
                <w:bCs/>
                <w:iCs/>
                <w:color w:val="000000"/>
                <w:szCs w:val="21"/>
              </w:rPr>
              <w:t>20</w:t>
            </w:r>
            <w:r>
              <w:rPr>
                <w:rFonts w:ascii="Times New Roman" w:hAnsi="宋体"/>
                <w:bCs/>
                <w:iCs/>
                <w:color w:val="000000"/>
                <w:szCs w:val="21"/>
              </w:rPr>
              <w:t>年</w:t>
            </w:r>
            <w:r>
              <w:rPr>
                <w:rFonts w:hint="eastAsia" w:ascii="Times New Roman" w:hAnsi="Times New Roman"/>
                <w:bCs/>
                <w:iCs/>
                <w:color w:val="000000"/>
                <w:szCs w:val="21"/>
              </w:rPr>
              <w:t>9</w:t>
            </w:r>
            <w:r>
              <w:rPr>
                <w:rFonts w:ascii="Times New Roman" w:hAnsi="宋体"/>
                <w:bCs/>
                <w:iCs/>
                <w:color w:val="000000"/>
                <w:szCs w:val="21"/>
              </w:rPr>
              <w:t>月</w:t>
            </w:r>
            <w:r>
              <w:rPr>
                <w:rFonts w:hint="eastAsia" w:ascii="Times New Roman" w:hAnsi="宋体"/>
                <w:bCs/>
                <w:iCs/>
                <w:color w:val="000000"/>
                <w:szCs w:val="21"/>
              </w:rPr>
              <w:t>18</w:t>
            </w:r>
            <w:r>
              <w:rPr>
                <w:rFonts w:ascii="Times New Roman" w:hAnsi="宋体"/>
                <w:bCs/>
                <w:iCs/>
                <w:color w:val="000000"/>
                <w:szCs w:val="21"/>
              </w:rPr>
              <w:t>日</w:t>
            </w:r>
            <w:r>
              <w:rPr>
                <w:rFonts w:hint="eastAsia" w:ascii="Times New Roman" w:hAnsi="宋体"/>
                <w:bCs/>
                <w:iCs/>
                <w:color w:val="000000"/>
                <w:szCs w:val="21"/>
              </w:rPr>
              <w:t>上午10:00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tcBorders>
              <w:top w:val="single" w:color="auto" w:sz="4" w:space="0"/>
              <w:left w:val="single" w:color="auto" w:sz="4" w:space="0"/>
              <w:bottom w:val="single" w:color="auto" w:sz="4" w:space="0"/>
              <w:right w:val="single" w:color="auto" w:sz="4" w:space="0"/>
            </w:tcBorders>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地点</w:t>
            </w:r>
          </w:p>
        </w:tc>
        <w:tc>
          <w:tcPr>
            <w:tcW w:w="6991" w:type="dxa"/>
            <w:tcBorders>
              <w:top w:val="single" w:color="auto" w:sz="4" w:space="0"/>
              <w:left w:val="single" w:color="auto" w:sz="4" w:space="0"/>
              <w:bottom w:val="single" w:color="auto" w:sz="4" w:space="0"/>
              <w:right w:val="single" w:color="auto" w:sz="4" w:space="0"/>
            </w:tcBorders>
          </w:tcPr>
          <w:p>
            <w:pPr>
              <w:spacing w:line="460" w:lineRule="exact"/>
              <w:rPr>
                <w:rFonts w:cs="Times New Roman" w:asciiTheme="minorEastAsia" w:hAnsiTheme="minorEastAsia"/>
                <w:bCs/>
                <w:iCs/>
                <w:color w:val="000000"/>
                <w:szCs w:val="21"/>
              </w:rPr>
            </w:pPr>
            <w:r>
              <w:rPr>
                <w:rFonts w:hint="eastAsia" w:ascii="Times New Roman" w:hAnsi="宋体"/>
                <w:bCs/>
                <w:iCs/>
                <w:color w:val="000000"/>
                <w:szCs w:val="21"/>
              </w:rPr>
              <w:t>深圳市联得自动化装备股份有限公司会议室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tcBorders>
              <w:top w:val="single" w:color="auto" w:sz="4" w:space="0"/>
              <w:left w:val="single" w:color="auto" w:sz="4" w:space="0"/>
              <w:bottom w:val="single" w:color="auto" w:sz="4" w:space="0"/>
              <w:right w:val="single" w:color="auto" w:sz="4" w:space="0"/>
            </w:tcBorders>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上市公司接待人员</w:t>
            </w:r>
          </w:p>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姓名</w:t>
            </w:r>
          </w:p>
        </w:tc>
        <w:tc>
          <w:tcPr>
            <w:tcW w:w="699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bCs/>
                <w:iCs/>
                <w:color w:val="000000"/>
                <w:szCs w:val="21"/>
              </w:rPr>
            </w:pPr>
            <w:r>
              <w:rPr>
                <w:rFonts w:ascii="Times New Roman" w:hAnsi="宋体"/>
                <w:bCs/>
                <w:iCs/>
                <w:color w:val="000000"/>
                <w:szCs w:val="21"/>
              </w:rPr>
              <w:t>董事会秘书</w:t>
            </w:r>
            <w:r>
              <w:rPr>
                <w:rFonts w:hint="eastAsia" w:ascii="Times New Roman" w:hAnsi="Times New Roman"/>
                <w:bCs/>
                <w:iCs/>
                <w:color w:val="000000"/>
                <w:szCs w:val="21"/>
              </w:rPr>
              <w:t>：</w:t>
            </w:r>
            <w:r>
              <w:rPr>
                <w:rFonts w:ascii="Times New Roman" w:hAnsi="宋体"/>
                <w:bCs/>
                <w:iCs/>
                <w:color w:val="000000"/>
                <w:szCs w:val="21"/>
              </w:rPr>
              <w:t>钟辉先生</w:t>
            </w:r>
          </w:p>
          <w:p>
            <w:pPr>
              <w:spacing w:line="460" w:lineRule="exact"/>
              <w:rPr>
                <w:rFonts w:cs="Times New Roman" w:asciiTheme="minorEastAsia" w:hAnsiTheme="minorEastAsia"/>
                <w:bCs/>
                <w:iCs/>
                <w:color w:val="000000"/>
                <w:szCs w:val="21"/>
              </w:rPr>
            </w:pPr>
            <w:r>
              <w:rPr>
                <w:rFonts w:hint="eastAsia" w:ascii="Times New Roman" w:hAnsi="宋体"/>
                <w:bCs/>
                <w:iCs/>
                <w:color w:val="000000"/>
                <w:szCs w:val="21"/>
              </w:rPr>
              <w:t>证券事务代表：杨晓芬女士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投资者关系活动主要内容介绍</w:t>
            </w:r>
          </w:p>
          <w:p>
            <w:pPr>
              <w:spacing w:line="460" w:lineRule="exact"/>
              <w:jc w:val="center"/>
              <w:rPr>
                <w:rFonts w:cs="Times New Roman" w:asciiTheme="minorEastAsia" w:hAnsiTheme="minorEastAsia"/>
                <w:bCs/>
                <w:iCs/>
                <w:color w:val="000000"/>
                <w:szCs w:val="21"/>
              </w:rPr>
            </w:pPr>
          </w:p>
        </w:tc>
        <w:tc>
          <w:tcPr>
            <w:tcW w:w="6991" w:type="dxa"/>
            <w:tcBorders>
              <w:top w:val="single" w:color="auto" w:sz="4" w:space="0"/>
              <w:left w:val="single" w:color="auto" w:sz="4" w:space="0"/>
              <w:bottom w:val="single" w:color="auto" w:sz="4" w:space="0"/>
              <w:right w:val="single" w:color="auto" w:sz="4" w:space="0"/>
            </w:tcBorders>
          </w:tcPr>
          <w:p>
            <w:pPr>
              <w:spacing w:line="460" w:lineRule="exact"/>
              <w:ind w:firstLine="422" w:firstLineChars="200"/>
              <w:rPr>
                <w:rFonts w:asciiTheme="minorEastAsia" w:hAnsiTheme="minorEastAsia" w:cstheme="minorEastAsia"/>
                <w:b/>
                <w:bCs/>
                <w:iCs/>
                <w:color w:val="000000"/>
                <w:szCs w:val="21"/>
              </w:rPr>
            </w:pPr>
            <w:r>
              <w:rPr>
                <w:rFonts w:hint="eastAsia" w:asciiTheme="minorEastAsia" w:hAnsiTheme="minorEastAsia" w:cstheme="minorEastAsia"/>
                <w:b/>
                <w:bCs/>
                <w:iCs/>
                <w:color w:val="000000"/>
                <w:szCs w:val="21"/>
              </w:rPr>
              <w:t>Q1：半导体封测设备的市场环境如何？</w:t>
            </w:r>
          </w:p>
          <w:p>
            <w:pPr>
              <w:spacing w:line="460" w:lineRule="exact"/>
              <w:ind w:firstLine="422" w:firstLineChars="200"/>
              <w:rPr>
                <w:rFonts w:asciiTheme="minorEastAsia" w:hAnsiTheme="minorEastAsia" w:cstheme="minorEastAsia"/>
                <w:bCs/>
                <w:iCs/>
                <w:color w:val="000000"/>
                <w:szCs w:val="21"/>
              </w:rPr>
            </w:pPr>
            <w:r>
              <w:rPr>
                <w:rFonts w:hint="eastAsia" w:asciiTheme="minorEastAsia" w:hAnsiTheme="minorEastAsia" w:cstheme="minorEastAsia"/>
                <w:b/>
                <w:bCs/>
                <w:iCs/>
                <w:color w:val="000000"/>
                <w:szCs w:val="21"/>
              </w:rPr>
              <w:t>A1</w:t>
            </w:r>
            <w:r>
              <w:rPr>
                <w:rFonts w:hint="eastAsia" w:asciiTheme="minorEastAsia" w:hAnsiTheme="minorEastAsia" w:cstheme="minorEastAsia"/>
                <w:bCs/>
                <w:iCs/>
                <w:color w:val="000000"/>
                <w:szCs w:val="21"/>
              </w:rPr>
              <w:t>：全球前10大</w:t>
            </w:r>
            <w:r>
              <w:rPr>
                <w:rFonts w:hint="eastAsia" w:asciiTheme="minorEastAsia" w:hAnsiTheme="minorEastAsia" w:cstheme="minorEastAsia"/>
                <w:bCs/>
                <w:iCs/>
                <w:color w:val="000000"/>
                <w:szCs w:val="21"/>
                <w:lang w:eastAsia="zh-CN"/>
              </w:rPr>
              <w:t>半导体</w:t>
            </w:r>
            <w:r>
              <w:rPr>
                <w:rFonts w:hint="eastAsia" w:asciiTheme="minorEastAsia" w:hAnsiTheme="minorEastAsia" w:cstheme="minorEastAsia"/>
                <w:bCs/>
                <w:iCs/>
                <w:color w:val="000000"/>
                <w:szCs w:val="21"/>
              </w:rPr>
              <w:t>设备厂商迄今仍然以美国和日本为首的海外设备厂商主导，占比高达80%,主导着全球半导体设备市场。随着贸易战和5G、AI等新技术的突破发展，国家政策引导，国内半导体产业迎来机遇和挑战，国内市场中长电科技、通富微电和华天科技是国内市场的主要封测公司，我们也在近几年积极布局并已有技术储备切入到半导体封测领域。目前公司自主研发销售的COF倒装封测设备已经达到量产标准并形成了正式订单，并与几家潜在大客户进行积极商务洽谈中。</w:t>
            </w:r>
          </w:p>
          <w:p>
            <w:pPr>
              <w:spacing w:line="460" w:lineRule="exact"/>
              <w:ind w:firstLine="422" w:firstLineChars="200"/>
              <w:rPr>
                <w:rFonts w:asciiTheme="minorEastAsia" w:hAnsiTheme="minorEastAsia" w:cstheme="minorEastAsia"/>
                <w:b/>
                <w:bCs/>
                <w:iCs/>
                <w:color w:val="000000"/>
                <w:szCs w:val="21"/>
              </w:rPr>
            </w:pPr>
            <w:r>
              <w:rPr>
                <w:rFonts w:hint="eastAsia" w:asciiTheme="minorEastAsia" w:hAnsiTheme="minorEastAsia" w:cstheme="minorEastAsia"/>
                <w:b/>
                <w:bCs/>
                <w:iCs/>
                <w:color w:val="000000"/>
                <w:szCs w:val="21"/>
              </w:rPr>
              <w:t>Q2：公司半导体业务的相关市场竞争者有哪些？对应的客户群体有哪些?</w:t>
            </w:r>
          </w:p>
          <w:p>
            <w:pPr>
              <w:spacing w:line="460" w:lineRule="exact"/>
              <w:ind w:firstLine="422" w:firstLineChars="200"/>
              <w:rPr>
                <w:rFonts w:asciiTheme="minorEastAsia" w:hAnsiTheme="minorEastAsia" w:cstheme="minorEastAsia"/>
                <w:szCs w:val="21"/>
              </w:rPr>
            </w:pPr>
            <w:r>
              <w:rPr>
                <w:rFonts w:hint="eastAsia" w:asciiTheme="minorEastAsia" w:hAnsiTheme="minorEastAsia" w:cstheme="minorEastAsia"/>
                <w:b/>
                <w:bCs/>
                <w:iCs/>
                <w:color w:val="000000"/>
                <w:szCs w:val="21"/>
              </w:rPr>
              <w:t>A2</w:t>
            </w:r>
            <w:r>
              <w:rPr>
                <w:rFonts w:hint="eastAsia" w:asciiTheme="minorEastAsia" w:hAnsiTheme="minorEastAsia" w:cstheme="minorEastAsia"/>
                <w:bCs/>
                <w:iCs/>
                <w:color w:val="000000"/>
                <w:szCs w:val="21"/>
              </w:rPr>
              <w:t>：公司作为国内半导体倒装封测设备的设备厂商，主要对标的市场竞争者为日本芝浦、日本东丽、韩国赛可等企业。公司生产的C</w:t>
            </w:r>
            <w:r>
              <w:rPr>
                <w:rFonts w:asciiTheme="minorEastAsia" w:hAnsiTheme="minorEastAsia" w:cstheme="minorEastAsia"/>
                <w:bCs/>
                <w:iCs/>
                <w:color w:val="000000"/>
                <w:szCs w:val="21"/>
              </w:rPr>
              <w:t>OF</w:t>
            </w:r>
            <w:r>
              <w:rPr>
                <w:rFonts w:hint="eastAsia" w:asciiTheme="minorEastAsia" w:hAnsiTheme="minorEastAsia" w:cstheme="minorEastAsia"/>
                <w:bCs/>
                <w:iCs/>
                <w:color w:val="000000"/>
                <w:szCs w:val="21"/>
              </w:rPr>
              <w:t>倒装设备已经完工，并按客户指定的交付要求，交付至无锡英飞凌公司生产现场，该设备目前在无锡英飞凌公司处于调试阶段。同时公司的潜在客户均为国内领先的半导体封测公司，潜在市场广大。</w:t>
            </w:r>
          </w:p>
          <w:p>
            <w:pPr>
              <w:spacing w:line="360" w:lineRule="auto"/>
              <w:ind w:firstLine="422" w:firstLineChars="200"/>
              <w:rPr>
                <w:rFonts w:asciiTheme="minorEastAsia" w:hAnsiTheme="minorEastAsia" w:cstheme="minorEastAsia"/>
                <w:b/>
                <w:bCs/>
                <w:iCs/>
                <w:color w:val="000000"/>
                <w:szCs w:val="21"/>
              </w:rPr>
            </w:pPr>
            <w:r>
              <w:rPr>
                <w:rFonts w:hint="eastAsia" w:asciiTheme="minorEastAsia" w:hAnsiTheme="minorEastAsia" w:cstheme="minorEastAsia"/>
                <w:b/>
                <w:bCs/>
                <w:iCs/>
                <w:color w:val="000000"/>
                <w:szCs w:val="21"/>
              </w:rPr>
              <w:t>Q3：公司设立合资企业的背景是什么？有什么契机吗？</w:t>
            </w:r>
          </w:p>
          <w:p>
            <w:pPr>
              <w:spacing w:line="360" w:lineRule="auto"/>
              <w:ind w:firstLine="422" w:firstLineChars="200"/>
              <w:rPr>
                <w:rFonts w:asciiTheme="minorEastAsia" w:hAnsiTheme="minorEastAsia" w:cstheme="minorEastAsia"/>
                <w:iCs/>
                <w:color w:val="000000"/>
                <w:szCs w:val="21"/>
              </w:rPr>
            </w:pPr>
            <w:r>
              <w:rPr>
                <w:rFonts w:hint="eastAsia" w:asciiTheme="minorEastAsia" w:hAnsiTheme="minorEastAsia" w:cstheme="minorEastAsia"/>
                <w:b/>
                <w:bCs/>
                <w:iCs/>
                <w:color w:val="000000"/>
                <w:szCs w:val="21"/>
              </w:rPr>
              <w:t>A3：</w:t>
            </w:r>
            <w:r>
              <w:rPr>
                <w:rFonts w:hint="eastAsia" w:asciiTheme="minorEastAsia" w:hAnsiTheme="minorEastAsia" w:cstheme="minorEastAsia"/>
                <w:iCs/>
                <w:color w:val="000000"/>
                <w:szCs w:val="21"/>
              </w:rPr>
              <w:t>公司与其他自然人、合伙企业设立合资企业是基于公司长期发展及短期目标实现的综合考虑，公司在合资企业中持股占比51%，保证了上市公司的控制权。此外，其他出资人（合伙企业）在光伏新能源设备行业中具有成熟的研发、生产、调试团队，在行业里有15年的从业经验，同时具有甲方和乙方的角色身份，在与公司新工艺的设备开发上具有先天优势。基于以上考虑，我们针对光伏太阳能领域的技术研发及相关市场拓展都有了很好的基础,,我们相信光伏太阳能设备很快能成为公司的又一新亮点。</w:t>
            </w:r>
          </w:p>
          <w:p>
            <w:pPr>
              <w:spacing w:line="360" w:lineRule="auto"/>
              <w:ind w:firstLine="422" w:firstLineChars="200"/>
              <w:rPr>
                <w:rFonts w:asciiTheme="minorEastAsia" w:hAnsiTheme="minorEastAsia" w:cstheme="minorEastAsia"/>
                <w:b/>
                <w:bCs/>
                <w:iCs/>
                <w:color w:val="000000"/>
                <w:szCs w:val="21"/>
              </w:rPr>
            </w:pPr>
            <w:r>
              <w:rPr>
                <w:rFonts w:hint="eastAsia" w:asciiTheme="minorEastAsia" w:hAnsiTheme="minorEastAsia" w:cstheme="minorEastAsia"/>
                <w:b/>
                <w:bCs/>
                <w:iCs/>
                <w:color w:val="000000"/>
                <w:szCs w:val="21"/>
              </w:rPr>
              <w:t>Q4：公司在光伏新能源领域是生产什么设备？</w:t>
            </w:r>
          </w:p>
          <w:p>
            <w:pPr>
              <w:spacing w:line="360" w:lineRule="auto"/>
              <w:ind w:firstLine="422" w:firstLineChars="200"/>
              <w:rPr>
                <w:rFonts w:asciiTheme="minorEastAsia" w:hAnsiTheme="minorEastAsia" w:cstheme="minorEastAsia"/>
                <w:iCs/>
                <w:color w:val="000000"/>
                <w:szCs w:val="21"/>
              </w:rPr>
            </w:pPr>
            <w:r>
              <w:rPr>
                <w:rFonts w:hint="eastAsia" w:asciiTheme="minorEastAsia" w:hAnsiTheme="minorEastAsia" w:cstheme="minorEastAsia"/>
                <w:b/>
                <w:bCs/>
                <w:iCs/>
                <w:color w:val="000000"/>
                <w:szCs w:val="21"/>
              </w:rPr>
              <w:t>A4：</w:t>
            </w:r>
            <w:r>
              <w:rPr>
                <w:rFonts w:hint="eastAsia" w:asciiTheme="minorEastAsia" w:hAnsiTheme="minorEastAsia" w:cstheme="minorEastAsia"/>
                <w:iCs/>
                <w:color w:val="000000"/>
                <w:szCs w:val="21"/>
              </w:rPr>
              <w:t>公司合作团队的设备经验主要在组件上，在组件上率先推出叠焊机并申请了大量专利，叠焊机作为合资公司进入光伏电池设备领域的拳头产品和奠基石，会很快实现收入并产生经济效益，合资公司后期的新设备方向是ALDˎ清洗ˎ无主栅封装ˎ非标自动化ˎ串焊机等设备。</w:t>
            </w:r>
            <w:r>
              <w:rPr>
                <w:rFonts w:hint="eastAsia" w:asciiTheme="minorEastAsia" w:hAnsiTheme="minorEastAsia" w:cstheme="minorEastAsia"/>
                <w:color w:val="000000"/>
                <w:kern w:val="0"/>
                <w:szCs w:val="21"/>
                <w:lang w:bidi="ar"/>
              </w:rPr>
              <w:t>在组件领域，未来几年光伏设备市场将出现结构性机会，公司将抓住这一机会迎风而上，创造新的利润增长点。</w:t>
            </w:r>
          </w:p>
          <w:p>
            <w:pPr>
              <w:spacing w:line="460" w:lineRule="exact"/>
              <w:ind w:firstLine="422" w:firstLineChars="200"/>
              <w:rPr>
                <w:rFonts w:asciiTheme="minorEastAsia" w:hAnsiTheme="minorEastAsia" w:cstheme="minorEastAsia"/>
                <w:b/>
                <w:bCs/>
                <w:iCs/>
                <w:color w:val="000000"/>
                <w:szCs w:val="21"/>
              </w:rPr>
            </w:pPr>
            <w:r>
              <w:rPr>
                <w:rFonts w:hint="eastAsia" w:asciiTheme="minorEastAsia" w:hAnsiTheme="minorEastAsia" w:cstheme="minorEastAsia"/>
                <w:b/>
                <w:bCs/>
                <w:iCs/>
                <w:color w:val="000000"/>
                <w:szCs w:val="21"/>
              </w:rPr>
              <w:t>Q5：公司在汽车电子领域有哪些战略客户?</w:t>
            </w:r>
          </w:p>
          <w:p>
            <w:pPr>
              <w:spacing w:line="360" w:lineRule="auto"/>
              <w:ind w:firstLine="422" w:firstLineChars="200"/>
              <w:rPr>
                <w:rFonts w:asciiTheme="minorEastAsia" w:hAnsiTheme="minorEastAsia" w:cstheme="minorEastAsia"/>
                <w:bCs/>
                <w:iCs/>
                <w:color w:val="000000"/>
                <w:szCs w:val="21"/>
              </w:rPr>
            </w:pPr>
            <w:r>
              <w:rPr>
                <w:rFonts w:hint="eastAsia" w:asciiTheme="minorEastAsia" w:hAnsiTheme="minorEastAsia" w:cstheme="minorEastAsia"/>
                <w:b/>
                <w:bCs/>
                <w:iCs/>
                <w:color w:val="000000"/>
                <w:szCs w:val="21"/>
              </w:rPr>
              <w:t>A5</w:t>
            </w:r>
            <w:r>
              <w:rPr>
                <w:rFonts w:hint="eastAsia" w:asciiTheme="minorEastAsia" w:hAnsiTheme="minorEastAsia" w:cstheme="minorEastAsia"/>
                <w:bCs/>
                <w:iCs/>
                <w:color w:val="000000"/>
                <w:szCs w:val="21"/>
              </w:rPr>
              <w:t>：2019年公司成为德国大陆集团的全球供应商，并与大陆集团捷克公司、罗马尼亚公司以及中国芜湖公司签订了七千万订单。今年公司与博世汽车公司建立合作联系，也签订了AOI检测设备的销售订单。公司的生产设备为汽车电子显示领域的广泛应用提供了技术支持及市场革新。公司供货销售给蓝思科技公司的设备同样也应用于特斯拉汽车电子显示屏上。</w:t>
            </w:r>
          </w:p>
          <w:p>
            <w:pPr>
              <w:spacing w:line="460" w:lineRule="exact"/>
              <w:ind w:firstLine="422" w:firstLineChars="200"/>
              <w:rPr>
                <w:rFonts w:ascii="宋体" w:hAnsi="宋体"/>
                <w:b/>
                <w:bCs/>
                <w:iCs/>
                <w:color w:val="000000"/>
                <w:szCs w:val="21"/>
              </w:rPr>
            </w:pPr>
            <w:r>
              <w:rPr>
                <w:rFonts w:hint="eastAsia" w:ascii="宋体" w:hAnsi="宋体"/>
                <w:b/>
                <w:bCs/>
                <w:iCs/>
                <w:color w:val="000000"/>
                <w:szCs w:val="21"/>
              </w:rPr>
              <w:t>Q6：公司的大尺寸设备情况如何？</w:t>
            </w:r>
          </w:p>
          <w:p>
            <w:pPr>
              <w:spacing w:line="460" w:lineRule="exact"/>
              <w:ind w:firstLine="420" w:firstLineChars="200"/>
              <w:rPr>
                <w:rFonts w:ascii="宋体" w:hAnsi="宋体"/>
                <w:bCs/>
                <w:iCs/>
                <w:color w:val="000000"/>
                <w:szCs w:val="21"/>
              </w:rPr>
            </w:pPr>
            <w:r>
              <w:rPr>
                <w:rFonts w:hint="eastAsia" w:ascii="宋体" w:hAnsi="宋体"/>
                <w:bCs/>
                <w:iCs/>
                <w:color w:val="000000"/>
                <w:szCs w:val="21"/>
              </w:rPr>
              <w:t>A6：公司已有供货给重庆惠科的大尺寸设备就是针对制造21.6-60寸之间的平板显示屏，根据下游面板厂商的投资大幅增长，现在我们正在对接重庆惠科新产线的设备需求，同时也在与几家大的面板厂洽谈商务细节。</w:t>
            </w:r>
          </w:p>
          <w:p>
            <w:pPr>
              <w:spacing w:before="156" w:beforeLines="50" w:line="360" w:lineRule="auto"/>
              <w:ind w:firstLine="422" w:firstLineChars="200"/>
              <w:rPr>
                <w:rFonts w:asciiTheme="minorEastAsia" w:hAnsiTheme="minorEastAsia" w:cstheme="minorEastAsia"/>
                <w:b/>
                <w:szCs w:val="21"/>
              </w:rPr>
            </w:pPr>
            <w:r>
              <w:rPr>
                <w:rFonts w:hint="eastAsia" w:asciiTheme="minorEastAsia" w:hAnsiTheme="minorEastAsia" w:cstheme="minorEastAsia"/>
                <w:b/>
                <w:bCs/>
                <w:iCs/>
                <w:color w:val="000000"/>
                <w:szCs w:val="21"/>
              </w:rPr>
              <w:t>Q7：</w:t>
            </w:r>
            <w:r>
              <w:rPr>
                <w:rFonts w:hint="eastAsia" w:asciiTheme="minorEastAsia" w:hAnsiTheme="minorEastAsia" w:cstheme="minorEastAsia"/>
                <w:b/>
                <w:szCs w:val="21"/>
              </w:rPr>
              <w:t>公司未来的发展战略是什么？</w:t>
            </w:r>
            <w:r>
              <w:rPr>
                <w:rFonts w:hint="eastAsia" w:asciiTheme="minorEastAsia" w:hAnsiTheme="minorEastAsia" w:cstheme="minorEastAsia"/>
                <w:b/>
                <w:bCs/>
                <w:iCs/>
                <w:color w:val="000000"/>
                <w:szCs w:val="21"/>
              </w:rPr>
              <w:t xml:space="preserve"> </w:t>
            </w:r>
          </w:p>
          <w:p>
            <w:pPr>
              <w:spacing w:line="360" w:lineRule="auto"/>
              <w:ind w:firstLine="422" w:firstLineChars="200"/>
              <w:rPr>
                <w:rFonts w:ascii="Times New Roman" w:hAnsi="宋体" w:cs="Times New Roman"/>
                <w:szCs w:val="21"/>
                <w:lang w:val="zh-CN"/>
              </w:rPr>
            </w:pPr>
            <w:r>
              <w:rPr>
                <w:rFonts w:hint="eastAsia" w:asciiTheme="minorEastAsia" w:hAnsiTheme="minorEastAsia" w:cstheme="minorEastAsia"/>
                <w:b/>
                <w:bCs/>
                <w:iCs/>
                <w:color w:val="000000"/>
                <w:szCs w:val="21"/>
              </w:rPr>
              <w:t>A7</w:t>
            </w:r>
            <w:r>
              <w:rPr>
                <w:rFonts w:hint="eastAsia" w:asciiTheme="minorEastAsia" w:hAnsiTheme="minorEastAsia" w:cstheme="minorEastAsia"/>
                <w:bCs/>
                <w:iCs/>
                <w:color w:val="000000"/>
                <w:szCs w:val="21"/>
              </w:rPr>
              <w:t>：公司将持续加强在后段模组组装领域的设备研发，积极开拓大尺寸TV设备、OLED平板显示模组组装设备、AOI检测设备市场以及半导体封装设备产品等在新兴领域的应用市场，同时抓住进入汽车电子及光伏太阳能领域的机遇，通过多维度的产品布局，丰富产品种类，完善产品体系，通过内延发展孵化研发技术团队模式，形成稳健持续的发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Cs/>
                <w:iCs/>
                <w:color w:val="000000"/>
                <w:szCs w:val="21"/>
              </w:rPr>
            </w:pPr>
            <w:r>
              <w:rPr>
                <w:rFonts w:hint="eastAsia" w:ascii="宋体" w:hAnsi="宋体"/>
                <w:bCs/>
                <w:iCs/>
                <w:color w:val="000000"/>
                <w:sz w:val="24"/>
              </w:rPr>
              <w:t>附件清单（如有）</w:t>
            </w:r>
          </w:p>
        </w:tc>
        <w:tc>
          <w:tcPr>
            <w:tcW w:w="699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Cs/>
                <w:iCs/>
                <w:color w:val="000000"/>
                <w:szCs w:val="21"/>
              </w:rPr>
            </w:pPr>
            <w:r>
              <w:rPr>
                <w:rFonts w:hint="eastAsia" w:cs="Times New Roman" w:asciiTheme="minorEastAsia" w:hAnsiTheme="minorEastAsia"/>
                <w:bCs/>
                <w:iCs/>
                <w:color w:val="000000"/>
                <w:szCs w:val="21"/>
              </w:rPr>
              <w:t>日期</w:t>
            </w:r>
          </w:p>
        </w:tc>
        <w:tc>
          <w:tcPr>
            <w:tcW w:w="6991" w:type="dxa"/>
            <w:tcBorders>
              <w:top w:val="single" w:color="auto" w:sz="4" w:space="0"/>
              <w:left w:val="single" w:color="auto" w:sz="4" w:space="0"/>
              <w:bottom w:val="single" w:color="auto" w:sz="4" w:space="0"/>
              <w:right w:val="single" w:color="auto" w:sz="4" w:space="0"/>
            </w:tcBorders>
          </w:tcPr>
          <w:p>
            <w:pPr>
              <w:spacing w:line="460" w:lineRule="exact"/>
              <w:rPr>
                <w:rFonts w:ascii="Times New Roman" w:hAnsi="Times New Roman" w:cs="Times New Roman"/>
                <w:bCs/>
                <w:iCs/>
                <w:color w:val="000000"/>
                <w:szCs w:val="21"/>
              </w:rPr>
            </w:pPr>
            <w:r>
              <w:rPr>
                <w:rFonts w:ascii="Times New Roman" w:hAnsi="Times New Roman" w:cs="Times New Roman"/>
                <w:bCs/>
                <w:iCs/>
                <w:color w:val="000000"/>
                <w:szCs w:val="21"/>
              </w:rPr>
              <w:t>20</w:t>
            </w:r>
            <w:r>
              <w:rPr>
                <w:rFonts w:hint="eastAsia" w:ascii="Times New Roman" w:hAnsi="Times New Roman" w:cs="Times New Roman"/>
                <w:bCs/>
                <w:iCs/>
                <w:color w:val="000000"/>
                <w:szCs w:val="21"/>
              </w:rPr>
              <w:t>20-09-21</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1"/>
      </w:pBdr>
      <w:spacing w:line="460" w:lineRule="exact"/>
      <w:jc w:val="left"/>
      <w:rPr>
        <w:rFonts w:cs="Times New Roman" w:asciiTheme="minorEastAsia" w:hAnsiTheme="minorEastAsia"/>
        <w:szCs w:val="21"/>
      </w:rPr>
    </w:pPr>
    <w:r>
      <w:rPr>
        <w:rFonts w:hint="eastAsia" w:cs="Times New Roman" w:asciiTheme="minorEastAsia" w:hAnsiTheme="minorEastAsia"/>
        <w:szCs w:val="21"/>
      </w:rPr>
      <w:t>深圳市联得自动化装备股份有限公司                          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BA5153"/>
    <w:rsid w:val="00001D01"/>
    <w:rsid w:val="00055AFC"/>
    <w:rsid w:val="00110AED"/>
    <w:rsid w:val="00117D51"/>
    <w:rsid w:val="00161790"/>
    <w:rsid w:val="00166EB1"/>
    <w:rsid w:val="00171DA8"/>
    <w:rsid w:val="00175727"/>
    <w:rsid w:val="001C35F8"/>
    <w:rsid w:val="00206FEA"/>
    <w:rsid w:val="002520EF"/>
    <w:rsid w:val="00262D31"/>
    <w:rsid w:val="00274E99"/>
    <w:rsid w:val="002C010A"/>
    <w:rsid w:val="002D2409"/>
    <w:rsid w:val="002F1322"/>
    <w:rsid w:val="003037D7"/>
    <w:rsid w:val="003330CC"/>
    <w:rsid w:val="003B1BD7"/>
    <w:rsid w:val="004174BC"/>
    <w:rsid w:val="00453A25"/>
    <w:rsid w:val="00456A63"/>
    <w:rsid w:val="00481CEE"/>
    <w:rsid w:val="00496E9D"/>
    <w:rsid w:val="004976CE"/>
    <w:rsid w:val="004B67C3"/>
    <w:rsid w:val="004E3B47"/>
    <w:rsid w:val="00516858"/>
    <w:rsid w:val="00530C0C"/>
    <w:rsid w:val="0053790C"/>
    <w:rsid w:val="00553F06"/>
    <w:rsid w:val="0057607C"/>
    <w:rsid w:val="00581CA3"/>
    <w:rsid w:val="005C14E4"/>
    <w:rsid w:val="005F1B83"/>
    <w:rsid w:val="005F778C"/>
    <w:rsid w:val="00601FE4"/>
    <w:rsid w:val="0060241B"/>
    <w:rsid w:val="00603368"/>
    <w:rsid w:val="006420E1"/>
    <w:rsid w:val="00644ED9"/>
    <w:rsid w:val="00650948"/>
    <w:rsid w:val="006C524F"/>
    <w:rsid w:val="006C5257"/>
    <w:rsid w:val="0072337D"/>
    <w:rsid w:val="00740121"/>
    <w:rsid w:val="0076784C"/>
    <w:rsid w:val="007A2CE4"/>
    <w:rsid w:val="007B4B07"/>
    <w:rsid w:val="007C069D"/>
    <w:rsid w:val="007D4537"/>
    <w:rsid w:val="007D6EF3"/>
    <w:rsid w:val="007E3172"/>
    <w:rsid w:val="007F3115"/>
    <w:rsid w:val="007F6119"/>
    <w:rsid w:val="00805AD3"/>
    <w:rsid w:val="00822899"/>
    <w:rsid w:val="008232A9"/>
    <w:rsid w:val="0082444F"/>
    <w:rsid w:val="008500B3"/>
    <w:rsid w:val="00853315"/>
    <w:rsid w:val="00883180"/>
    <w:rsid w:val="00886848"/>
    <w:rsid w:val="00893AD2"/>
    <w:rsid w:val="008C4F13"/>
    <w:rsid w:val="00947C96"/>
    <w:rsid w:val="00960670"/>
    <w:rsid w:val="00961454"/>
    <w:rsid w:val="00974CEE"/>
    <w:rsid w:val="00974EDF"/>
    <w:rsid w:val="009B43B5"/>
    <w:rsid w:val="009F6673"/>
    <w:rsid w:val="00A0068E"/>
    <w:rsid w:val="00A32873"/>
    <w:rsid w:val="00A636CE"/>
    <w:rsid w:val="00A71997"/>
    <w:rsid w:val="00A800AA"/>
    <w:rsid w:val="00A876A6"/>
    <w:rsid w:val="00AE0950"/>
    <w:rsid w:val="00AF090B"/>
    <w:rsid w:val="00B17F9D"/>
    <w:rsid w:val="00B45D78"/>
    <w:rsid w:val="00B50F8D"/>
    <w:rsid w:val="00B63785"/>
    <w:rsid w:val="00B813B7"/>
    <w:rsid w:val="00B826F9"/>
    <w:rsid w:val="00B96768"/>
    <w:rsid w:val="00BA3822"/>
    <w:rsid w:val="00C034D4"/>
    <w:rsid w:val="00CC4B6D"/>
    <w:rsid w:val="00D17116"/>
    <w:rsid w:val="00D350E0"/>
    <w:rsid w:val="00D75776"/>
    <w:rsid w:val="00D92EB5"/>
    <w:rsid w:val="00E00BEC"/>
    <w:rsid w:val="00E3179C"/>
    <w:rsid w:val="00E46C83"/>
    <w:rsid w:val="00E90678"/>
    <w:rsid w:val="00EC0DD3"/>
    <w:rsid w:val="00ED7610"/>
    <w:rsid w:val="00EE070D"/>
    <w:rsid w:val="00EF66DA"/>
    <w:rsid w:val="00F10D60"/>
    <w:rsid w:val="00F1423C"/>
    <w:rsid w:val="00F225CD"/>
    <w:rsid w:val="00F75D69"/>
    <w:rsid w:val="04AD2640"/>
    <w:rsid w:val="07981685"/>
    <w:rsid w:val="139C14C8"/>
    <w:rsid w:val="1DBA5153"/>
    <w:rsid w:val="32F33CDE"/>
    <w:rsid w:val="34F56B5E"/>
    <w:rsid w:val="46D3663C"/>
    <w:rsid w:val="4AB77C0C"/>
    <w:rsid w:val="4B5F54C1"/>
    <w:rsid w:val="5A584107"/>
    <w:rsid w:val="644363D6"/>
    <w:rsid w:val="6CF467D7"/>
    <w:rsid w:val="6D4736D0"/>
    <w:rsid w:val="74E004B9"/>
    <w:rsid w:val="7E04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954F72" w:themeColor="followedHyperlink"/>
      <w:u w:val="single"/>
    </w:rPr>
  </w:style>
  <w:style w:type="character" w:styleId="8">
    <w:name w:val="Hyperlink"/>
    <w:basedOn w:val="6"/>
    <w:unhideWhenUsed/>
    <w:qFormat/>
    <w:uiPriority w:val="99"/>
    <w:rPr>
      <w:color w:val="0000FF"/>
      <w:u w:val="single"/>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267</Words>
  <Characters>1523</Characters>
  <Lines>12</Lines>
  <Paragraphs>3</Paragraphs>
  <TotalTime>0</TotalTime>
  <ScaleCrop>false</ScaleCrop>
  <LinksUpToDate>false</LinksUpToDate>
  <CharactersWithSpaces>1787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2019-11-07T06:24:00Z</dcterms:created>
  <dc:creator>law</dc:creator>
  <cp:lastModifiedBy>yang</cp:lastModifiedBy>
  <dcterms:modified xsi:type="dcterms:W3CDTF">2020-09-21T03:11:15Z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