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auto"/>
        <w:ind w:firstLine="720" w:firstLineChars="30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证券代码：002481                            证券简称：双塔食品</w:t>
      </w:r>
    </w:p>
    <w:p>
      <w:pPr>
        <w:spacing w:before="156" w:beforeLines="50" w:after="156" w:afterLines="50" w:line="60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烟台双塔食品股份有限公司投资者关系活动记录表</w:t>
      </w:r>
    </w:p>
    <w:p>
      <w:pPr>
        <w:spacing w:line="400" w:lineRule="exact"/>
        <w:rPr>
          <w:rFonts w:hint="default" w:ascii="宋体" w:hAnsi="宋体" w:eastAsia="宋体"/>
          <w:bCs/>
          <w:iCs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编</w:t>
      </w:r>
      <w:r>
        <w:rPr>
          <w:rFonts w:hint="eastAsia" w:ascii="宋体" w:hAnsi="宋体"/>
          <w:bCs/>
          <w:iCs/>
          <w:sz w:val="24"/>
        </w:rPr>
        <w:t>号：2020</w:t>
      </w:r>
      <w:r>
        <w:rPr>
          <w:rFonts w:hint="eastAsia" w:ascii="宋体" w:hAnsi="宋体"/>
          <w:bCs/>
          <w:iCs/>
          <w:sz w:val="24"/>
          <w:highlight w:val="none"/>
        </w:rPr>
        <w:t>-0</w:t>
      </w:r>
      <w:r>
        <w:rPr>
          <w:rFonts w:hint="eastAsia" w:ascii="宋体" w:hAnsi="宋体"/>
          <w:bCs/>
          <w:iCs/>
          <w:sz w:val="24"/>
          <w:highlight w:val="none"/>
          <w:lang w:val="en-US" w:eastAsia="zh-CN"/>
        </w:rPr>
        <w:t>20</w:t>
      </w:r>
    </w:p>
    <w:tbl>
      <w:tblPr>
        <w:tblStyle w:val="5"/>
        <w:tblW w:w="10275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8"/>
                <w:szCs w:val="28"/>
              </w:rPr>
              <w:t>其他 （投资者电话会议）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639" w:type="dxa"/>
          </w:tcPr>
          <w:p>
            <w:pPr>
              <w:snapToGrid w:val="0"/>
              <w:spacing w:line="400" w:lineRule="exact"/>
              <w:rPr>
                <w:rFonts w:hint="eastAsia" w:eastAsia="宋体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海通证券组织的投资者电话会议（详见附件）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董事长杨君敏、董事会秘书师恩战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636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8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司未来在植物肉领域是如何规划的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，是否会开展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to c业务？</w:t>
            </w:r>
          </w:p>
          <w:p>
            <w:pPr>
              <w:spacing w:line="480" w:lineRule="exact"/>
              <w:ind w:firstLine="48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公司在植物蛋白肉领域，一是聘请了顶尖专业的品牌营销策划团队进行整体策划；二是在相关产品上市以后与大量的带货能力强的网红，进行直播合作，培育新的销售模式，加强to c 端的建设；三是专门成立了两个子公司进行独立运作，计划主要在</w:t>
            </w:r>
            <w:r>
              <w:rPr>
                <w:rFonts w:hint="eastAsia" w:ascii="仿宋" w:hAnsi="仿宋" w:eastAsia="仿宋"/>
                <w:bCs/>
                <w:sz w:val="24"/>
              </w:rPr>
              <w:t>商超、餐饮、电商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、农贸</w:t>
            </w:r>
            <w:r>
              <w:rPr>
                <w:rFonts w:hint="eastAsia" w:ascii="仿宋" w:hAnsi="仿宋" w:eastAsia="仿宋"/>
                <w:bCs/>
                <w:sz w:val="24"/>
              </w:rPr>
              <w:t>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渠道销售；四是加大与一些休闲、快消食品行业大企业进行合作，</w:t>
            </w:r>
            <w:r>
              <w:rPr>
                <w:rFonts w:hint="eastAsia" w:ascii="仿宋" w:hAnsi="仿宋" w:eastAsia="仿宋"/>
                <w:bCs/>
                <w:sz w:val="24"/>
              </w:rPr>
              <w:t>加强与国内外下游客户的产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品研发合作力度，在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to b和to c端同时运作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2、公司的高端蛋白和低端蛋白主要应用在哪些领域？</w:t>
            </w:r>
          </w:p>
          <w:p>
            <w:pPr>
              <w:spacing w:line="480" w:lineRule="exact"/>
              <w:ind w:firstLine="480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公司的高端蛋白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主要应用领域有蛋白质粉、增肌粉等固体饮料或保健品，烘焙食品、膨化食品、能量棒、植物蛋白饮料、植物蛋白肉等领域。</w:t>
            </w:r>
            <w:r>
              <w:rPr>
                <w:rFonts w:hint="eastAsia" w:ascii="仿宋" w:hAnsi="仿宋" w:eastAsia="仿宋"/>
                <w:sz w:val="24"/>
              </w:rPr>
              <w:t>低端蛋白主要销售给高性能鱼饲料客户，以及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一些</w:t>
            </w:r>
            <w:r>
              <w:rPr>
                <w:rFonts w:hint="eastAsia" w:ascii="仿宋" w:hAnsi="仿宋" w:eastAsia="仿宋"/>
                <w:sz w:val="24"/>
              </w:rPr>
              <w:t>高端宠物食品企业。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目前公司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原料采购是否存在风险？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12" w:leftChars="196"/>
              <w:textAlignment w:val="auto"/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目前公司豌豆原料主要从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加拿大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、法国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进口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未来随着俄罗斯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、土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耳其、乌克兰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等国家豌豆市场进口放开，豌豆原料的采购可以拓宽渠道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；公司与一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些科研院校正在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研究豌豆种子的研发，并在国内进行小规模试种，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考虑从原料种植开始着手，防范今后可能发生的风险。公司往年原料储存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3个月的生产需求，今年考虑到疫情及其他因素的影响，将豌豆原料储存提高到满足6个月以上的生产需求，原料端不存在风险。</w:t>
            </w:r>
          </w:p>
          <w:p>
            <w:pPr>
              <w:pStyle w:val="14"/>
              <w:numPr>
                <w:ilvl w:val="0"/>
                <w:numId w:val="0"/>
              </w:numPr>
              <w:spacing w:line="48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随着豌豆蛋白产能的扩张，豌豆淀粉是否会影响其他高毛利产品？</w:t>
            </w:r>
          </w:p>
          <w:p>
            <w:pPr>
              <w:spacing w:line="480" w:lineRule="exact"/>
              <w:ind w:firstLine="480" w:firstLineChars="2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豌豆蛋白产能扩张带来的附加产品淀粉的消化，一是通过到省外去建设新的工厂，扩大粉丝的产能，拓宽市场渠道，将一部分淀粉转化为粉丝进行销售，提高利润率的转化；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二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是加快豌豆淀粉在米粉、环保涂料等领域应用研究，积极开发豌豆淀粉更广泛的应用。总体来看，未来豌豆蛋白的不断扩展，淀粉的消化问题不会拖累公司的整体盈利水平。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81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植物蛋白肉的成本与真肉相比如何？相关产品有哪些销售渠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道？</w:t>
            </w:r>
          </w:p>
          <w:p>
            <w:pPr>
              <w:spacing w:line="480" w:lineRule="exact"/>
              <w:ind w:firstLine="480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公司生产的植物蛋白肉的成本经过初步测算，成本要远低于真肉的价格。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目前计划产品主要通过网红、</w:t>
            </w:r>
            <w:r>
              <w:rPr>
                <w:rFonts w:hint="eastAsia" w:ascii="仿宋" w:hAnsi="仿宋" w:eastAsia="仿宋"/>
                <w:bCs/>
                <w:sz w:val="24"/>
              </w:rPr>
              <w:t>商超、餐饮、电商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、农贸</w:t>
            </w:r>
            <w:r>
              <w:rPr>
                <w:rFonts w:hint="eastAsia" w:ascii="仿宋" w:hAnsi="仿宋" w:eastAsia="仿宋"/>
                <w:bCs/>
                <w:sz w:val="24"/>
              </w:rPr>
              <w:t>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渠道进行销售。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公司与豌豆蛋白行业其他企业相比有哪些竞争优势？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一是规模最大，目前全球豌豆蛋白约17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-20</w:t>
            </w:r>
            <w:r>
              <w:rPr>
                <w:rFonts w:hint="eastAsia" w:ascii="仿宋" w:hAnsi="仿宋" w:eastAsia="仿宋"/>
                <w:bCs/>
                <w:sz w:val="24"/>
              </w:rPr>
              <w:t>万吨，公司豌豆蛋白年产能约7万吨，占全球豌豆蛋白产能的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30%-</w:t>
            </w:r>
            <w:r>
              <w:rPr>
                <w:rFonts w:hint="eastAsia" w:ascii="仿宋" w:hAnsi="仿宋" w:eastAsia="仿宋"/>
                <w:bCs/>
                <w:sz w:val="24"/>
              </w:rPr>
              <w:t>40%。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二是技术最先进、最全面。公司技术水平一直处于行业领先水平，目前公司已掌握豌豆蛋白的全部提取技术：湿法工艺（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酸浆法</w:t>
            </w:r>
            <w:r>
              <w:rPr>
                <w:rFonts w:hint="eastAsia" w:ascii="仿宋" w:hAnsi="仿宋" w:eastAsia="仿宋"/>
                <w:bCs/>
                <w:sz w:val="24"/>
              </w:rPr>
              <w:t>工艺）、干法工艺、新干法工艺。新干法工艺是公司自主研发的先进技术。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三是豌豆蛋白品类最齐全。目前公司可根据下游客户需求，提供不同配方、不同用途的豌豆蛋白，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在同行业中有很强的的竞争力</w:t>
            </w:r>
            <w:r>
              <w:rPr>
                <w:rFonts w:hint="eastAsia" w:ascii="仿宋" w:hAnsi="仿宋" w:eastAsia="仿宋"/>
                <w:bCs/>
                <w:sz w:val="24"/>
              </w:rPr>
              <w:t>。公司可以根据客户需求提供轻度酶解蛋白、高保水性蛋白、高凝胶性蛋白、低钠高钙蛋白、组织蛋白等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多种产品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综合成本最低。公司是目前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全球</w:t>
            </w:r>
            <w:r>
              <w:rPr>
                <w:rFonts w:hint="eastAsia" w:ascii="仿宋" w:hAnsi="仿宋" w:eastAsia="仿宋"/>
                <w:bCs/>
                <w:sz w:val="24"/>
              </w:rPr>
              <w:t>行业内唯一的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被国家认定为</w:t>
            </w:r>
            <w:r>
              <w:rPr>
                <w:rFonts w:hint="eastAsia" w:ascii="仿宋" w:hAnsi="仿宋" w:eastAsia="仿宋"/>
                <w:bCs/>
                <w:sz w:val="24"/>
              </w:rPr>
              <w:t>国家级循环经济教育基地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、示范基地</w:t>
            </w:r>
            <w:r>
              <w:rPr>
                <w:rFonts w:hint="eastAsia" w:ascii="仿宋" w:hAnsi="仿宋" w:eastAsia="仿宋"/>
                <w:bCs/>
                <w:sz w:val="24"/>
              </w:rPr>
              <w:t>，依托于生物发酵工艺，通过一粒豆子，生产出10多种产品。目前行业内只要公司有这种循环模式。通过这种循环产业链模式，公司的综合成本较同行业可降低约30%左右。</w:t>
            </w:r>
          </w:p>
          <w:p>
            <w:pPr>
              <w:spacing w:line="480" w:lineRule="exact"/>
              <w:ind w:firstLine="495"/>
              <w:rPr>
                <w:rFonts w:cs="Arial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7、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公司是否会有对核心技术人员和中高层的股权激励计划？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为了进一步招来人才、留住人才，公司会选择合适的时机考虑对核心技术人员和中高层人员出台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bCs/>
                <w:sz w:val="24"/>
              </w:rPr>
              <w:t>相应的激励措施。</w:t>
            </w:r>
          </w:p>
          <w:p>
            <w:pPr>
              <w:numPr>
                <w:ilvl w:val="0"/>
                <w:numId w:val="4"/>
              </w:numPr>
              <w:spacing w:line="480" w:lineRule="exact"/>
              <w:ind w:left="482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目前公司豌豆蛋白产能是多少，今年产能利用率在多少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未来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两年公司产能规划如何？</w:t>
            </w:r>
          </w:p>
          <w:p>
            <w:pPr>
              <w:spacing w:line="480" w:lineRule="exact"/>
              <w:ind w:firstLine="480" w:firstLineChars="200"/>
              <w:rPr>
                <w:rFonts w:hint="eastAsia"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目前公司豌豆产能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约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7万吨，其中高端豌豆蛋白产能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约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4万吨，低端豌豆蛋白产能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约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3万吨，今年公司的产能利用率较去年将会有大的提升。目前公司豌豆蛋白的市场占有率在30%-40%，未来两年市场占有率有望提升到50%-60%。公司新的豌豆精深加工项目基建部分已基本完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成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，预计明年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半年度可全部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建设完毕，建设完成可贡献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约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1.5万吨高端豌豆蛋白产能。另外白蛋白项目和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功能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糖项目一期项目也在建设之中，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未来公司的产能将会得到大幅提升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480" w:lineRule="exact"/>
              <w:ind w:left="482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未来豌豆蛋白替代大豆蛋白等其他植物蛋白的效应如何？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firstLine="480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因豌豆蛋白具有非转基因、无过敏原、零胆固醇、低脂肪等其他植物蛋白不可替代的优势，以及消费升级及食品安全、健康饮食理念的深入，豌豆蛋白的需求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日趋</w:t>
            </w:r>
            <w:r>
              <w:rPr>
                <w:rFonts w:hint="eastAsia" w:ascii="华文仿宋" w:hAnsi="华文仿宋" w:eastAsia="华文仿宋"/>
                <w:sz w:val="24"/>
              </w:rPr>
              <w:t>旺盛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，豌豆蛋白对大豆蛋白等其他植物蛋白替代效应会日趋明显。</w:t>
            </w:r>
          </w:p>
          <w:p>
            <w:pPr>
              <w:spacing w:line="480" w:lineRule="exact"/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10、公司定增计划终止的原因是什么？公司目前白蛋白和功能糖项目进展如何？</w:t>
            </w:r>
          </w:p>
          <w:p>
            <w:pPr>
              <w:spacing w:line="480" w:lineRule="exac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定增计划终止系因项目用地暂未落实，且其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具体</w:t>
            </w:r>
            <w:r>
              <w:rPr>
                <w:rFonts w:hint="eastAsia" w:ascii="华文仿宋" w:hAnsi="华文仿宋" w:eastAsia="华文仿宋"/>
                <w:sz w:val="24"/>
              </w:rPr>
              <w:t>审批进度无法确定，综合考虑公司经营情况、发展规划等内外部因素，经慎重研究决定终止本次发行事项。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firstLine="480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公司将利用自有资金进行白蛋白项目、功能糖项目等项目建设，公司目前货币资金充裕，融资渠道广泛、融资成本较低，在银行的授信额度充足，公司完全有能力完成项目的建设。公司的白蛋白一期项目进展顺利，功能糖一期项目基础设施建设已经基本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tbl>
      <w:tblPr>
        <w:tblStyle w:val="5"/>
        <w:tblW w:w="88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775"/>
        <w:gridCol w:w="4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Cyber Altas Capital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sherry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eapieal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Ivan Du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Fuh Hwa Securities Investment Trust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Lorraine Kuo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Invesco OppenheimerFunds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 Jinsong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OCTO Rivers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Evan Zhou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Optimas Capital 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Evan Zhou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Optimas Capital 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Robeco Global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 Mei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Trivest Advisors 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东方阿尔法基金管理有限公司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东方阿尔法基金管理有限公司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梅唯一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博道基金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国信证券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Daryl Liu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周蟾燕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摩根士丹利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杭州思悦投资有限公司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民玉资产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沈若函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浙江浙商证券资产管理有限公司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Xinyi Shen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海通国际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海通国际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源乘投资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瑞实投资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Stephen Wang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美迪投资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聚鸣投资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诺安基金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温淑涵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高盛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18" w:right="1606" w:bottom="910" w:left="1700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523875" cy="314325"/>
          <wp:effectExtent l="0" t="0" r="9525" b="9525"/>
          <wp:docPr id="1" name="图片 1" descr="双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双塔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烟台双塔食品股份有限公司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79C33"/>
    <w:multiLevelType w:val="singleLevel"/>
    <w:tmpl w:val="82379C33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C425B4A6"/>
    <w:multiLevelType w:val="singleLevel"/>
    <w:tmpl w:val="C425B4A6"/>
    <w:lvl w:ilvl="0" w:tentative="0">
      <w:start w:val="5"/>
      <w:numFmt w:val="decimal"/>
      <w:suff w:val="nothing"/>
      <w:lvlText w:val="%1、"/>
      <w:lvlJc w:val="left"/>
      <w:pPr>
        <w:ind w:left="481" w:leftChars="0" w:firstLine="0" w:firstLineChars="0"/>
      </w:pPr>
    </w:lvl>
  </w:abstractNum>
  <w:abstractNum w:abstractNumId="2">
    <w:nsid w:val="3A1EC51B"/>
    <w:multiLevelType w:val="singleLevel"/>
    <w:tmpl w:val="3A1EC51B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3">
    <w:nsid w:val="723B07ED"/>
    <w:multiLevelType w:val="singleLevel"/>
    <w:tmpl w:val="723B07E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ED2105C"/>
    <w:multiLevelType w:val="singleLevel"/>
    <w:tmpl w:val="7ED2105C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58"/>
    <w:rsid w:val="00005EF5"/>
    <w:rsid w:val="00015739"/>
    <w:rsid w:val="00016B8A"/>
    <w:rsid w:val="00033A53"/>
    <w:rsid w:val="00044E82"/>
    <w:rsid w:val="0005638F"/>
    <w:rsid w:val="00090843"/>
    <w:rsid w:val="000A12B2"/>
    <w:rsid w:val="00110F58"/>
    <w:rsid w:val="00112F2B"/>
    <w:rsid w:val="001322F5"/>
    <w:rsid w:val="001D4388"/>
    <w:rsid w:val="001F2130"/>
    <w:rsid w:val="002128DC"/>
    <w:rsid w:val="0022633D"/>
    <w:rsid w:val="002446AF"/>
    <w:rsid w:val="00261C41"/>
    <w:rsid w:val="00291A22"/>
    <w:rsid w:val="002D3246"/>
    <w:rsid w:val="002D5CEB"/>
    <w:rsid w:val="002F1E22"/>
    <w:rsid w:val="003546F0"/>
    <w:rsid w:val="00373B9A"/>
    <w:rsid w:val="00386825"/>
    <w:rsid w:val="003C53DC"/>
    <w:rsid w:val="00404F79"/>
    <w:rsid w:val="00422D71"/>
    <w:rsid w:val="00440E0A"/>
    <w:rsid w:val="00461066"/>
    <w:rsid w:val="004C1AA9"/>
    <w:rsid w:val="00524D8A"/>
    <w:rsid w:val="0057689B"/>
    <w:rsid w:val="005A4121"/>
    <w:rsid w:val="005C695E"/>
    <w:rsid w:val="005D4C5B"/>
    <w:rsid w:val="006372AB"/>
    <w:rsid w:val="006811BE"/>
    <w:rsid w:val="006D2C57"/>
    <w:rsid w:val="006D65A1"/>
    <w:rsid w:val="007000A1"/>
    <w:rsid w:val="00743AB5"/>
    <w:rsid w:val="00771D92"/>
    <w:rsid w:val="007C6D29"/>
    <w:rsid w:val="00821E2F"/>
    <w:rsid w:val="00822490"/>
    <w:rsid w:val="0083423B"/>
    <w:rsid w:val="00867107"/>
    <w:rsid w:val="008D010C"/>
    <w:rsid w:val="008E2458"/>
    <w:rsid w:val="009545F0"/>
    <w:rsid w:val="00956BB7"/>
    <w:rsid w:val="00985D29"/>
    <w:rsid w:val="009B2258"/>
    <w:rsid w:val="00A164F2"/>
    <w:rsid w:val="00A21DC1"/>
    <w:rsid w:val="00A501E8"/>
    <w:rsid w:val="00AA6202"/>
    <w:rsid w:val="00AA6FC1"/>
    <w:rsid w:val="00AD7159"/>
    <w:rsid w:val="00B02105"/>
    <w:rsid w:val="00B27D85"/>
    <w:rsid w:val="00B306FC"/>
    <w:rsid w:val="00B459B9"/>
    <w:rsid w:val="00B54618"/>
    <w:rsid w:val="00B71E9F"/>
    <w:rsid w:val="00BB3B9C"/>
    <w:rsid w:val="00BE33FA"/>
    <w:rsid w:val="00BE3E57"/>
    <w:rsid w:val="00C0170E"/>
    <w:rsid w:val="00C0280A"/>
    <w:rsid w:val="00C2011C"/>
    <w:rsid w:val="00C47545"/>
    <w:rsid w:val="00C8263B"/>
    <w:rsid w:val="00CB1236"/>
    <w:rsid w:val="00CB4B16"/>
    <w:rsid w:val="00CC1710"/>
    <w:rsid w:val="00D25DA7"/>
    <w:rsid w:val="00D51783"/>
    <w:rsid w:val="00DA68A3"/>
    <w:rsid w:val="00DC4D24"/>
    <w:rsid w:val="00DF4060"/>
    <w:rsid w:val="00E03F09"/>
    <w:rsid w:val="00E1200B"/>
    <w:rsid w:val="00E21E02"/>
    <w:rsid w:val="00E37F0F"/>
    <w:rsid w:val="00E40627"/>
    <w:rsid w:val="00E40FC5"/>
    <w:rsid w:val="00E92C2C"/>
    <w:rsid w:val="00EA6766"/>
    <w:rsid w:val="00EA6D10"/>
    <w:rsid w:val="00EE201D"/>
    <w:rsid w:val="00F02E19"/>
    <w:rsid w:val="00F172F8"/>
    <w:rsid w:val="00F365DC"/>
    <w:rsid w:val="00F612EE"/>
    <w:rsid w:val="00F87003"/>
    <w:rsid w:val="02D24DF0"/>
    <w:rsid w:val="03ED0CCF"/>
    <w:rsid w:val="06684B5D"/>
    <w:rsid w:val="069F69BD"/>
    <w:rsid w:val="076658DC"/>
    <w:rsid w:val="097369EB"/>
    <w:rsid w:val="0A250C30"/>
    <w:rsid w:val="0A481E95"/>
    <w:rsid w:val="0C38360A"/>
    <w:rsid w:val="0C9C06AE"/>
    <w:rsid w:val="0D291406"/>
    <w:rsid w:val="0E7A13E5"/>
    <w:rsid w:val="0EA556E8"/>
    <w:rsid w:val="0EC054EB"/>
    <w:rsid w:val="0EDA3617"/>
    <w:rsid w:val="0F415EB4"/>
    <w:rsid w:val="0FBC5CE3"/>
    <w:rsid w:val="0FC52126"/>
    <w:rsid w:val="0FD27AEB"/>
    <w:rsid w:val="11EC19D6"/>
    <w:rsid w:val="129F3F54"/>
    <w:rsid w:val="12DE07B5"/>
    <w:rsid w:val="13537C91"/>
    <w:rsid w:val="13F13302"/>
    <w:rsid w:val="145F56A1"/>
    <w:rsid w:val="14D813D9"/>
    <w:rsid w:val="15160857"/>
    <w:rsid w:val="15403685"/>
    <w:rsid w:val="167438B8"/>
    <w:rsid w:val="19D86055"/>
    <w:rsid w:val="19DB5A1D"/>
    <w:rsid w:val="1ACC6156"/>
    <w:rsid w:val="1AEE40E8"/>
    <w:rsid w:val="1D9E0D59"/>
    <w:rsid w:val="20426027"/>
    <w:rsid w:val="208100CA"/>
    <w:rsid w:val="20893135"/>
    <w:rsid w:val="20D81138"/>
    <w:rsid w:val="20F16EA7"/>
    <w:rsid w:val="210E7AC0"/>
    <w:rsid w:val="21A9540D"/>
    <w:rsid w:val="23EC428A"/>
    <w:rsid w:val="26275789"/>
    <w:rsid w:val="26384788"/>
    <w:rsid w:val="271951CB"/>
    <w:rsid w:val="27B676E3"/>
    <w:rsid w:val="286B0375"/>
    <w:rsid w:val="29013562"/>
    <w:rsid w:val="2A2B75A7"/>
    <w:rsid w:val="2A6A3B63"/>
    <w:rsid w:val="2B1C0550"/>
    <w:rsid w:val="2DD8639F"/>
    <w:rsid w:val="2F6F47F9"/>
    <w:rsid w:val="314E5B3E"/>
    <w:rsid w:val="315F0B85"/>
    <w:rsid w:val="3462549F"/>
    <w:rsid w:val="34C46790"/>
    <w:rsid w:val="36A22D84"/>
    <w:rsid w:val="38003D64"/>
    <w:rsid w:val="3C757B77"/>
    <w:rsid w:val="3D6B6DFA"/>
    <w:rsid w:val="3E2D70D0"/>
    <w:rsid w:val="40632B53"/>
    <w:rsid w:val="40757805"/>
    <w:rsid w:val="40E434E8"/>
    <w:rsid w:val="43150048"/>
    <w:rsid w:val="43401FE7"/>
    <w:rsid w:val="43CA1EE1"/>
    <w:rsid w:val="46AA2F54"/>
    <w:rsid w:val="486900BE"/>
    <w:rsid w:val="4884065E"/>
    <w:rsid w:val="488D4A7B"/>
    <w:rsid w:val="49524E8A"/>
    <w:rsid w:val="4A2E6344"/>
    <w:rsid w:val="4ADE003D"/>
    <w:rsid w:val="4BE23579"/>
    <w:rsid w:val="4ED316E2"/>
    <w:rsid w:val="4EFB2FC7"/>
    <w:rsid w:val="51DC28EE"/>
    <w:rsid w:val="5A3E592F"/>
    <w:rsid w:val="5CA44410"/>
    <w:rsid w:val="5D0E069C"/>
    <w:rsid w:val="614579C9"/>
    <w:rsid w:val="61AD5C9E"/>
    <w:rsid w:val="61F64375"/>
    <w:rsid w:val="62C55987"/>
    <w:rsid w:val="6369176D"/>
    <w:rsid w:val="648356AA"/>
    <w:rsid w:val="650F684F"/>
    <w:rsid w:val="66611FD1"/>
    <w:rsid w:val="6678214C"/>
    <w:rsid w:val="69B7586E"/>
    <w:rsid w:val="69E61C04"/>
    <w:rsid w:val="6A814E63"/>
    <w:rsid w:val="6B933FE3"/>
    <w:rsid w:val="6C451286"/>
    <w:rsid w:val="6C8A731F"/>
    <w:rsid w:val="6D68083F"/>
    <w:rsid w:val="6E876461"/>
    <w:rsid w:val="6EDB2790"/>
    <w:rsid w:val="6EFC053E"/>
    <w:rsid w:val="6F1A4FC6"/>
    <w:rsid w:val="70F942A5"/>
    <w:rsid w:val="713B3C3D"/>
    <w:rsid w:val="71C53BDD"/>
    <w:rsid w:val="72A76AF4"/>
    <w:rsid w:val="779819A9"/>
    <w:rsid w:val="78AF3145"/>
    <w:rsid w:val="78CD5708"/>
    <w:rsid w:val="78FF4D66"/>
    <w:rsid w:val="79461955"/>
    <w:rsid w:val="798261F5"/>
    <w:rsid w:val="7B1B59CF"/>
    <w:rsid w:val="7C3E5D8C"/>
    <w:rsid w:val="7FCD26A6"/>
    <w:rsid w:val="7FD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="Microsoft JhengHe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438</Words>
  <Characters>2498</Characters>
  <Lines>20</Lines>
  <Paragraphs>5</Paragraphs>
  <TotalTime>55</TotalTime>
  <ScaleCrop>false</ScaleCrop>
  <LinksUpToDate>false</LinksUpToDate>
  <CharactersWithSpaces>2931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2016-05-14T06:05:00Z</dcterms:created>
  <dc:creator>User</dc:creator>
  <cp:lastModifiedBy>stsp045</cp:lastModifiedBy>
  <cp:lastPrinted>2020-09-23T02:24:00Z</cp:lastPrinted>
  <dcterms:modified xsi:type="dcterms:W3CDTF">2020-09-23T10:38:16Z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