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407604" w14:textId="77777777" w:rsidR="00D77D3C" w:rsidRDefault="000A68C1">
      <w:pPr>
        <w:spacing w:beforeLines="50" w:before="156" w:afterLines="50" w:after="156" w:line="480" w:lineRule="exact"/>
        <w:rPr>
          <w:rFonts w:asciiTheme="minorEastAsia" w:eastAsiaTheme="minorEastAsia" w:hAnsiTheme="minorEastAsia"/>
          <w:bCs/>
          <w:iCs/>
          <w:color w:val="000000"/>
          <w:sz w:val="28"/>
          <w:szCs w:val="28"/>
        </w:rPr>
      </w:pPr>
      <w:r>
        <w:rPr>
          <w:rFonts w:asciiTheme="minorEastAsia" w:eastAsiaTheme="minorEastAsia" w:hAnsiTheme="minorEastAsia"/>
          <w:bCs/>
          <w:iCs/>
          <w:color w:val="000000"/>
          <w:sz w:val="28"/>
          <w:szCs w:val="28"/>
        </w:rPr>
        <w:t>证券代码：0006</w:t>
      </w:r>
      <w:r>
        <w:rPr>
          <w:rFonts w:asciiTheme="minorEastAsia" w:eastAsiaTheme="minorEastAsia" w:hAnsiTheme="minorEastAsia" w:hint="eastAsia"/>
          <w:bCs/>
          <w:iCs/>
          <w:color w:val="000000"/>
          <w:sz w:val="28"/>
          <w:szCs w:val="28"/>
        </w:rPr>
        <w:t>56</w:t>
      </w:r>
      <w:r>
        <w:rPr>
          <w:rFonts w:asciiTheme="minorEastAsia" w:eastAsiaTheme="minorEastAsia" w:hAnsiTheme="minorEastAsia"/>
          <w:bCs/>
          <w:iCs/>
          <w:color w:val="000000"/>
          <w:sz w:val="28"/>
          <w:szCs w:val="28"/>
        </w:rPr>
        <w:t xml:space="preserve">                      证券简称：金科股份</w:t>
      </w:r>
    </w:p>
    <w:p w14:paraId="05FC4BFA" w14:textId="77777777" w:rsidR="00D77D3C" w:rsidRDefault="000A68C1">
      <w:pPr>
        <w:spacing w:beforeLines="50" w:before="156" w:afterLines="50" w:after="156" w:line="480" w:lineRule="exact"/>
        <w:jc w:val="center"/>
        <w:rPr>
          <w:rFonts w:asciiTheme="minorEastAsia" w:eastAsiaTheme="minorEastAsia" w:hAnsiTheme="minorEastAsia"/>
          <w:b/>
          <w:bCs/>
          <w:iCs/>
          <w:color w:val="000000"/>
          <w:sz w:val="32"/>
          <w:szCs w:val="32"/>
        </w:rPr>
      </w:pPr>
      <w:r>
        <w:rPr>
          <w:rFonts w:asciiTheme="minorEastAsia" w:eastAsiaTheme="minorEastAsia" w:hAnsiTheme="minorEastAsia"/>
          <w:b/>
          <w:bCs/>
          <w:iCs/>
          <w:color w:val="000000"/>
          <w:sz w:val="32"/>
          <w:szCs w:val="32"/>
        </w:rPr>
        <w:t>金科地产集团股份有限公司投资者关系活动记录表</w:t>
      </w:r>
    </w:p>
    <w:p w14:paraId="3AFB651A" w14:textId="77777777" w:rsidR="00D77D3C" w:rsidRDefault="000A68C1">
      <w:pPr>
        <w:spacing w:beforeLines="50" w:before="156" w:afterLines="50" w:after="156" w:line="480" w:lineRule="exact"/>
        <w:jc w:val="left"/>
        <w:rPr>
          <w:rFonts w:asciiTheme="minorEastAsia" w:eastAsiaTheme="minorEastAsia" w:hAnsiTheme="minorEastAsia"/>
          <w:b/>
          <w:bCs/>
          <w:iCs/>
          <w:sz w:val="24"/>
          <w:szCs w:val="21"/>
        </w:rPr>
      </w:pPr>
      <w:r>
        <w:rPr>
          <w:rFonts w:asciiTheme="minorEastAsia" w:eastAsiaTheme="minorEastAsia" w:hAnsiTheme="minorEastAsia"/>
          <w:b/>
          <w:bCs/>
          <w:sz w:val="24"/>
          <w:szCs w:val="21"/>
        </w:rPr>
        <w:t>重要提示：凡涉及公司未来计划、发展战略等前瞻性描述不构成公司对投资者的实质承</w:t>
      </w:r>
      <w:bookmarkStart w:id="0" w:name="_GoBack"/>
      <w:bookmarkEnd w:id="0"/>
      <w:r>
        <w:rPr>
          <w:rFonts w:asciiTheme="minorEastAsia" w:eastAsiaTheme="minorEastAsia" w:hAnsiTheme="minorEastAsia"/>
          <w:b/>
          <w:bCs/>
          <w:sz w:val="24"/>
          <w:szCs w:val="21"/>
        </w:rPr>
        <w:t>诺，敬请投资者注意投资风险。</w:t>
      </w:r>
    </w:p>
    <w:p w14:paraId="59626186" w14:textId="5660C16A" w:rsidR="00D77D3C" w:rsidRDefault="000A68C1">
      <w:pPr>
        <w:spacing w:line="480" w:lineRule="exact"/>
        <w:rPr>
          <w:rFonts w:asciiTheme="minorEastAsia" w:eastAsiaTheme="minorEastAsia" w:hAnsiTheme="minorEastAsia"/>
          <w:bCs/>
          <w:iCs/>
          <w:color w:val="000000"/>
          <w:sz w:val="24"/>
        </w:rPr>
      </w:pPr>
      <w:r>
        <w:rPr>
          <w:rFonts w:asciiTheme="minorEastAsia" w:eastAsiaTheme="minorEastAsia" w:hAnsiTheme="minorEastAsia"/>
          <w:bCs/>
          <w:iCs/>
          <w:color w:val="000000"/>
          <w:sz w:val="24"/>
        </w:rPr>
        <w:t xml:space="preserve">                                                         </w:t>
      </w:r>
      <w:r w:rsidRPr="00494B97">
        <w:rPr>
          <w:rFonts w:asciiTheme="minorEastAsia" w:eastAsiaTheme="minorEastAsia" w:hAnsiTheme="minorEastAsia"/>
          <w:bCs/>
          <w:iCs/>
          <w:color w:val="000000"/>
          <w:sz w:val="24"/>
        </w:rPr>
        <w:t>编号：20</w:t>
      </w:r>
      <w:r w:rsidRPr="00494B97">
        <w:rPr>
          <w:rFonts w:asciiTheme="minorEastAsia" w:eastAsiaTheme="minorEastAsia" w:hAnsiTheme="minorEastAsia" w:hint="eastAsia"/>
          <w:bCs/>
          <w:iCs/>
          <w:color w:val="000000"/>
          <w:sz w:val="24"/>
        </w:rPr>
        <w:t>20</w:t>
      </w:r>
      <w:r w:rsidRPr="00494B97">
        <w:rPr>
          <w:rFonts w:asciiTheme="minorEastAsia" w:eastAsiaTheme="minorEastAsia" w:hAnsiTheme="minorEastAsia"/>
          <w:bCs/>
          <w:iCs/>
          <w:color w:val="000000"/>
          <w:sz w:val="24"/>
        </w:rPr>
        <w:t>-0</w:t>
      </w:r>
      <w:r w:rsidR="004F34DA" w:rsidRPr="00494B97">
        <w:rPr>
          <w:rFonts w:asciiTheme="minorEastAsia" w:eastAsiaTheme="minorEastAsia" w:hAnsiTheme="minorEastAsia" w:hint="eastAsia"/>
          <w:bCs/>
          <w:iCs/>
          <w:color w:val="000000"/>
          <w:sz w:val="24"/>
        </w:rPr>
        <w:t>7</w:t>
      </w: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466"/>
        <w:gridCol w:w="6820"/>
      </w:tblGrid>
      <w:tr w:rsidR="00D77D3C" w14:paraId="6B43BD14" w14:textId="77777777">
        <w:trPr>
          <w:trHeight w:val="20"/>
          <w:jc w:val="center"/>
        </w:trPr>
        <w:tc>
          <w:tcPr>
            <w:tcW w:w="1328" w:type="pct"/>
            <w:tcBorders>
              <w:tl2br w:val="nil"/>
              <w:tr2bl w:val="nil"/>
            </w:tcBorders>
            <w:shd w:val="clear" w:color="auto" w:fill="auto"/>
            <w:vAlign w:val="center"/>
          </w:tcPr>
          <w:p w14:paraId="2E442BAC" w14:textId="77777777" w:rsidR="00D77D3C" w:rsidRDefault="000A68C1">
            <w:pPr>
              <w:widowControl/>
              <w:spacing w:line="480" w:lineRule="exact"/>
              <w:jc w:val="center"/>
              <w:rPr>
                <w:rFonts w:asciiTheme="minorEastAsia" w:eastAsiaTheme="minorEastAsia" w:hAnsiTheme="minorEastAsia"/>
                <w:color w:val="000000"/>
                <w:kern w:val="0"/>
                <w:sz w:val="28"/>
                <w:szCs w:val="28"/>
              </w:rPr>
            </w:pPr>
            <w:r>
              <w:rPr>
                <w:rFonts w:asciiTheme="minorEastAsia" w:eastAsiaTheme="minorEastAsia" w:hAnsiTheme="minorEastAsia"/>
                <w:color w:val="000000"/>
                <w:kern w:val="0"/>
                <w:sz w:val="28"/>
                <w:szCs w:val="28"/>
              </w:rPr>
              <w:t>时间</w:t>
            </w:r>
          </w:p>
        </w:tc>
        <w:tc>
          <w:tcPr>
            <w:tcW w:w="3672" w:type="pct"/>
            <w:tcBorders>
              <w:tl2br w:val="nil"/>
              <w:tr2bl w:val="nil"/>
            </w:tcBorders>
            <w:shd w:val="clear" w:color="auto" w:fill="auto"/>
            <w:vAlign w:val="center"/>
          </w:tcPr>
          <w:p w14:paraId="084C1EBC" w14:textId="64986BBD" w:rsidR="00D77D3C" w:rsidRDefault="000A68C1">
            <w:pPr>
              <w:widowControl/>
              <w:spacing w:line="480" w:lineRule="exact"/>
              <w:rPr>
                <w:rFonts w:asciiTheme="minorEastAsia" w:eastAsiaTheme="minorEastAsia" w:hAnsiTheme="minorEastAsia"/>
                <w:color w:val="000000"/>
                <w:kern w:val="0"/>
                <w:sz w:val="28"/>
                <w:szCs w:val="28"/>
              </w:rPr>
            </w:pPr>
            <w:r>
              <w:rPr>
                <w:rFonts w:asciiTheme="minorEastAsia" w:eastAsiaTheme="minorEastAsia" w:hAnsiTheme="minorEastAsia"/>
                <w:color w:val="000000"/>
                <w:kern w:val="0"/>
                <w:sz w:val="28"/>
                <w:szCs w:val="28"/>
              </w:rPr>
              <w:t>20</w:t>
            </w:r>
            <w:r>
              <w:rPr>
                <w:rFonts w:asciiTheme="minorEastAsia" w:eastAsiaTheme="minorEastAsia" w:hAnsiTheme="minorEastAsia" w:hint="eastAsia"/>
                <w:color w:val="000000"/>
                <w:kern w:val="0"/>
                <w:sz w:val="28"/>
                <w:szCs w:val="28"/>
              </w:rPr>
              <w:t>20</w:t>
            </w:r>
            <w:r>
              <w:rPr>
                <w:rFonts w:asciiTheme="minorEastAsia" w:eastAsiaTheme="minorEastAsia" w:hAnsiTheme="minorEastAsia"/>
                <w:color w:val="000000"/>
                <w:kern w:val="0"/>
                <w:sz w:val="28"/>
                <w:szCs w:val="28"/>
              </w:rPr>
              <w:t>年</w:t>
            </w:r>
            <w:r w:rsidR="004F34DA">
              <w:rPr>
                <w:rFonts w:asciiTheme="minorEastAsia" w:eastAsiaTheme="minorEastAsia" w:hAnsiTheme="minorEastAsia" w:hint="eastAsia"/>
                <w:color w:val="000000"/>
                <w:kern w:val="0"/>
                <w:sz w:val="28"/>
                <w:szCs w:val="28"/>
              </w:rPr>
              <w:t>9</w:t>
            </w:r>
            <w:r>
              <w:rPr>
                <w:rFonts w:asciiTheme="minorEastAsia" w:eastAsiaTheme="minorEastAsia" w:hAnsiTheme="minorEastAsia"/>
                <w:color w:val="000000"/>
                <w:kern w:val="0"/>
                <w:sz w:val="28"/>
                <w:szCs w:val="28"/>
              </w:rPr>
              <w:t>月</w:t>
            </w:r>
            <w:r w:rsidR="00971D7A">
              <w:rPr>
                <w:rFonts w:asciiTheme="minorEastAsia" w:eastAsiaTheme="minorEastAsia" w:hAnsiTheme="minorEastAsia" w:hint="eastAsia"/>
                <w:color w:val="000000"/>
                <w:kern w:val="0"/>
                <w:sz w:val="28"/>
                <w:szCs w:val="28"/>
              </w:rPr>
              <w:t>2</w:t>
            </w:r>
            <w:r w:rsidR="004F34DA">
              <w:rPr>
                <w:rFonts w:asciiTheme="minorEastAsia" w:eastAsiaTheme="minorEastAsia" w:hAnsiTheme="minorEastAsia" w:hint="eastAsia"/>
                <w:color w:val="000000"/>
                <w:kern w:val="0"/>
                <w:sz w:val="28"/>
                <w:szCs w:val="28"/>
              </w:rPr>
              <w:t>4</w:t>
            </w:r>
            <w:r>
              <w:rPr>
                <w:rFonts w:asciiTheme="minorEastAsia" w:eastAsiaTheme="minorEastAsia" w:hAnsiTheme="minorEastAsia" w:hint="eastAsia"/>
                <w:color w:val="000000"/>
                <w:kern w:val="0"/>
                <w:sz w:val="28"/>
                <w:szCs w:val="28"/>
              </w:rPr>
              <w:t>日</w:t>
            </w:r>
          </w:p>
        </w:tc>
      </w:tr>
      <w:tr w:rsidR="00D77D3C" w14:paraId="2CA630B0" w14:textId="77777777">
        <w:trPr>
          <w:trHeight w:val="20"/>
          <w:jc w:val="center"/>
        </w:trPr>
        <w:tc>
          <w:tcPr>
            <w:tcW w:w="1328" w:type="pct"/>
            <w:tcBorders>
              <w:tl2br w:val="nil"/>
              <w:tr2bl w:val="nil"/>
            </w:tcBorders>
            <w:shd w:val="clear" w:color="auto" w:fill="auto"/>
            <w:vAlign w:val="center"/>
          </w:tcPr>
          <w:p w14:paraId="20B99D9B" w14:textId="77777777" w:rsidR="00D77D3C" w:rsidRDefault="000A68C1">
            <w:pPr>
              <w:widowControl/>
              <w:spacing w:line="480" w:lineRule="exact"/>
              <w:jc w:val="center"/>
              <w:rPr>
                <w:rFonts w:asciiTheme="minorEastAsia" w:eastAsiaTheme="minorEastAsia" w:hAnsiTheme="minorEastAsia"/>
                <w:color w:val="000000"/>
                <w:kern w:val="0"/>
                <w:sz w:val="28"/>
                <w:szCs w:val="28"/>
              </w:rPr>
            </w:pPr>
            <w:r>
              <w:rPr>
                <w:rFonts w:asciiTheme="minorEastAsia" w:eastAsiaTheme="minorEastAsia" w:hAnsiTheme="minorEastAsia"/>
                <w:color w:val="000000"/>
                <w:kern w:val="0"/>
                <w:sz w:val="28"/>
                <w:szCs w:val="28"/>
              </w:rPr>
              <w:t>地点</w:t>
            </w:r>
          </w:p>
        </w:tc>
        <w:tc>
          <w:tcPr>
            <w:tcW w:w="3672" w:type="pct"/>
            <w:tcBorders>
              <w:tl2br w:val="nil"/>
              <w:tr2bl w:val="nil"/>
            </w:tcBorders>
            <w:shd w:val="clear" w:color="auto" w:fill="auto"/>
            <w:vAlign w:val="center"/>
          </w:tcPr>
          <w:p w14:paraId="0BE0082C" w14:textId="69412563" w:rsidR="00D77D3C" w:rsidRDefault="00543812">
            <w:pPr>
              <w:widowControl/>
              <w:spacing w:line="480" w:lineRule="exact"/>
              <w:rPr>
                <w:rFonts w:asciiTheme="minorEastAsia" w:eastAsiaTheme="minorEastAsia" w:hAnsiTheme="minorEastAsia"/>
                <w:color w:val="000000"/>
                <w:kern w:val="0"/>
                <w:sz w:val="28"/>
                <w:szCs w:val="28"/>
              </w:rPr>
            </w:pPr>
            <w:r>
              <w:rPr>
                <w:rFonts w:asciiTheme="minorEastAsia" w:eastAsiaTheme="minorEastAsia" w:hAnsiTheme="minorEastAsia" w:hint="eastAsia"/>
                <w:color w:val="000000"/>
                <w:kern w:val="0"/>
                <w:sz w:val="28"/>
                <w:szCs w:val="28"/>
              </w:rPr>
              <w:t>重庆</w:t>
            </w:r>
          </w:p>
        </w:tc>
      </w:tr>
      <w:tr w:rsidR="00D77D3C" w14:paraId="05DAD568" w14:textId="77777777">
        <w:trPr>
          <w:trHeight w:val="20"/>
          <w:jc w:val="center"/>
        </w:trPr>
        <w:tc>
          <w:tcPr>
            <w:tcW w:w="1328" w:type="pct"/>
            <w:vMerge w:val="restart"/>
            <w:tcBorders>
              <w:tl2br w:val="nil"/>
              <w:tr2bl w:val="nil"/>
            </w:tcBorders>
            <w:shd w:val="clear" w:color="auto" w:fill="auto"/>
            <w:vAlign w:val="center"/>
          </w:tcPr>
          <w:p w14:paraId="7EA6AC52" w14:textId="77777777" w:rsidR="00D77D3C" w:rsidRDefault="000A68C1">
            <w:pPr>
              <w:widowControl/>
              <w:spacing w:line="480" w:lineRule="exact"/>
              <w:jc w:val="center"/>
              <w:rPr>
                <w:rFonts w:asciiTheme="minorEastAsia" w:eastAsiaTheme="minorEastAsia" w:hAnsiTheme="minorEastAsia"/>
                <w:color w:val="000000"/>
                <w:kern w:val="0"/>
                <w:sz w:val="28"/>
                <w:szCs w:val="28"/>
              </w:rPr>
            </w:pPr>
            <w:r>
              <w:rPr>
                <w:rFonts w:asciiTheme="minorEastAsia" w:eastAsiaTheme="minorEastAsia" w:hAnsiTheme="minorEastAsia"/>
                <w:color w:val="000000"/>
                <w:kern w:val="0"/>
                <w:sz w:val="28"/>
                <w:szCs w:val="28"/>
              </w:rPr>
              <w:t>投资者关系活动类别</w:t>
            </w:r>
          </w:p>
        </w:tc>
        <w:tc>
          <w:tcPr>
            <w:tcW w:w="3672" w:type="pct"/>
            <w:tcBorders>
              <w:tl2br w:val="nil"/>
              <w:tr2bl w:val="nil"/>
            </w:tcBorders>
            <w:shd w:val="clear" w:color="auto" w:fill="auto"/>
            <w:vAlign w:val="center"/>
          </w:tcPr>
          <w:p w14:paraId="5B2DC491" w14:textId="579B2B08" w:rsidR="00D77D3C" w:rsidRDefault="004F34DA">
            <w:pPr>
              <w:widowControl/>
              <w:spacing w:line="480" w:lineRule="exact"/>
              <w:rPr>
                <w:rFonts w:asciiTheme="minorEastAsia" w:eastAsiaTheme="minorEastAsia" w:hAnsiTheme="minorEastAsia"/>
                <w:kern w:val="0"/>
                <w:sz w:val="28"/>
                <w:szCs w:val="28"/>
              </w:rPr>
            </w:pPr>
            <w:r>
              <w:rPr>
                <w:rFonts w:asciiTheme="minorEastAsia" w:eastAsiaTheme="minorEastAsia" w:hAnsiTheme="minorEastAsia"/>
                <w:kern w:val="0"/>
                <w:sz w:val="28"/>
                <w:szCs w:val="28"/>
              </w:rPr>
              <w:sym w:font="Wingdings 2" w:char="0052"/>
            </w:r>
            <w:r w:rsidR="000A68C1">
              <w:rPr>
                <w:rFonts w:asciiTheme="minorEastAsia" w:eastAsiaTheme="minorEastAsia" w:hAnsiTheme="minorEastAsia"/>
                <w:kern w:val="0"/>
                <w:sz w:val="28"/>
                <w:szCs w:val="28"/>
              </w:rPr>
              <w:t>特定对象调研       □分析</w:t>
            </w:r>
            <w:proofErr w:type="gramStart"/>
            <w:r w:rsidR="000A68C1">
              <w:rPr>
                <w:rFonts w:asciiTheme="minorEastAsia" w:eastAsiaTheme="minorEastAsia" w:hAnsiTheme="minorEastAsia"/>
                <w:kern w:val="0"/>
                <w:sz w:val="28"/>
                <w:szCs w:val="28"/>
              </w:rPr>
              <w:t>师会议</w:t>
            </w:r>
            <w:proofErr w:type="gramEnd"/>
          </w:p>
        </w:tc>
      </w:tr>
      <w:tr w:rsidR="00D77D3C" w14:paraId="0C2C290F" w14:textId="77777777">
        <w:trPr>
          <w:trHeight w:val="20"/>
          <w:jc w:val="center"/>
        </w:trPr>
        <w:tc>
          <w:tcPr>
            <w:tcW w:w="1328" w:type="pct"/>
            <w:vMerge/>
            <w:tcBorders>
              <w:tl2br w:val="nil"/>
              <w:tr2bl w:val="nil"/>
            </w:tcBorders>
            <w:vAlign w:val="center"/>
          </w:tcPr>
          <w:p w14:paraId="3739AB62" w14:textId="77777777" w:rsidR="00D77D3C" w:rsidRDefault="00D77D3C">
            <w:pPr>
              <w:widowControl/>
              <w:spacing w:line="480" w:lineRule="exact"/>
              <w:jc w:val="left"/>
              <w:rPr>
                <w:rFonts w:asciiTheme="minorEastAsia" w:eastAsiaTheme="minorEastAsia" w:hAnsiTheme="minorEastAsia"/>
                <w:color w:val="000000"/>
                <w:kern w:val="0"/>
                <w:sz w:val="28"/>
                <w:szCs w:val="28"/>
              </w:rPr>
            </w:pPr>
          </w:p>
        </w:tc>
        <w:tc>
          <w:tcPr>
            <w:tcW w:w="3672" w:type="pct"/>
            <w:tcBorders>
              <w:tl2br w:val="nil"/>
              <w:tr2bl w:val="nil"/>
            </w:tcBorders>
            <w:shd w:val="clear" w:color="auto" w:fill="auto"/>
            <w:vAlign w:val="center"/>
          </w:tcPr>
          <w:p w14:paraId="3A7095B6" w14:textId="0C825CD1" w:rsidR="00D77D3C" w:rsidRDefault="000A68C1" w:rsidP="00971D7A">
            <w:pPr>
              <w:widowControl/>
              <w:spacing w:line="480" w:lineRule="exact"/>
              <w:rPr>
                <w:rFonts w:asciiTheme="minorEastAsia" w:eastAsiaTheme="minorEastAsia" w:hAnsiTheme="minorEastAsia"/>
                <w:kern w:val="0"/>
                <w:sz w:val="28"/>
                <w:szCs w:val="28"/>
              </w:rPr>
            </w:pPr>
            <w:r>
              <w:rPr>
                <w:rFonts w:asciiTheme="minorEastAsia" w:eastAsiaTheme="minorEastAsia" w:hAnsiTheme="minorEastAsia"/>
                <w:kern w:val="0"/>
                <w:sz w:val="28"/>
                <w:szCs w:val="28"/>
              </w:rPr>
              <w:t xml:space="preserve">□媒体采访            </w:t>
            </w:r>
            <w:r w:rsidR="004F34DA">
              <w:rPr>
                <w:rFonts w:asciiTheme="minorEastAsia" w:eastAsiaTheme="minorEastAsia" w:hAnsiTheme="minorEastAsia"/>
                <w:kern w:val="0"/>
                <w:sz w:val="28"/>
                <w:szCs w:val="28"/>
              </w:rPr>
              <w:t>□</w:t>
            </w:r>
            <w:r>
              <w:rPr>
                <w:rFonts w:asciiTheme="minorEastAsia" w:eastAsiaTheme="minorEastAsia" w:hAnsiTheme="minorEastAsia"/>
                <w:kern w:val="0"/>
                <w:sz w:val="28"/>
                <w:szCs w:val="28"/>
              </w:rPr>
              <w:t>业绩说明会</w:t>
            </w:r>
          </w:p>
        </w:tc>
      </w:tr>
      <w:tr w:rsidR="00D77D3C" w14:paraId="0FA0F7B5" w14:textId="77777777">
        <w:trPr>
          <w:trHeight w:val="20"/>
          <w:jc w:val="center"/>
        </w:trPr>
        <w:tc>
          <w:tcPr>
            <w:tcW w:w="1328" w:type="pct"/>
            <w:vMerge/>
            <w:tcBorders>
              <w:tl2br w:val="nil"/>
              <w:tr2bl w:val="nil"/>
            </w:tcBorders>
            <w:vAlign w:val="center"/>
          </w:tcPr>
          <w:p w14:paraId="152FD1EF" w14:textId="77777777" w:rsidR="00D77D3C" w:rsidRDefault="00D77D3C">
            <w:pPr>
              <w:widowControl/>
              <w:spacing w:line="480" w:lineRule="exact"/>
              <w:jc w:val="left"/>
              <w:rPr>
                <w:rFonts w:asciiTheme="minorEastAsia" w:eastAsiaTheme="minorEastAsia" w:hAnsiTheme="minorEastAsia"/>
                <w:color w:val="000000"/>
                <w:kern w:val="0"/>
                <w:sz w:val="28"/>
                <w:szCs w:val="28"/>
              </w:rPr>
            </w:pPr>
          </w:p>
        </w:tc>
        <w:tc>
          <w:tcPr>
            <w:tcW w:w="3672" w:type="pct"/>
            <w:tcBorders>
              <w:tl2br w:val="nil"/>
              <w:tr2bl w:val="nil"/>
            </w:tcBorders>
            <w:shd w:val="clear" w:color="auto" w:fill="auto"/>
            <w:vAlign w:val="center"/>
          </w:tcPr>
          <w:p w14:paraId="66957B1D" w14:textId="77777777" w:rsidR="00D77D3C" w:rsidRDefault="000A68C1" w:rsidP="00971D7A">
            <w:pPr>
              <w:widowControl/>
              <w:spacing w:line="480" w:lineRule="exact"/>
              <w:rPr>
                <w:rFonts w:asciiTheme="minorEastAsia" w:eastAsiaTheme="minorEastAsia" w:hAnsiTheme="minorEastAsia"/>
                <w:kern w:val="0"/>
                <w:sz w:val="28"/>
                <w:szCs w:val="28"/>
              </w:rPr>
            </w:pPr>
            <w:r>
              <w:rPr>
                <w:rFonts w:asciiTheme="minorEastAsia" w:eastAsiaTheme="minorEastAsia" w:hAnsiTheme="minorEastAsia"/>
                <w:kern w:val="0"/>
                <w:sz w:val="28"/>
                <w:szCs w:val="28"/>
              </w:rPr>
              <w:t xml:space="preserve">□新闻发布会          </w:t>
            </w:r>
            <w:r w:rsidR="00971D7A">
              <w:rPr>
                <w:rFonts w:asciiTheme="minorEastAsia" w:eastAsiaTheme="minorEastAsia" w:hAnsiTheme="minorEastAsia"/>
                <w:kern w:val="0"/>
                <w:sz w:val="28"/>
                <w:szCs w:val="28"/>
              </w:rPr>
              <w:t>□</w:t>
            </w:r>
            <w:r>
              <w:rPr>
                <w:rFonts w:asciiTheme="minorEastAsia" w:eastAsiaTheme="minorEastAsia" w:hAnsiTheme="minorEastAsia"/>
                <w:kern w:val="0"/>
                <w:sz w:val="28"/>
                <w:szCs w:val="28"/>
              </w:rPr>
              <w:t>路演活动</w:t>
            </w:r>
          </w:p>
        </w:tc>
      </w:tr>
      <w:tr w:rsidR="00D77D3C" w14:paraId="6D59FEE6" w14:textId="77777777">
        <w:trPr>
          <w:trHeight w:val="20"/>
          <w:jc w:val="center"/>
        </w:trPr>
        <w:tc>
          <w:tcPr>
            <w:tcW w:w="1328" w:type="pct"/>
            <w:vMerge/>
            <w:tcBorders>
              <w:tl2br w:val="nil"/>
              <w:tr2bl w:val="nil"/>
            </w:tcBorders>
            <w:vAlign w:val="center"/>
          </w:tcPr>
          <w:p w14:paraId="2D4B8B02" w14:textId="77777777" w:rsidR="00D77D3C" w:rsidRDefault="00D77D3C">
            <w:pPr>
              <w:widowControl/>
              <w:spacing w:line="480" w:lineRule="exact"/>
              <w:jc w:val="left"/>
              <w:rPr>
                <w:rFonts w:asciiTheme="minorEastAsia" w:eastAsiaTheme="minorEastAsia" w:hAnsiTheme="minorEastAsia"/>
                <w:color w:val="000000"/>
                <w:kern w:val="0"/>
                <w:sz w:val="28"/>
                <w:szCs w:val="28"/>
              </w:rPr>
            </w:pPr>
          </w:p>
        </w:tc>
        <w:tc>
          <w:tcPr>
            <w:tcW w:w="3672" w:type="pct"/>
            <w:tcBorders>
              <w:tl2br w:val="nil"/>
              <w:tr2bl w:val="nil"/>
            </w:tcBorders>
            <w:shd w:val="clear" w:color="auto" w:fill="auto"/>
            <w:vAlign w:val="center"/>
          </w:tcPr>
          <w:p w14:paraId="4620A4AB" w14:textId="77777777" w:rsidR="00D77D3C" w:rsidRDefault="000A68C1">
            <w:pPr>
              <w:widowControl/>
              <w:spacing w:line="480" w:lineRule="exact"/>
              <w:rPr>
                <w:rFonts w:asciiTheme="minorEastAsia" w:eastAsiaTheme="minorEastAsia" w:hAnsiTheme="minorEastAsia"/>
                <w:kern w:val="0"/>
                <w:sz w:val="28"/>
                <w:szCs w:val="28"/>
              </w:rPr>
            </w:pPr>
            <w:r>
              <w:rPr>
                <w:rFonts w:asciiTheme="minorEastAsia" w:eastAsiaTheme="minorEastAsia" w:hAnsiTheme="minorEastAsia"/>
                <w:kern w:val="0"/>
                <w:sz w:val="28"/>
                <w:szCs w:val="28"/>
              </w:rPr>
              <w:t xml:space="preserve">□现场参观 </w:t>
            </w:r>
          </w:p>
        </w:tc>
      </w:tr>
      <w:tr w:rsidR="00D77D3C" w14:paraId="46B19885" w14:textId="77777777">
        <w:trPr>
          <w:trHeight w:val="20"/>
          <w:jc w:val="center"/>
        </w:trPr>
        <w:tc>
          <w:tcPr>
            <w:tcW w:w="1328" w:type="pct"/>
            <w:vMerge/>
            <w:tcBorders>
              <w:tl2br w:val="nil"/>
              <w:tr2bl w:val="nil"/>
            </w:tcBorders>
            <w:vAlign w:val="center"/>
          </w:tcPr>
          <w:p w14:paraId="3094A209" w14:textId="77777777" w:rsidR="00D77D3C" w:rsidRDefault="00D77D3C">
            <w:pPr>
              <w:widowControl/>
              <w:spacing w:line="480" w:lineRule="exact"/>
              <w:jc w:val="left"/>
              <w:rPr>
                <w:rFonts w:asciiTheme="minorEastAsia" w:eastAsiaTheme="minorEastAsia" w:hAnsiTheme="minorEastAsia"/>
                <w:color w:val="000000"/>
                <w:kern w:val="0"/>
                <w:sz w:val="28"/>
                <w:szCs w:val="28"/>
              </w:rPr>
            </w:pPr>
          </w:p>
        </w:tc>
        <w:tc>
          <w:tcPr>
            <w:tcW w:w="3672" w:type="pct"/>
            <w:tcBorders>
              <w:tl2br w:val="nil"/>
              <w:tr2bl w:val="nil"/>
            </w:tcBorders>
            <w:shd w:val="clear" w:color="auto" w:fill="auto"/>
            <w:vAlign w:val="center"/>
          </w:tcPr>
          <w:p w14:paraId="5118FD13" w14:textId="77777777" w:rsidR="00D77D3C" w:rsidRDefault="000A68C1">
            <w:pPr>
              <w:widowControl/>
              <w:spacing w:line="480" w:lineRule="exact"/>
              <w:rPr>
                <w:rFonts w:asciiTheme="minorEastAsia" w:eastAsiaTheme="minorEastAsia" w:hAnsiTheme="minorEastAsia"/>
                <w:color w:val="000000"/>
                <w:kern w:val="0"/>
                <w:sz w:val="28"/>
                <w:szCs w:val="28"/>
              </w:rPr>
            </w:pPr>
            <w:r>
              <w:rPr>
                <w:rFonts w:asciiTheme="minorEastAsia" w:eastAsiaTheme="minorEastAsia" w:hAnsiTheme="minorEastAsia"/>
                <w:color w:val="000000"/>
                <w:kern w:val="0"/>
                <w:sz w:val="28"/>
                <w:szCs w:val="28"/>
              </w:rPr>
              <w:t>□其他 （</w:t>
            </w:r>
            <w:proofErr w:type="gramStart"/>
            <w:r>
              <w:rPr>
                <w:rFonts w:asciiTheme="minorEastAsia" w:eastAsiaTheme="minorEastAsia" w:hAnsiTheme="minorEastAsia"/>
                <w:color w:val="000000"/>
                <w:kern w:val="0"/>
                <w:sz w:val="28"/>
                <w:szCs w:val="28"/>
                <w:u w:val="single"/>
              </w:rPr>
              <w:t>请文字</w:t>
            </w:r>
            <w:proofErr w:type="gramEnd"/>
            <w:r>
              <w:rPr>
                <w:rFonts w:asciiTheme="minorEastAsia" w:eastAsiaTheme="minorEastAsia" w:hAnsiTheme="minorEastAsia"/>
                <w:color w:val="000000"/>
                <w:kern w:val="0"/>
                <w:sz w:val="28"/>
                <w:szCs w:val="28"/>
                <w:u w:val="single"/>
              </w:rPr>
              <w:t>说明其他活动内容）</w:t>
            </w:r>
          </w:p>
        </w:tc>
      </w:tr>
      <w:tr w:rsidR="00D77D3C" w14:paraId="06EF572A" w14:textId="77777777">
        <w:trPr>
          <w:trHeight w:val="20"/>
          <w:jc w:val="center"/>
        </w:trPr>
        <w:tc>
          <w:tcPr>
            <w:tcW w:w="1328" w:type="pct"/>
            <w:tcBorders>
              <w:tl2br w:val="nil"/>
              <w:tr2bl w:val="nil"/>
            </w:tcBorders>
            <w:shd w:val="clear" w:color="auto" w:fill="auto"/>
            <w:vAlign w:val="center"/>
          </w:tcPr>
          <w:p w14:paraId="2634FF42" w14:textId="11A75EB2" w:rsidR="00D77D3C" w:rsidRDefault="000A68C1">
            <w:pPr>
              <w:widowControl/>
              <w:spacing w:line="480" w:lineRule="exact"/>
              <w:jc w:val="center"/>
              <w:rPr>
                <w:rFonts w:asciiTheme="minorEastAsia" w:eastAsiaTheme="minorEastAsia" w:hAnsiTheme="minorEastAsia"/>
                <w:color w:val="000000"/>
                <w:kern w:val="0"/>
                <w:sz w:val="28"/>
                <w:szCs w:val="28"/>
              </w:rPr>
            </w:pPr>
            <w:r>
              <w:rPr>
                <w:rFonts w:asciiTheme="minorEastAsia" w:eastAsiaTheme="minorEastAsia" w:hAnsiTheme="minorEastAsia" w:hint="eastAsia"/>
                <w:color w:val="000000"/>
                <w:kern w:val="0"/>
                <w:sz w:val="28"/>
                <w:szCs w:val="28"/>
              </w:rPr>
              <w:t>参与单位名称</w:t>
            </w:r>
            <w:r w:rsidR="004E11B5">
              <w:rPr>
                <w:rFonts w:asciiTheme="minorEastAsia" w:eastAsiaTheme="minorEastAsia" w:hAnsiTheme="minorEastAsia" w:hint="eastAsia"/>
                <w:color w:val="000000"/>
                <w:kern w:val="0"/>
                <w:sz w:val="28"/>
                <w:szCs w:val="28"/>
              </w:rPr>
              <w:t>及人员姓名</w:t>
            </w:r>
          </w:p>
        </w:tc>
        <w:tc>
          <w:tcPr>
            <w:tcW w:w="3672" w:type="pct"/>
            <w:tcBorders>
              <w:tl2br w:val="nil"/>
              <w:tr2bl w:val="nil"/>
            </w:tcBorders>
            <w:shd w:val="clear" w:color="auto" w:fill="auto"/>
            <w:vAlign w:val="center"/>
          </w:tcPr>
          <w:p w14:paraId="2E1F6EED" w14:textId="264C7911" w:rsidR="004F34DA" w:rsidRDefault="00FA24BE" w:rsidP="00152E45">
            <w:pPr>
              <w:widowControl/>
              <w:rPr>
                <w:rFonts w:asciiTheme="minorEastAsia" w:eastAsiaTheme="minorEastAsia" w:hAnsiTheme="minorEastAsia"/>
                <w:color w:val="000000"/>
                <w:kern w:val="0"/>
                <w:sz w:val="28"/>
                <w:szCs w:val="28"/>
              </w:rPr>
            </w:pPr>
            <w:r>
              <w:rPr>
                <w:rFonts w:asciiTheme="minorEastAsia" w:eastAsiaTheme="minorEastAsia" w:hAnsiTheme="minorEastAsia" w:hint="eastAsia"/>
                <w:color w:val="000000"/>
                <w:kern w:val="0"/>
                <w:sz w:val="28"/>
                <w:szCs w:val="28"/>
              </w:rPr>
              <w:t>东方证券</w:t>
            </w:r>
            <w:r w:rsidR="00DC6281">
              <w:rPr>
                <w:rFonts w:asciiTheme="minorEastAsia" w:eastAsiaTheme="minorEastAsia" w:hAnsiTheme="minorEastAsia" w:hint="eastAsia"/>
                <w:color w:val="000000"/>
                <w:kern w:val="0"/>
                <w:sz w:val="28"/>
                <w:szCs w:val="28"/>
              </w:rPr>
              <w:t>：</w:t>
            </w:r>
            <w:proofErr w:type="gramStart"/>
            <w:r w:rsidR="00DC6281" w:rsidRPr="00DC6281">
              <w:rPr>
                <w:rFonts w:asciiTheme="minorEastAsia" w:eastAsiaTheme="minorEastAsia" w:hAnsiTheme="minorEastAsia" w:hint="eastAsia"/>
                <w:color w:val="000000"/>
                <w:kern w:val="0"/>
                <w:sz w:val="28"/>
                <w:szCs w:val="28"/>
              </w:rPr>
              <w:t>房诚琦</w:t>
            </w:r>
            <w:proofErr w:type="gramEnd"/>
            <w:r w:rsidR="00DC6281">
              <w:rPr>
                <w:rFonts w:asciiTheme="minorEastAsia" w:eastAsiaTheme="minorEastAsia" w:hAnsiTheme="minorEastAsia" w:hint="eastAsia"/>
                <w:color w:val="000000"/>
                <w:kern w:val="0"/>
                <w:sz w:val="28"/>
                <w:szCs w:val="28"/>
              </w:rPr>
              <w:t>、吴尘染；</w:t>
            </w:r>
            <w:r w:rsidR="00391C4D">
              <w:rPr>
                <w:rFonts w:asciiTheme="minorEastAsia" w:eastAsiaTheme="minorEastAsia" w:hAnsiTheme="minorEastAsia" w:hint="eastAsia"/>
                <w:color w:val="000000"/>
                <w:kern w:val="0"/>
                <w:sz w:val="28"/>
                <w:szCs w:val="28"/>
              </w:rPr>
              <w:t>民生加银</w:t>
            </w:r>
            <w:r w:rsidR="00DC6281">
              <w:rPr>
                <w:rFonts w:asciiTheme="minorEastAsia" w:eastAsiaTheme="minorEastAsia" w:hAnsiTheme="minorEastAsia" w:hint="eastAsia"/>
                <w:color w:val="000000"/>
                <w:kern w:val="0"/>
                <w:sz w:val="28"/>
                <w:szCs w:val="28"/>
              </w:rPr>
              <w:t>：</w:t>
            </w:r>
            <w:proofErr w:type="gramStart"/>
            <w:r>
              <w:rPr>
                <w:rFonts w:asciiTheme="minorEastAsia" w:eastAsiaTheme="minorEastAsia" w:hAnsiTheme="minorEastAsia" w:hint="eastAsia"/>
                <w:color w:val="000000"/>
                <w:kern w:val="0"/>
                <w:sz w:val="28"/>
                <w:szCs w:val="28"/>
              </w:rPr>
              <w:t>靳</w:t>
            </w:r>
            <w:proofErr w:type="gramEnd"/>
            <w:r>
              <w:rPr>
                <w:rFonts w:asciiTheme="minorEastAsia" w:eastAsiaTheme="minorEastAsia" w:hAnsiTheme="minorEastAsia" w:hint="eastAsia"/>
                <w:color w:val="000000"/>
                <w:kern w:val="0"/>
                <w:sz w:val="28"/>
                <w:szCs w:val="28"/>
              </w:rPr>
              <w:t>木兰</w:t>
            </w:r>
            <w:r w:rsidR="00DC6281">
              <w:rPr>
                <w:rFonts w:asciiTheme="minorEastAsia" w:eastAsiaTheme="minorEastAsia" w:hAnsiTheme="minorEastAsia" w:hint="eastAsia"/>
                <w:color w:val="000000"/>
                <w:kern w:val="0"/>
                <w:sz w:val="28"/>
                <w:szCs w:val="28"/>
              </w:rPr>
              <w:t>；财通证券：康艺馨；国泰基金：陈异；东方基金：</w:t>
            </w:r>
            <w:proofErr w:type="gramStart"/>
            <w:r w:rsidR="00DC6281">
              <w:rPr>
                <w:rFonts w:asciiTheme="minorEastAsia" w:eastAsiaTheme="minorEastAsia" w:hAnsiTheme="minorEastAsia" w:hint="eastAsia"/>
                <w:color w:val="000000"/>
                <w:kern w:val="0"/>
                <w:sz w:val="28"/>
                <w:szCs w:val="28"/>
              </w:rPr>
              <w:t>古立今</w:t>
            </w:r>
            <w:proofErr w:type="gramEnd"/>
            <w:r w:rsidR="00DC6281">
              <w:rPr>
                <w:rFonts w:asciiTheme="minorEastAsia" w:eastAsiaTheme="minorEastAsia" w:hAnsiTheme="minorEastAsia" w:hint="eastAsia"/>
                <w:color w:val="000000"/>
                <w:kern w:val="0"/>
                <w:sz w:val="28"/>
                <w:szCs w:val="28"/>
              </w:rPr>
              <w:t>；博时基金：曹</w:t>
            </w:r>
            <w:proofErr w:type="gramStart"/>
            <w:r w:rsidR="00DC6281">
              <w:rPr>
                <w:rFonts w:asciiTheme="minorEastAsia" w:eastAsiaTheme="minorEastAsia" w:hAnsiTheme="minorEastAsia" w:hint="eastAsia"/>
                <w:color w:val="000000"/>
                <w:kern w:val="0"/>
                <w:sz w:val="28"/>
                <w:szCs w:val="28"/>
              </w:rPr>
              <w:t>芮</w:t>
            </w:r>
            <w:proofErr w:type="gramEnd"/>
            <w:r w:rsidR="00DC6281">
              <w:rPr>
                <w:rFonts w:asciiTheme="minorEastAsia" w:eastAsiaTheme="minorEastAsia" w:hAnsiTheme="minorEastAsia" w:hint="eastAsia"/>
                <w:color w:val="000000"/>
                <w:kern w:val="0"/>
                <w:sz w:val="28"/>
                <w:szCs w:val="28"/>
              </w:rPr>
              <w:t>；</w:t>
            </w:r>
            <w:r w:rsidR="00952D9A">
              <w:rPr>
                <w:rFonts w:asciiTheme="minorEastAsia" w:eastAsiaTheme="minorEastAsia" w:hAnsiTheme="minorEastAsia" w:hint="eastAsia"/>
                <w:color w:val="000000"/>
                <w:kern w:val="0"/>
                <w:sz w:val="28"/>
                <w:szCs w:val="28"/>
              </w:rPr>
              <w:t>上海理成资产：刘轶</w:t>
            </w:r>
            <w:proofErr w:type="gramStart"/>
            <w:r w:rsidR="00C97644">
              <w:rPr>
                <w:rFonts w:asciiTheme="minorEastAsia" w:eastAsiaTheme="minorEastAsia" w:hAnsiTheme="minorEastAsia" w:hint="eastAsia"/>
                <w:color w:val="000000"/>
                <w:kern w:val="0"/>
                <w:sz w:val="28"/>
                <w:szCs w:val="28"/>
              </w:rPr>
              <w:t>韪</w:t>
            </w:r>
            <w:proofErr w:type="gramEnd"/>
            <w:r w:rsidR="00952D9A">
              <w:rPr>
                <w:rFonts w:asciiTheme="minorEastAsia" w:eastAsiaTheme="minorEastAsia" w:hAnsiTheme="minorEastAsia" w:hint="eastAsia"/>
                <w:color w:val="000000"/>
                <w:kern w:val="0"/>
                <w:sz w:val="28"/>
                <w:szCs w:val="28"/>
              </w:rPr>
              <w:t>；</w:t>
            </w:r>
          </w:p>
        </w:tc>
      </w:tr>
      <w:tr w:rsidR="00D77D3C" w14:paraId="6F0ED801" w14:textId="77777777">
        <w:trPr>
          <w:trHeight w:val="20"/>
          <w:jc w:val="center"/>
        </w:trPr>
        <w:tc>
          <w:tcPr>
            <w:tcW w:w="1328" w:type="pct"/>
            <w:tcBorders>
              <w:tl2br w:val="nil"/>
              <w:tr2bl w:val="nil"/>
            </w:tcBorders>
            <w:shd w:val="clear" w:color="auto" w:fill="auto"/>
            <w:vAlign w:val="center"/>
          </w:tcPr>
          <w:p w14:paraId="26EF8A4D" w14:textId="77777777" w:rsidR="00D77D3C" w:rsidRDefault="000A68C1">
            <w:pPr>
              <w:widowControl/>
              <w:spacing w:line="480" w:lineRule="exact"/>
              <w:jc w:val="center"/>
              <w:rPr>
                <w:rFonts w:asciiTheme="minorEastAsia" w:eastAsiaTheme="minorEastAsia" w:hAnsiTheme="minorEastAsia"/>
                <w:color w:val="000000"/>
                <w:kern w:val="0"/>
                <w:sz w:val="28"/>
                <w:szCs w:val="28"/>
              </w:rPr>
            </w:pPr>
            <w:r>
              <w:rPr>
                <w:rFonts w:asciiTheme="minorEastAsia" w:eastAsiaTheme="minorEastAsia" w:hAnsiTheme="minorEastAsia"/>
                <w:color w:val="000000"/>
                <w:kern w:val="0"/>
                <w:sz w:val="28"/>
                <w:szCs w:val="28"/>
              </w:rPr>
              <w:t>上市公司</w:t>
            </w:r>
            <w:r>
              <w:rPr>
                <w:rFonts w:asciiTheme="minorEastAsia" w:eastAsiaTheme="minorEastAsia" w:hAnsiTheme="minorEastAsia" w:hint="eastAsia"/>
                <w:color w:val="000000"/>
                <w:kern w:val="0"/>
                <w:sz w:val="28"/>
                <w:szCs w:val="28"/>
              </w:rPr>
              <w:t>参会</w:t>
            </w:r>
            <w:r>
              <w:rPr>
                <w:rFonts w:asciiTheme="minorEastAsia" w:eastAsiaTheme="minorEastAsia" w:hAnsiTheme="minorEastAsia"/>
                <w:color w:val="000000"/>
                <w:kern w:val="0"/>
                <w:sz w:val="28"/>
                <w:szCs w:val="28"/>
              </w:rPr>
              <w:t>人员姓名</w:t>
            </w:r>
          </w:p>
        </w:tc>
        <w:tc>
          <w:tcPr>
            <w:tcW w:w="3672" w:type="pct"/>
            <w:tcBorders>
              <w:tl2br w:val="nil"/>
              <w:tr2bl w:val="nil"/>
            </w:tcBorders>
            <w:shd w:val="clear" w:color="auto" w:fill="auto"/>
            <w:vAlign w:val="center"/>
          </w:tcPr>
          <w:p w14:paraId="4E996D9C" w14:textId="125AC9A1" w:rsidR="00D77D3C" w:rsidRDefault="00C97644" w:rsidP="00971D7A">
            <w:pPr>
              <w:widowControl/>
              <w:spacing w:line="480" w:lineRule="exact"/>
              <w:rPr>
                <w:rFonts w:asciiTheme="minorEastAsia" w:eastAsiaTheme="minorEastAsia" w:hAnsiTheme="minorEastAsia"/>
                <w:color w:val="000000"/>
                <w:kern w:val="0"/>
                <w:sz w:val="28"/>
                <w:szCs w:val="28"/>
              </w:rPr>
            </w:pPr>
            <w:r>
              <w:rPr>
                <w:rFonts w:asciiTheme="minorEastAsia" w:eastAsiaTheme="minorEastAsia" w:hAnsiTheme="minorEastAsia" w:hint="eastAsia"/>
                <w:color w:val="000000"/>
                <w:kern w:val="0"/>
                <w:sz w:val="28"/>
                <w:szCs w:val="28"/>
              </w:rPr>
              <w:t>证券</w:t>
            </w:r>
            <w:proofErr w:type="gramStart"/>
            <w:r>
              <w:rPr>
                <w:rFonts w:asciiTheme="minorEastAsia" w:eastAsiaTheme="minorEastAsia" w:hAnsiTheme="minorEastAsia" w:hint="eastAsia"/>
                <w:color w:val="000000"/>
                <w:kern w:val="0"/>
                <w:sz w:val="28"/>
                <w:szCs w:val="28"/>
              </w:rPr>
              <w:t>事务部</w:t>
            </w:r>
            <w:r w:rsidR="004F34DA">
              <w:rPr>
                <w:rFonts w:asciiTheme="minorEastAsia" w:eastAsiaTheme="minorEastAsia" w:hAnsiTheme="minorEastAsia" w:hint="eastAsia"/>
                <w:color w:val="000000"/>
                <w:kern w:val="0"/>
                <w:sz w:val="28"/>
                <w:szCs w:val="28"/>
              </w:rPr>
              <w:t>石诚</w:t>
            </w:r>
            <w:proofErr w:type="gramEnd"/>
            <w:r w:rsidR="004F34DA">
              <w:rPr>
                <w:rFonts w:asciiTheme="minorEastAsia" w:eastAsiaTheme="minorEastAsia" w:hAnsiTheme="minorEastAsia" w:hint="eastAsia"/>
                <w:color w:val="000000"/>
                <w:kern w:val="0"/>
                <w:sz w:val="28"/>
                <w:szCs w:val="28"/>
              </w:rPr>
              <w:t>、</w:t>
            </w:r>
            <w:r w:rsidR="00CB5DFF">
              <w:rPr>
                <w:rFonts w:asciiTheme="minorEastAsia" w:eastAsiaTheme="minorEastAsia" w:hAnsiTheme="minorEastAsia" w:hint="eastAsia"/>
                <w:color w:val="000000"/>
                <w:kern w:val="0"/>
                <w:sz w:val="28"/>
                <w:szCs w:val="28"/>
              </w:rPr>
              <w:t>市场研究部</w:t>
            </w:r>
            <w:r w:rsidR="00993FBB">
              <w:rPr>
                <w:rFonts w:asciiTheme="minorEastAsia" w:eastAsiaTheme="minorEastAsia" w:hAnsiTheme="minorEastAsia" w:hint="eastAsia"/>
                <w:color w:val="000000"/>
                <w:kern w:val="0"/>
                <w:sz w:val="28"/>
                <w:szCs w:val="28"/>
              </w:rPr>
              <w:t>杨杰</w:t>
            </w:r>
          </w:p>
        </w:tc>
      </w:tr>
      <w:tr w:rsidR="00D77D3C" w14:paraId="55974111" w14:textId="77777777">
        <w:trPr>
          <w:trHeight w:val="20"/>
          <w:jc w:val="center"/>
        </w:trPr>
        <w:tc>
          <w:tcPr>
            <w:tcW w:w="1328" w:type="pct"/>
            <w:tcBorders>
              <w:tl2br w:val="nil"/>
              <w:tr2bl w:val="nil"/>
            </w:tcBorders>
            <w:shd w:val="clear" w:color="auto" w:fill="auto"/>
            <w:vAlign w:val="center"/>
          </w:tcPr>
          <w:p w14:paraId="27819281" w14:textId="77777777" w:rsidR="00D77D3C" w:rsidRDefault="000A68C1">
            <w:pPr>
              <w:widowControl/>
              <w:spacing w:line="480" w:lineRule="exact"/>
              <w:jc w:val="center"/>
              <w:rPr>
                <w:rFonts w:asciiTheme="minorEastAsia" w:eastAsiaTheme="minorEastAsia" w:hAnsiTheme="minorEastAsia"/>
                <w:color w:val="000000"/>
                <w:kern w:val="0"/>
                <w:sz w:val="28"/>
                <w:szCs w:val="28"/>
              </w:rPr>
            </w:pPr>
            <w:r>
              <w:rPr>
                <w:rFonts w:asciiTheme="minorEastAsia" w:eastAsiaTheme="minorEastAsia" w:hAnsiTheme="minorEastAsia"/>
                <w:color w:val="000000"/>
                <w:kern w:val="0"/>
                <w:sz w:val="28"/>
                <w:szCs w:val="28"/>
              </w:rPr>
              <w:t>投资者关系活动主要内容介绍</w:t>
            </w:r>
          </w:p>
        </w:tc>
        <w:tc>
          <w:tcPr>
            <w:tcW w:w="3672" w:type="pct"/>
            <w:tcBorders>
              <w:tl2br w:val="nil"/>
              <w:tr2bl w:val="nil"/>
            </w:tcBorders>
            <w:shd w:val="clear" w:color="auto" w:fill="auto"/>
            <w:vAlign w:val="center"/>
          </w:tcPr>
          <w:p w14:paraId="30DE2752" w14:textId="75F5A000" w:rsidR="00D77D3C" w:rsidRDefault="000A68C1" w:rsidP="00E8336D">
            <w:pPr>
              <w:widowControl/>
              <w:spacing w:line="480" w:lineRule="exact"/>
              <w:rPr>
                <w:rFonts w:asciiTheme="minorEastAsia" w:eastAsiaTheme="minorEastAsia" w:hAnsiTheme="minorEastAsia"/>
                <w:color w:val="000000"/>
                <w:kern w:val="0"/>
                <w:sz w:val="28"/>
                <w:szCs w:val="28"/>
              </w:rPr>
            </w:pPr>
            <w:r>
              <w:rPr>
                <w:rFonts w:asciiTheme="minorEastAsia" w:eastAsiaTheme="minorEastAsia" w:hAnsiTheme="minorEastAsia"/>
                <w:color w:val="000000"/>
                <w:kern w:val="0"/>
                <w:sz w:val="28"/>
                <w:szCs w:val="28"/>
              </w:rPr>
              <w:t>公司在遵守信息披露制度的前提下，介绍公司</w:t>
            </w:r>
            <w:r w:rsidR="00993FBB">
              <w:rPr>
                <w:rFonts w:asciiTheme="minorEastAsia" w:eastAsiaTheme="minorEastAsia" w:hAnsiTheme="minorEastAsia" w:hint="eastAsia"/>
                <w:color w:val="000000"/>
                <w:kern w:val="0"/>
                <w:sz w:val="28"/>
                <w:szCs w:val="28"/>
              </w:rPr>
              <w:t>近期</w:t>
            </w:r>
            <w:r>
              <w:rPr>
                <w:rFonts w:asciiTheme="minorEastAsia" w:eastAsiaTheme="minorEastAsia" w:hAnsiTheme="minorEastAsia" w:hint="eastAsia"/>
                <w:color w:val="000000"/>
                <w:kern w:val="0"/>
                <w:sz w:val="28"/>
                <w:szCs w:val="28"/>
              </w:rPr>
              <w:t>经营业绩、</w:t>
            </w:r>
            <w:r>
              <w:rPr>
                <w:rFonts w:asciiTheme="minorEastAsia" w:eastAsiaTheme="minorEastAsia" w:hAnsiTheme="minorEastAsia"/>
                <w:color w:val="000000"/>
                <w:kern w:val="0"/>
                <w:sz w:val="28"/>
                <w:szCs w:val="28"/>
              </w:rPr>
              <w:t>管理模式、</w:t>
            </w:r>
            <w:r w:rsidR="00C97644">
              <w:rPr>
                <w:rFonts w:asciiTheme="minorEastAsia" w:eastAsiaTheme="minorEastAsia" w:hAnsiTheme="minorEastAsia" w:hint="eastAsia"/>
                <w:color w:val="000000"/>
                <w:kern w:val="0"/>
                <w:sz w:val="28"/>
                <w:szCs w:val="28"/>
              </w:rPr>
              <w:t>市场</w:t>
            </w:r>
            <w:r>
              <w:rPr>
                <w:rFonts w:asciiTheme="minorEastAsia" w:eastAsiaTheme="minorEastAsia" w:hAnsiTheme="minorEastAsia"/>
                <w:color w:val="000000"/>
                <w:kern w:val="0"/>
                <w:sz w:val="28"/>
                <w:szCs w:val="28"/>
              </w:rPr>
              <w:t>情况等。</w:t>
            </w:r>
            <w:r>
              <w:rPr>
                <w:rFonts w:asciiTheme="minorEastAsia" w:eastAsiaTheme="minorEastAsia" w:hAnsiTheme="minorEastAsia" w:hint="eastAsia"/>
                <w:color w:val="000000"/>
                <w:kern w:val="0"/>
                <w:sz w:val="28"/>
                <w:szCs w:val="28"/>
              </w:rPr>
              <w:t>沟通内容与公司公告内容一致。</w:t>
            </w:r>
          </w:p>
        </w:tc>
      </w:tr>
      <w:tr w:rsidR="00D77D3C" w14:paraId="3D4DD80B" w14:textId="77777777">
        <w:trPr>
          <w:trHeight w:val="20"/>
          <w:jc w:val="center"/>
        </w:trPr>
        <w:tc>
          <w:tcPr>
            <w:tcW w:w="1328" w:type="pct"/>
            <w:tcBorders>
              <w:tl2br w:val="nil"/>
              <w:tr2bl w:val="nil"/>
            </w:tcBorders>
            <w:shd w:val="clear" w:color="auto" w:fill="auto"/>
            <w:vAlign w:val="center"/>
          </w:tcPr>
          <w:p w14:paraId="26A7FF92" w14:textId="77777777" w:rsidR="00D77D3C" w:rsidRDefault="000A68C1">
            <w:pPr>
              <w:widowControl/>
              <w:spacing w:line="480" w:lineRule="exact"/>
              <w:jc w:val="center"/>
              <w:rPr>
                <w:rFonts w:asciiTheme="minorEastAsia" w:eastAsiaTheme="minorEastAsia" w:hAnsiTheme="minorEastAsia"/>
                <w:color w:val="000000"/>
                <w:kern w:val="0"/>
                <w:sz w:val="28"/>
                <w:szCs w:val="28"/>
              </w:rPr>
            </w:pPr>
            <w:r>
              <w:rPr>
                <w:rFonts w:asciiTheme="minorEastAsia" w:eastAsiaTheme="minorEastAsia" w:hAnsiTheme="minorEastAsia"/>
                <w:color w:val="000000"/>
                <w:kern w:val="0"/>
                <w:sz w:val="28"/>
                <w:szCs w:val="28"/>
              </w:rPr>
              <w:t>附件清单（如有）</w:t>
            </w:r>
          </w:p>
        </w:tc>
        <w:tc>
          <w:tcPr>
            <w:tcW w:w="3672" w:type="pct"/>
            <w:tcBorders>
              <w:tl2br w:val="nil"/>
              <w:tr2bl w:val="nil"/>
            </w:tcBorders>
            <w:shd w:val="clear" w:color="auto" w:fill="auto"/>
            <w:vAlign w:val="center"/>
          </w:tcPr>
          <w:p w14:paraId="16044814" w14:textId="7D759B20" w:rsidR="00D77D3C" w:rsidRDefault="00227C7E">
            <w:pPr>
              <w:widowControl/>
              <w:spacing w:line="480" w:lineRule="exact"/>
              <w:jc w:val="left"/>
              <w:rPr>
                <w:rFonts w:asciiTheme="minorEastAsia" w:eastAsiaTheme="minorEastAsia" w:hAnsiTheme="minorEastAsia"/>
                <w:color w:val="000000"/>
                <w:kern w:val="0"/>
                <w:sz w:val="28"/>
                <w:szCs w:val="28"/>
              </w:rPr>
            </w:pPr>
            <w:r w:rsidRPr="00227C7E">
              <w:rPr>
                <w:rFonts w:asciiTheme="minorEastAsia" w:eastAsiaTheme="minorEastAsia" w:hAnsiTheme="minorEastAsia" w:hint="eastAsia"/>
                <w:color w:val="000000"/>
                <w:kern w:val="0"/>
                <w:sz w:val="28"/>
                <w:szCs w:val="28"/>
              </w:rPr>
              <w:t>金科股份2020年9月投资者调研活动主要问题及回答摘要</w:t>
            </w:r>
          </w:p>
        </w:tc>
      </w:tr>
    </w:tbl>
    <w:p w14:paraId="19B6C50C" w14:textId="03394E2E" w:rsidR="00A3546D" w:rsidRDefault="000A68C1" w:rsidP="00A3546D">
      <w:pPr>
        <w:widowControl/>
        <w:jc w:val="left"/>
        <w:rPr>
          <w:rFonts w:asciiTheme="minorEastAsia" w:eastAsiaTheme="minorEastAsia" w:hAnsiTheme="minorEastAsia"/>
          <w:sz w:val="28"/>
          <w:szCs w:val="28"/>
        </w:rPr>
      </w:pPr>
      <w:r>
        <w:rPr>
          <w:rFonts w:asciiTheme="minorEastAsia" w:eastAsiaTheme="minorEastAsia" w:hAnsiTheme="minorEastAsia" w:hint="eastAsia"/>
          <w:sz w:val="28"/>
          <w:szCs w:val="28"/>
        </w:rPr>
        <w:t>附件：金科股份</w:t>
      </w:r>
      <w:r w:rsidR="00993FBB" w:rsidRPr="00993FBB">
        <w:rPr>
          <w:rFonts w:asciiTheme="minorEastAsia" w:eastAsiaTheme="minorEastAsia" w:hAnsiTheme="minorEastAsia" w:hint="eastAsia"/>
          <w:sz w:val="28"/>
          <w:szCs w:val="28"/>
        </w:rPr>
        <w:t>2020年9月投资者调研活动</w:t>
      </w:r>
      <w:r w:rsidR="00A3546D" w:rsidRPr="00A3546D">
        <w:rPr>
          <w:rFonts w:asciiTheme="minorEastAsia" w:eastAsiaTheme="minorEastAsia" w:hAnsiTheme="minorEastAsia" w:hint="eastAsia"/>
          <w:sz w:val="28"/>
          <w:szCs w:val="28"/>
        </w:rPr>
        <w:t>主要问题及回答摘要</w:t>
      </w:r>
    </w:p>
    <w:p w14:paraId="4EB8A38A" w14:textId="77777777" w:rsidR="00A3546D" w:rsidRDefault="00A3546D" w:rsidP="00341416">
      <w:pPr>
        <w:spacing w:line="480" w:lineRule="exact"/>
        <w:rPr>
          <w:rFonts w:asciiTheme="minorEastAsia" w:eastAsiaTheme="minorEastAsia" w:hAnsiTheme="minorEastAsia"/>
          <w:b/>
          <w:sz w:val="32"/>
          <w:szCs w:val="24"/>
        </w:rPr>
      </w:pPr>
    </w:p>
    <w:p w14:paraId="1E5BDB43" w14:textId="77777777" w:rsidR="009D251B" w:rsidRDefault="009D251B">
      <w:pPr>
        <w:widowControl/>
        <w:jc w:val="left"/>
        <w:rPr>
          <w:rFonts w:asciiTheme="minorEastAsia" w:eastAsiaTheme="minorEastAsia" w:hAnsiTheme="minorEastAsia"/>
          <w:b/>
          <w:sz w:val="32"/>
          <w:szCs w:val="24"/>
        </w:rPr>
      </w:pPr>
      <w:r>
        <w:rPr>
          <w:rFonts w:asciiTheme="minorEastAsia" w:eastAsiaTheme="minorEastAsia" w:hAnsiTheme="minorEastAsia"/>
          <w:b/>
          <w:sz w:val="32"/>
          <w:szCs w:val="24"/>
        </w:rPr>
        <w:br w:type="page"/>
      </w:r>
    </w:p>
    <w:p w14:paraId="331335CF" w14:textId="55790258" w:rsidR="00A3546D" w:rsidRDefault="00993FBB" w:rsidP="00993FBB">
      <w:pPr>
        <w:spacing w:line="480" w:lineRule="exact"/>
        <w:ind w:firstLineChars="100" w:firstLine="321"/>
        <w:rPr>
          <w:rFonts w:asciiTheme="minorEastAsia" w:eastAsiaTheme="minorEastAsia" w:hAnsiTheme="minorEastAsia"/>
          <w:b/>
          <w:sz w:val="32"/>
          <w:szCs w:val="24"/>
        </w:rPr>
      </w:pPr>
      <w:r w:rsidRPr="00993FBB">
        <w:rPr>
          <w:rFonts w:asciiTheme="minorEastAsia" w:eastAsiaTheme="minorEastAsia" w:hAnsiTheme="minorEastAsia" w:hint="eastAsia"/>
          <w:b/>
          <w:sz w:val="32"/>
          <w:szCs w:val="24"/>
        </w:rPr>
        <w:lastRenderedPageBreak/>
        <w:t>金科股份2020年9月投资者调研活动主要问题及回答摘要</w:t>
      </w:r>
    </w:p>
    <w:p w14:paraId="085AAA6B" w14:textId="77777777" w:rsidR="00993FBB" w:rsidRDefault="00993FBB" w:rsidP="00341416">
      <w:pPr>
        <w:spacing w:line="480" w:lineRule="exact"/>
        <w:rPr>
          <w:rFonts w:asciiTheme="minorEastAsia" w:eastAsiaTheme="minorEastAsia" w:hAnsiTheme="minorEastAsia"/>
          <w:b/>
          <w:sz w:val="32"/>
          <w:szCs w:val="24"/>
        </w:rPr>
      </w:pPr>
    </w:p>
    <w:p w14:paraId="36A0B14E" w14:textId="13F27670" w:rsidR="00A466DA" w:rsidRDefault="00EB3A38" w:rsidP="00341416">
      <w:pPr>
        <w:spacing w:line="480" w:lineRule="exact"/>
        <w:rPr>
          <w:rFonts w:asciiTheme="minorEastAsia" w:eastAsiaTheme="minorEastAsia" w:hAnsiTheme="minorEastAsia"/>
          <w:b/>
          <w:bCs/>
          <w:sz w:val="28"/>
          <w:szCs w:val="28"/>
        </w:rPr>
      </w:pPr>
      <w:r w:rsidRPr="006F6F95">
        <w:rPr>
          <w:rFonts w:asciiTheme="minorEastAsia" w:eastAsiaTheme="minorEastAsia" w:hAnsiTheme="minorEastAsia" w:hint="eastAsia"/>
          <w:b/>
          <w:bCs/>
          <w:sz w:val="28"/>
          <w:szCs w:val="28"/>
        </w:rPr>
        <w:t>问：</w:t>
      </w:r>
      <w:r w:rsidR="00A466DA">
        <w:rPr>
          <w:rFonts w:asciiTheme="minorEastAsia" w:eastAsiaTheme="minorEastAsia" w:hAnsiTheme="minorEastAsia" w:hint="eastAsia"/>
          <w:b/>
          <w:bCs/>
          <w:sz w:val="28"/>
          <w:szCs w:val="28"/>
        </w:rPr>
        <w:t>截至8月公司当前销售情况如何，全年目标是否有调整？</w:t>
      </w:r>
    </w:p>
    <w:p w14:paraId="2D4BEB48" w14:textId="2F3FD61B" w:rsidR="00A466DA" w:rsidRDefault="004523AA" w:rsidP="00104786">
      <w:pPr>
        <w:spacing w:line="48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答：</w:t>
      </w:r>
      <w:r w:rsidR="002303E4">
        <w:rPr>
          <w:rFonts w:asciiTheme="minorEastAsia" w:eastAsiaTheme="minorEastAsia" w:hAnsiTheme="minorEastAsia" w:hint="eastAsia"/>
          <w:sz w:val="28"/>
          <w:szCs w:val="28"/>
        </w:rPr>
        <w:t>从市场上看，公司所处市场三季度随着推盘节奏调整和疫情后经济持续恢复推动销售持续向好</w:t>
      </w:r>
      <w:r w:rsidR="002303E4" w:rsidRPr="00BE0FE2">
        <w:rPr>
          <w:rFonts w:asciiTheme="minorEastAsia" w:eastAsiaTheme="minorEastAsia" w:hAnsiTheme="minorEastAsia" w:hint="eastAsia"/>
          <w:sz w:val="28"/>
          <w:szCs w:val="28"/>
        </w:rPr>
        <w:t>。</w:t>
      </w:r>
      <w:r w:rsidR="002303E4">
        <w:rPr>
          <w:rFonts w:asciiTheme="minorEastAsia" w:eastAsiaTheme="minorEastAsia" w:hAnsiTheme="minorEastAsia" w:hint="eastAsia"/>
          <w:sz w:val="28"/>
          <w:szCs w:val="28"/>
        </w:rPr>
        <w:t>公司也对</w:t>
      </w:r>
      <w:r w:rsidR="002303E4" w:rsidRPr="00BE0FE2">
        <w:rPr>
          <w:rFonts w:asciiTheme="minorEastAsia" w:eastAsiaTheme="minorEastAsia" w:hAnsiTheme="minorEastAsia" w:hint="eastAsia"/>
          <w:sz w:val="28"/>
          <w:szCs w:val="28"/>
        </w:rPr>
        <w:t>下半年推盘节奏做了优化</w:t>
      </w:r>
      <w:r w:rsidR="002303E4">
        <w:rPr>
          <w:rFonts w:asciiTheme="minorEastAsia" w:eastAsiaTheme="minorEastAsia" w:hAnsiTheme="minorEastAsia" w:hint="eastAsia"/>
          <w:sz w:val="28"/>
          <w:szCs w:val="28"/>
        </w:rPr>
        <w:t>，打造更加适销对路的产品</w:t>
      </w:r>
      <w:r w:rsidR="002303E4" w:rsidRPr="00BE0FE2">
        <w:rPr>
          <w:rFonts w:asciiTheme="minorEastAsia" w:eastAsiaTheme="minorEastAsia" w:hAnsiTheme="minorEastAsia" w:hint="eastAsia"/>
          <w:sz w:val="28"/>
          <w:szCs w:val="28"/>
        </w:rPr>
        <w:t>。</w:t>
      </w:r>
      <w:r w:rsidR="00A466DA">
        <w:rPr>
          <w:rFonts w:asciiTheme="minorEastAsia" w:eastAsiaTheme="minorEastAsia" w:hAnsiTheme="minorEastAsia" w:hint="eastAsia"/>
          <w:sz w:val="28"/>
          <w:szCs w:val="28"/>
        </w:rPr>
        <w:t>2020年8月份，公司实现销售金额约191亿元，房地产销售面积180万平方米。截至8月底，2020年公司累计已实现销售金额约1,239亿元，房地产销售面积约1</w:t>
      </w:r>
      <w:r w:rsidR="00A466DA">
        <w:rPr>
          <w:rFonts w:asciiTheme="minorEastAsia" w:eastAsiaTheme="minorEastAsia" w:hAnsiTheme="minorEastAsia"/>
          <w:sz w:val="28"/>
          <w:szCs w:val="28"/>
        </w:rPr>
        <w:t>,</w:t>
      </w:r>
      <w:r w:rsidR="00A466DA">
        <w:rPr>
          <w:rFonts w:asciiTheme="minorEastAsia" w:eastAsiaTheme="minorEastAsia" w:hAnsiTheme="minorEastAsia" w:hint="eastAsia"/>
          <w:sz w:val="28"/>
          <w:szCs w:val="28"/>
        </w:rPr>
        <w:t>201万平方米。</w:t>
      </w:r>
      <w:r w:rsidR="00A466DA" w:rsidRPr="00A466DA">
        <w:rPr>
          <w:rFonts w:asciiTheme="minorEastAsia" w:eastAsiaTheme="minorEastAsia" w:hAnsiTheme="minorEastAsia" w:hint="eastAsia"/>
          <w:sz w:val="28"/>
          <w:szCs w:val="28"/>
        </w:rPr>
        <w:t>公司目前暂时没有调整销售目标的打算</w:t>
      </w:r>
      <w:r w:rsidR="00952D9A">
        <w:rPr>
          <w:rFonts w:asciiTheme="minorEastAsia" w:eastAsiaTheme="minorEastAsia" w:hAnsiTheme="minorEastAsia" w:hint="eastAsia"/>
          <w:sz w:val="28"/>
          <w:szCs w:val="28"/>
        </w:rPr>
        <w:t>，</w:t>
      </w:r>
      <w:r w:rsidR="00A466DA" w:rsidRPr="00A466DA">
        <w:rPr>
          <w:rFonts w:asciiTheme="minorEastAsia" w:eastAsiaTheme="minorEastAsia" w:hAnsiTheme="minorEastAsia" w:hint="eastAsia"/>
          <w:sz w:val="28"/>
          <w:szCs w:val="28"/>
        </w:rPr>
        <w:t>对完成年度</w:t>
      </w:r>
      <w:r w:rsidR="00952D9A">
        <w:rPr>
          <w:rFonts w:asciiTheme="minorEastAsia" w:eastAsiaTheme="minorEastAsia" w:hAnsiTheme="minorEastAsia" w:hint="eastAsia"/>
          <w:sz w:val="28"/>
          <w:szCs w:val="28"/>
        </w:rPr>
        <w:t>2200亿</w:t>
      </w:r>
      <w:r w:rsidR="00A466DA" w:rsidRPr="00A466DA">
        <w:rPr>
          <w:rFonts w:asciiTheme="minorEastAsia" w:eastAsiaTheme="minorEastAsia" w:hAnsiTheme="minorEastAsia" w:hint="eastAsia"/>
          <w:sz w:val="28"/>
          <w:szCs w:val="28"/>
        </w:rPr>
        <w:t>销售目标</w:t>
      </w:r>
      <w:r w:rsidR="00952D9A">
        <w:rPr>
          <w:rFonts w:asciiTheme="minorEastAsia" w:eastAsiaTheme="minorEastAsia" w:hAnsiTheme="minorEastAsia" w:hint="eastAsia"/>
          <w:sz w:val="28"/>
          <w:szCs w:val="28"/>
        </w:rPr>
        <w:t>充满</w:t>
      </w:r>
      <w:r w:rsidR="00A466DA" w:rsidRPr="00A466DA">
        <w:rPr>
          <w:rFonts w:asciiTheme="minorEastAsia" w:eastAsiaTheme="minorEastAsia" w:hAnsiTheme="minorEastAsia" w:hint="eastAsia"/>
          <w:sz w:val="28"/>
          <w:szCs w:val="28"/>
        </w:rPr>
        <w:t>信心</w:t>
      </w:r>
      <w:r w:rsidR="00952D9A">
        <w:rPr>
          <w:rFonts w:asciiTheme="minorEastAsia" w:eastAsiaTheme="minorEastAsia" w:hAnsiTheme="minorEastAsia" w:hint="eastAsia"/>
          <w:sz w:val="28"/>
          <w:szCs w:val="28"/>
        </w:rPr>
        <w:t>。</w:t>
      </w:r>
    </w:p>
    <w:p w14:paraId="4A9AE7E3" w14:textId="77777777" w:rsidR="00A466DA" w:rsidRDefault="00A466DA" w:rsidP="00341416">
      <w:pPr>
        <w:spacing w:line="480" w:lineRule="exact"/>
        <w:rPr>
          <w:rFonts w:asciiTheme="minorEastAsia" w:eastAsiaTheme="minorEastAsia" w:hAnsiTheme="minorEastAsia"/>
          <w:b/>
          <w:bCs/>
          <w:sz w:val="28"/>
          <w:szCs w:val="28"/>
        </w:rPr>
      </w:pPr>
    </w:p>
    <w:p w14:paraId="6A2A63A1" w14:textId="6916CD41" w:rsidR="00EB3A38" w:rsidRPr="006F6F95" w:rsidRDefault="004523AA" w:rsidP="00341416">
      <w:pPr>
        <w:spacing w:line="480" w:lineRule="exact"/>
        <w:rPr>
          <w:rFonts w:asciiTheme="minorEastAsia" w:eastAsiaTheme="minorEastAsia" w:hAnsiTheme="minorEastAsia"/>
          <w:b/>
          <w:bCs/>
          <w:sz w:val="28"/>
          <w:szCs w:val="28"/>
        </w:rPr>
      </w:pPr>
      <w:r>
        <w:rPr>
          <w:rFonts w:asciiTheme="minorEastAsia" w:eastAsiaTheme="minorEastAsia" w:hAnsiTheme="minorEastAsia" w:hint="eastAsia"/>
          <w:b/>
          <w:bCs/>
          <w:sz w:val="28"/>
          <w:szCs w:val="28"/>
        </w:rPr>
        <w:t>问：</w:t>
      </w:r>
      <w:r w:rsidR="00EB3A38" w:rsidRPr="006F6F95">
        <w:rPr>
          <w:rFonts w:asciiTheme="minorEastAsia" w:eastAsiaTheme="minorEastAsia" w:hAnsiTheme="minorEastAsia" w:hint="eastAsia"/>
          <w:b/>
          <w:bCs/>
          <w:sz w:val="28"/>
          <w:szCs w:val="28"/>
        </w:rPr>
        <w:t>公司</w:t>
      </w:r>
      <w:r w:rsidR="00A466DA">
        <w:rPr>
          <w:rFonts w:asciiTheme="minorEastAsia" w:eastAsiaTheme="minorEastAsia" w:hAnsiTheme="minorEastAsia" w:hint="eastAsia"/>
          <w:b/>
          <w:bCs/>
          <w:sz w:val="28"/>
          <w:szCs w:val="28"/>
        </w:rPr>
        <w:t>未来在改善毛利率方面有哪些应对措施？</w:t>
      </w:r>
    </w:p>
    <w:p w14:paraId="3CDE90C0" w14:textId="210DAD9F" w:rsidR="00A466DA" w:rsidRPr="00A466DA" w:rsidRDefault="004523AA" w:rsidP="00C97644">
      <w:pPr>
        <w:spacing w:line="48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答：</w:t>
      </w:r>
      <w:r w:rsidR="00C97644">
        <w:rPr>
          <w:rFonts w:asciiTheme="minorEastAsia" w:eastAsiaTheme="minorEastAsia" w:hAnsiTheme="minorEastAsia" w:hint="eastAsia"/>
          <w:sz w:val="28"/>
          <w:szCs w:val="28"/>
        </w:rPr>
        <w:t>在</w:t>
      </w:r>
      <w:r w:rsidR="00A466DA" w:rsidRPr="00A466DA">
        <w:rPr>
          <w:rFonts w:asciiTheme="minorEastAsia" w:eastAsiaTheme="minorEastAsia" w:hAnsiTheme="minorEastAsia" w:hint="eastAsia"/>
          <w:sz w:val="28"/>
          <w:szCs w:val="28"/>
        </w:rPr>
        <w:t>毛利</w:t>
      </w:r>
      <w:r w:rsidR="00C97644">
        <w:rPr>
          <w:rFonts w:asciiTheme="minorEastAsia" w:eastAsiaTheme="minorEastAsia" w:hAnsiTheme="minorEastAsia" w:hint="eastAsia"/>
          <w:sz w:val="28"/>
          <w:szCs w:val="28"/>
        </w:rPr>
        <w:t>率改善方面</w:t>
      </w:r>
      <w:r w:rsidR="00A466DA" w:rsidRPr="00A466DA">
        <w:rPr>
          <w:rFonts w:asciiTheme="minorEastAsia" w:eastAsiaTheme="minorEastAsia" w:hAnsiTheme="minorEastAsia" w:hint="eastAsia"/>
          <w:sz w:val="28"/>
          <w:szCs w:val="28"/>
        </w:rPr>
        <w:t>，公司也针对性的提出了解决思路：</w:t>
      </w:r>
      <w:r w:rsidR="00CA44A1">
        <w:rPr>
          <w:rFonts w:asciiTheme="minorEastAsia" w:eastAsiaTheme="minorEastAsia" w:hAnsiTheme="minorEastAsia" w:hint="eastAsia"/>
          <w:sz w:val="28"/>
          <w:szCs w:val="28"/>
        </w:rPr>
        <w:t>从成本方面，</w:t>
      </w:r>
      <w:r w:rsidR="00A466DA" w:rsidRPr="00A466DA">
        <w:rPr>
          <w:rFonts w:asciiTheme="minorEastAsia" w:eastAsiaTheme="minorEastAsia" w:hAnsiTheme="minorEastAsia" w:hint="eastAsia"/>
          <w:sz w:val="28"/>
          <w:szCs w:val="28"/>
        </w:rPr>
        <w:t>一是</w:t>
      </w:r>
      <w:proofErr w:type="gramStart"/>
      <w:r w:rsidR="00A466DA" w:rsidRPr="00A466DA">
        <w:rPr>
          <w:rFonts w:asciiTheme="minorEastAsia" w:eastAsiaTheme="minorEastAsia" w:hAnsiTheme="minorEastAsia" w:hint="eastAsia"/>
          <w:sz w:val="28"/>
          <w:szCs w:val="28"/>
        </w:rPr>
        <w:t>拓宽拿</w:t>
      </w:r>
      <w:proofErr w:type="gramEnd"/>
      <w:r w:rsidR="00A466DA" w:rsidRPr="00A466DA">
        <w:rPr>
          <w:rFonts w:asciiTheme="minorEastAsia" w:eastAsiaTheme="minorEastAsia" w:hAnsiTheme="minorEastAsia" w:hint="eastAsia"/>
          <w:sz w:val="28"/>
          <w:szCs w:val="28"/>
        </w:rPr>
        <w:t>地方式、</w:t>
      </w:r>
      <w:proofErr w:type="gramStart"/>
      <w:r w:rsidR="00A466DA" w:rsidRPr="00A466DA">
        <w:rPr>
          <w:rFonts w:asciiTheme="minorEastAsia" w:eastAsiaTheme="minorEastAsia" w:hAnsiTheme="minorEastAsia" w:hint="eastAsia"/>
          <w:sz w:val="28"/>
          <w:szCs w:val="28"/>
        </w:rPr>
        <w:t>增加拿</w:t>
      </w:r>
      <w:proofErr w:type="gramEnd"/>
      <w:r w:rsidR="00A466DA" w:rsidRPr="00A466DA">
        <w:rPr>
          <w:rFonts w:asciiTheme="minorEastAsia" w:eastAsiaTheme="minorEastAsia" w:hAnsiTheme="minorEastAsia" w:hint="eastAsia"/>
          <w:sz w:val="28"/>
          <w:szCs w:val="28"/>
        </w:rPr>
        <w:t>地渠道，公司积极发展</w:t>
      </w:r>
      <w:proofErr w:type="gramStart"/>
      <w:r w:rsidR="00A466DA" w:rsidRPr="00A466DA">
        <w:rPr>
          <w:rFonts w:asciiTheme="minorEastAsia" w:eastAsiaTheme="minorEastAsia" w:hAnsiTheme="minorEastAsia" w:hint="eastAsia"/>
          <w:sz w:val="28"/>
          <w:szCs w:val="28"/>
        </w:rPr>
        <w:t>除招拍挂以为</w:t>
      </w:r>
      <w:proofErr w:type="gramEnd"/>
      <w:r w:rsidR="00A466DA" w:rsidRPr="00A466DA">
        <w:rPr>
          <w:rFonts w:asciiTheme="minorEastAsia" w:eastAsiaTheme="minorEastAsia" w:hAnsiTheme="minorEastAsia" w:hint="eastAsia"/>
          <w:sz w:val="28"/>
          <w:szCs w:val="28"/>
        </w:rPr>
        <w:t>的拿地方式，包括产业拿地、一二级联动、收并购、合资合作在内的拿地方式</w:t>
      </w:r>
      <w:r w:rsidR="00CA44A1">
        <w:rPr>
          <w:rFonts w:asciiTheme="minorEastAsia" w:eastAsiaTheme="minorEastAsia" w:hAnsiTheme="minorEastAsia" w:hint="eastAsia"/>
          <w:sz w:val="28"/>
          <w:szCs w:val="28"/>
        </w:rPr>
        <w:t>，未来对降低土地成本很有帮助</w:t>
      </w:r>
      <w:r w:rsidR="00A466DA" w:rsidRPr="00A466DA">
        <w:rPr>
          <w:rFonts w:asciiTheme="minorEastAsia" w:eastAsiaTheme="minorEastAsia" w:hAnsiTheme="minorEastAsia" w:hint="eastAsia"/>
          <w:sz w:val="28"/>
          <w:szCs w:val="28"/>
        </w:rPr>
        <w:t>。二是</w:t>
      </w:r>
      <w:r w:rsidR="00C97644" w:rsidRPr="00C97644">
        <w:rPr>
          <w:rFonts w:asciiTheme="minorEastAsia" w:eastAsiaTheme="minorEastAsia" w:hAnsiTheme="minorEastAsia" w:hint="eastAsia"/>
          <w:sz w:val="28"/>
          <w:szCs w:val="28"/>
        </w:rPr>
        <w:t>推动“精准的时空安排、强大的一线拓展、系统的区域管控、高效的集团决策、完善的投后保障”五大投资方针改革落地；深入推进“省域深耕”战略，坚持“合作共赢，合伙共生”；持续夯实城市研究体系，确保研究领域全覆盖，确保研究真正产生效益；加强</w:t>
      </w:r>
      <w:proofErr w:type="gramStart"/>
      <w:r w:rsidR="00C97644" w:rsidRPr="00C97644">
        <w:rPr>
          <w:rFonts w:asciiTheme="minorEastAsia" w:eastAsiaTheme="minorEastAsia" w:hAnsiTheme="minorEastAsia" w:hint="eastAsia"/>
          <w:sz w:val="28"/>
          <w:szCs w:val="28"/>
        </w:rPr>
        <w:t>产业文旅与</w:t>
      </w:r>
      <w:proofErr w:type="gramEnd"/>
      <w:r w:rsidR="00C97644" w:rsidRPr="00C97644">
        <w:rPr>
          <w:rFonts w:asciiTheme="minorEastAsia" w:eastAsiaTheme="minorEastAsia" w:hAnsiTheme="minorEastAsia" w:hint="eastAsia"/>
          <w:sz w:val="28"/>
          <w:szCs w:val="28"/>
        </w:rPr>
        <w:t>地产的协同，</w:t>
      </w:r>
      <w:proofErr w:type="gramStart"/>
      <w:r w:rsidR="00C97644" w:rsidRPr="00C97644">
        <w:rPr>
          <w:rFonts w:asciiTheme="minorEastAsia" w:eastAsiaTheme="minorEastAsia" w:hAnsiTheme="minorEastAsia" w:hint="eastAsia"/>
          <w:sz w:val="28"/>
          <w:szCs w:val="28"/>
        </w:rPr>
        <w:t>加大收并购</w:t>
      </w:r>
      <w:proofErr w:type="gramEnd"/>
      <w:r w:rsidR="00C97644" w:rsidRPr="00C97644">
        <w:rPr>
          <w:rFonts w:asciiTheme="minorEastAsia" w:eastAsiaTheme="minorEastAsia" w:hAnsiTheme="minorEastAsia" w:hint="eastAsia"/>
          <w:sz w:val="28"/>
          <w:szCs w:val="28"/>
        </w:rPr>
        <w:t>力度，为公司中长期发展战略提供充足土地储备保障</w:t>
      </w:r>
      <w:r w:rsidR="00104786">
        <w:rPr>
          <w:rFonts w:asciiTheme="minorEastAsia" w:eastAsiaTheme="minorEastAsia" w:hAnsiTheme="minorEastAsia" w:hint="eastAsia"/>
          <w:sz w:val="28"/>
          <w:szCs w:val="28"/>
        </w:rPr>
        <w:t>。</w:t>
      </w:r>
      <w:r w:rsidR="00CA44A1">
        <w:rPr>
          <w:rFonts w:asciiTheme="minorEastAsia" w:eastAsiaTheme="minorEastAsia" w:hAnsiTheme="minorEastAsia" w:hint="eastAsia"/>
          <w:sz w:val="28"/>
          <w:szCs w:val="28"/>
        </w:rPr>
        <w:t>三是进行精细化管理，引入西格玛精细化管理模式，对生产环节中119项指标进行梳理，</w:t>
      </w:r>
      <w:r w:rsidR="00C97644">
        <w:rPr>
          <w:rFonts w:asciiTheme="minorEastAsia" w:eastAsiaTheme="minorEastAsia" w:hAnsiTheme="minorEastAsia" w:hint="eastAsia"/>
          <w:sz w:val="28"/>
          <w:szCs w:val="28"/>
        </w:rPr>
        <w:t>优化</w:t>
      </w:r>
      <w:r w:rsidR="00CA44A1">
        <w:rPr>
          <w:rFonts w:asciiTheme="minorEastAsia" w:eastAsiaTheme="minorEastAsia" w:hAnsiTheme="minorEastAsia" w:hint="eastAsia"/>
          <w:sz w:val="28"/>
          <w:szCs w:val="28"/>
        </w:rPr>
        <w:t>建安成本</w:t>
      </w:r>
      <w:r w:rsidR="00104786">
        <w:rPr>
          <w:rFonts w:asciiTheme="minorEastAsia" w:eastAsiaTheme="minorEastAsia" w:hAnsiTheme="minorEastAsia" w:hint="eastAsia"/>
          <w:sz w:val="28"/>
          <w:szCs w:val="28"/>
        </w:rPr>
        <w:t>。</w:t>
      </w:r>
      <w:r w:rsidR="00CA44A1">
        <w:rPr>
          <w:rFonts w:asciiTheme="minorEastAsia" w:eastAsiaTheme="minorEastAsia" w:hAnsiTheme="minorEastAsia" w:hint="eastAsia"/>
          <w:sz w:val="28"/>
          <w:szCs w:val="28"/>
        </w:rPr>
        <w:t>四</w:t>
      </w:r>
      <w:r w:rsidR="00A466DA" w:rsidRPr="00A466DA">
        <w:rPr>
          <w:rFonts w:asciiTheme="minorEastAsia" w:eastAsiaTheme="minorEastAsia" w:hAnsiTheme="minorEastAsia" w:hint="eastAsia"/>
          <w:sz w:val="28"/>
          <w:szCs w:val="28"/>
        </w:rPr>
        <w:t>是引入同舟共赢的</w:t>
      </w:r>
      <w:proofErr w:type="gramStart"/>
      <w:r w:rsidR="00A466DA" w:rsidRPr="00A466DA">
        <w:rPr>
          <w:rFonts w:asciiTheme="minorEastAsia" w:eastAsiaTheme="minorEastAsia" w:hAnsiTheme="minorEastAsia" w:hint="eastAsia"/>
          <w:sz w:val="28"/>
          <w:szCs w:val="28"/>
        </w:rPr>
        <w:t>跟投制度</w:t>
      </w:r>
      <w:proofErr w:type="gramEnd"/>
      <w:r w:rsidR="00A466DA" w:rsidRPr="00A466DA">
        <w:rPr>
          <w:rFonts w:asciiTheme="minorEastAsia" w:eastAsiaTheme="minorEastAsia" w:hAnsiTheme="minorEastAsia" w:hint="eastAsia"/>
          <w:sz w:val="28"/>
          <w:szCs w:val="28"/>
        </w:rPr>
        <w:t>和同创共赢的超额奖励制度，进一步提升公司获取房地产项目的质量和运营效率</w:t>
      </w:r>
      <w:r w:rsidR="00CA44A1">
        <w:rPr>
          <w:rFonts w:asciiTheme="minorEastAsia" w:eastAsiaTheme="minorEastAsia" w:hAnsiTheme="minorEastAsia" w:hint="eastAsia"/>
          <w:sz w:val="28"/>
          <w:szCs w:val="28"/>
        </w:rPr>
        <w:t>。从产品</w:t>
      </w:r>
      <w:r w:rsidR="00104786">
        <w:rPr>
          <w:rFonts w:asciiTheme="minorEastAsia" w:eastAsiaTheme="minorEastAsia" w:hAnsiTheme="minorEastAsia" w:hint="eastAsia"/>
          <w:sz w:val="28"/>
          <w:szCs w:val="28"/>
        </w:rPr>
        <w:t>力方面，一是未来将持续注重产品力提升，做好产品定位，开发适销对路的产品。二是提升精装修的比例，增加利润空间。</w:t>
      </w:r>
    </w:p>
    <w:p w14:paraId="704EA762" w14:textId="6F0F80BE" w:rsidR="00D77D3C" w:rsidRDefault="00A466DA" w:rsidP="00A466DA">
      <w:pPr>
        <w:spacing w:line="480" w:lineRule="exact"/>
        <w:rPr>
          <w:rFonts w:asciiTheme="minorEastAsia" w:eastAsiaTheme="minorEastAsia" w:hAnsiTheme="minorEastAsia"/>
          <w:sz w:val="28"/>
          <w:szCs w:val="28"/>
        </w:rPr>
      </w:pPr>
      <w:r w:rsidRPr="00A466DA">
        <w:rPr>
          <w:rFonts w:asciiTheme="minorEastAsia" w:eastAsiaTheme="minorEastAsia" w:hAnsiTheme="minorEastAsia"/>
          <w:sz w:val="28"/>
          <w:szCs w:val="28"/>
        </w:rPr>
        <w:t> </w:t>
      </w:r>
    </w:p>
    <w:p w14:paraId="3AC2A525" w14:textId="62533DDF" w:rsidR="002E4AC2" w:rsidRPr="00563174" w:rsidRDefault="002E4AC2" w:rsidP="002E4AC2">
      <w:pPr>
        <w:spacing w:line="480" w:lineRule="exact"/>
        <w:rPr>
          <w:rFonts w:asciiTheme="minorEastAsia" w:eastAsiaTheme="minorEastAsia" w:hAnsiTheme="minorEastAsia"/>
          <w:b/>
          <w:bCs/>
          <w:sz w:val="28"/>
          <w:szCs w:val="28"/>
        </w:rPr>
      </w:pPr>
      <w:r w:rsidRPr="00563174">
        <w:rPr>
          <w:rFonts w:asciiTheme="minorEastAsia" w:eastAsiaTheme="minorEastAsia" w:hAnsiTheme="minorEastAsia" w:hint="eastAsia"/>
          <w:b/>
          <w:bCs/>
          <w:sz w:val="28"/>
          <w:szCs w:val="28"/>
        </w:rPr>
        <w:t>问：公司当前投资布局策略?</w:t>
      </w:r>
    </w:p>
    <w:p w14:paraId="58465754" w14:textId="77777777" w:rsidR="002E4AC2" w:rsidRPr="007A53F4" w:rsidRDefault="002E4AC2" w:rsidP="007A53F4">
      <w:pPr>
        <w:spacing w:line="480" w:lineRule="exact"/>
        <w:ind w:firstLineChars="200" w:firstLine="560"/>
        <w:rPr>
          <w:rFonts w:asciiTheme="minorEastAsia" w:eastAsiaTheme="minorEastAsia" w:hAnsiTheme="minorEastAsia"/>
          <w:sz w:val="28"/>
          <w:szCs w:val="28"/>
        </w:rPr>
      </w:pPr>
      <w:r w:rsidRPr="007A53F4">
        <w:rPr>
          <w:rFonts w:asciiTheme="minorEastAsia" w:eastAsiaTheme="minorEastAsia" w:hAnsiTheme="minorEastAsia" w:hint="eastAsia"/>
          <w:sz w:val="28"/>
          <w:szCs w:val="28"/>
        </w:rPr>
        <w:t>公司以国家城市群发展战略为导向，聚焦“三圈一带、八大城市群”等重点城市进行深耕发展，在二三线城市打好保卫战，一线城市打运动战，四线城市游击战。已进驻全国23个省、约110个城市，开发项目主要分布</w:t>
      </w:r>
      <w:r w:rsidRPr="007A53F4">
        <w:rPr>
          <w:rFonts w:asciiTheme="minorEastAsia" w:eastAsiaTheme="minorEastAsia" w:hAnsiTheme="minorEastAsia" w:hint="eastAsia"/>
          <w:sz w:val="28"/>
          <w:szCs w:val="28"/>
        </w:rPr>
        <w:lastRenderedPageBreak/>
        <w:t>在重庆、广州、杭州、成都、南京、苏州、合肥、南宁等主要城市。截至半年报，公司在华东、重庆、西南（不含重庆）、华中、华南地区</w:t>
      </w:r>
      <w:r w:rsidRPr="007A53F4">
        <w:rPr>
          <w:rFonts w:asciiTheme="minorEastAsia" w:eastAsiaTheme="minorEastAsia" w:hAnsiTheme="minorEastAsia"/>
          <w:sz w:val="28"/>
          <w:szCs w:val="28"/>
        </w:rPr>
        <w:t xml:space="preserve"> 销售金额占比分别达到43%、19%、12%、10%、8%，公司全国化布局初见成效。</w:t>
      </w:r>
      <w:r w:rsidRPr="007A53F4">
        <w:rPr>
          <w:rFonts w:asciiTheme="minorEastAsia" w:eastAsiaTheme="minorEastAsia" w:hAnsiTheme="minorEastAsia" w:hint="eastAsia"/>
          <w:sz w:val="28"/>
          <w:szCs w:val="28"/>
        </w:rPr>
        <w:t>未来新进入城市可能不会增加太多，公司希望在现有的城市群的基础上加大省域深耕力度，做大开发销售规模，提高区域市场占有率。</w:t>
      </w:r>
    </w:p>
    <w:p w14:paraId="2832AA79" w14:textId="77777777" w:rsidR="002E4AC2" w:rsidRDefault="002E4AC2" w:rsidP="00104786">
      <w:pPr>
        <w:spacing w:line="480" w:lineRule="exact"/>
        <w:rPr>
          <w:rFonts w:asciiTheme="minorEastAsia" w:eastAsiaTheme="minorEastAsia" w:hAnsiTheme="minorEastAsia"/>
          <w:b/>
          <w:bCs/>
          <w:sz w:val="28"/>
          <w:szCs w:val="28"/>
        </w:rPr>
      </w:pPr>
    </w:p>
    <w:p w14:paraId="04263792" w14:textId="24CA6509" w:rsidR="00D87DC7" w:rsidRPr="00D87DC7" w:rsidRDefault="00D87DC7" w:rsidP="00D87DC7">
      <w:pPr>
        <w:rPr>
          <w:rFonts w:asciiTheme="minorEastAsia" w:eastAsiaTheme="minorEastAsia" w:hAnsiTheme="minorEastAsia"/>
          <w:b/>
          <w:bCs/>
          <w:sz w:val="28"/>
          <w:szCs w:val="28"/>
        </w:rPr>
      </w:pPr>
      <w:r w:rsidRPr="00D87DC7">
        <w:rPr>
          <w:rFonts w:asciiTheme="minorEastAsia" w:eastAsiaTheme="minorEastAsia" w:hAnsiTheme="minorEastAsia" w:hint="eastAsia"/>
          <w:b/>
          <w:bCs/>
          <w:sz w:val="28"/>
          <w:szCs w:val="28"/>
        </w:rPr>
        <w:t>问：市场有传言针对</w:t>
      </w:r>
      <w:proofErr w:type="gramStart"/>
      <w:r w:rsidRPr="00D87DC7">
        <w:rPr>
          <w:rFonts w:asciiTheme="minorEastAsia" w:eastAsiaTheme="minorEastAsia" w:hAnsiTheme="minorEastAsia" w:hint="eastAsia"/>
          <w:b/>
          <w:bCs/>
          <w:sz w:val="28"/>
          <w:szCs w:val="28"/>
        </w:rPr>
        <w:t>房企将</w:t>
      </w:r>
      <w:proofErr w:type="gramEnd"/>
      <w:r w:rsidRPr="00D87DC7">
        <w:rPr>
          <w:rFonts w:asciiTheme="minorEastAsia" w:eastAsiaTheme="minorEastAsia" w:hAnsiTheme="minorEastAsia" w:hint="eastAsia"/>
          <w:b/>
          <w:bCs/>
          <w:sz w:val="28"/>
          <w:szCs w:val="28"/>
        </w:rPr>
        <w:t>出台一系列的融资收紧政策，比如</w:t>
      </w:r>
      <w:r w:rsidRPr="00D87DC7">
        <w:rPr>
          <w:rFonts w:asciiTheme="minorEastAsia" w:eastAsiaTheme="minorEastAsia" w:hAnsiTheme="minorEastAsia"/>
          <w:b/>
          <w:bCs/>
          <w:sz w:val="28"/>
          <w:szCs w:val="28"/>
        </w:rPr>
        <w:t>设置“三道红线”</w:t>
      </w:r>
      <w:r w:rsidRPr="00D87DC7">
        <w:rPr>
          <w:rFonts w:asciiTheme="minorEastAsia" w:eastAsiaTheme="minorEastAsia" w:hAnsiTheme="minorEastAsia" w:hint="eastAsia"/>
          <w:b/>
          <w:bCs/>
          <w:sz w:val="28"/>
          <w:szCs w:val="28"/>
        </w:rPr>
        <w:t>，将</w:t>
      </w:r>
      <w:r w:rsidRPr="00D87DC7">
        <w:rPr>
          <w:rFonts w:asciiTheme="minorEastAsia" w:eastAsiaTheme="minorEastAsia" w:hAnsiTheme="minorEastAsia"/>
          <w:b/>
          <w:bCs/>
          <w:sz w:val="28"/>
          <w:szCs w:val="28"/>
        </w:rPr>
        <w:t>试点房地产企业分为“红、橙、黄、绿”</w:t>
      </w:r>
      <w:proofErr w:type="gramStart"/>
      <w:r w:rsidRPr="00D87DC7">
        <w:rPr>
          <w:rFonts w:asciiTheme="minorEastAsia" w:eastAsiaTheme="minorEastAsia" w:hAnsiTheme="minorEastAsia"/>
          <w:b/>
          <w:bCs/>
          <w:sz w:val="28"/>
          <w:szCs w:val="28"/>
        </w:rPr>
        <w:t>四挡</w:t>
      </w:r>
      <w:r w:rsidRPr="00D87DC7">
        <w:rPr>
          <w:rFonts w:asciiTheme="minorEastAsia" w:eastAsiaTheme="minorEastAsia" w:hAnsiTheme="minorEastAsia" w:hint="eastAsia"/>
          <w:b/>
          <w:bCs/>
          <w:sz w:val="28"/>
          <w:szCs w:val="28"/>
        </w:rPr>
        <w:t>进行</w:t>
      </w:r>
      <w:proofErr w:type="gramEnd"/>
      <w:r w:rsidRPr="00D87DC7">
        <w:rPr>
          <w:rFonts w:asciiTheme="minorEastAsia" w:eastAsiaTheme="minorEastAsia" w:hAnsiTheme="minorEastAsia" w:hint="eastAsia"/>
          <w:b/>
          <w:bCs/>
          <w:sz w:val="28"/>
          <w:szCs w:val="28"/>
        </w:rPr>
        <w:t>有息负债规模的控制，对公司的影响以及公司的应对措施。</w:t>
      </w:r>
    </w:p>
    <w:p w14:paraId="2F2D9E7F" w14:textId="2FF3241D" w:rsidR="00D87DC7" w:rsidRDefault="00D87DC7" w:rsidP="008F008F">
      <w:pPr>
        <w:spacing w:line="480" w:lineRule="exact"/>
        <w:ind w:firstLineChars="200" w:firstLine="560"/>
        <w:rPr>
          <w:rFonts w:asciiTheme="minorEastAsia" w:eastAsiaTheme="minorEastAsia" w:hAnsiTheme="minorEastAsia"/>
          <w:sz w:val="28"/>
          <w:szCs w:val="28"/>
        </w:rPr>
      </w:pPr>
      <w:r w:rsidRPr="00D87DC7">
        <w:rPr>
          <w:rFonts w:asciiTheme="minorEastAsia" w:eastAsiaTheme="minorEastAsia" w:hAnsiTheme="minorEastAsia" w:hint="eastAsia"/>
          <w:sz w:val="28"/>
          <w:szCs w:val="28"/>
        </w:rPr>
        <w:t>答：作为一家房地产企业，我们始终坚持“房住不炒”的发展理念，紧跟国家调控政策，保持合理的杠杆水平，推动公司高质量发展。我们认为市场化、规则化、透明化的融资规则，有利于房地产企业形成稳定的金融政策预期，合理安排经营活动和融资行为，增强自身抗风险能力，也有利于推动房地产行业长期稳健运行，防范化解房地产金融风险，促进房地产市场持续平稳健康发展。</w:t>
      </w:r>
      <w:r>
        <w:rPr>
          <w:rFonts w:asciiTheme="minorEastAsia" w:eastAsiaTheme="minorEastAsia" w:hAnsiTheme="minorEastAsia" w:hint="eastAsia"/>
          <w:sz w:val="28"/>
          <w:szCs w:val="28"/>
        </w:rPr>
        <w:t>我司目前并非试点企业，也暂未收到调整的要求，但也会</w:t>
      </w:r>
      <w:r w:rsidR="00E16C2C" w:rsidRPr="00E16C2C">
        <w:rPr>
          <w:rFonts w:asciiTheme="minorEastAsia" w:eastAsiaTheme="minorEastAsia" w:hAnsiTheme="minorEastAsia" w:hint="eastAsia"/>
          <w:sz w:val="28"/>
          <w:szCs w:val="28"/>
        </w:rPr>
        <w:t>密切关注调控政策的变化，针对性的制定相关预案，合理的经营策略和调整融资方案，</w:t>
      </w:r>
      <w:r w:rsidR="002303E4">
        <w:rPr>
          <w:rFonts w:asciiTheme="minorEastAsia" w:eastAsiaTheme="minorEastAsia" w:hAnsiTheme="minorEastAsia" w:hint="eastAsia"/>
          <w:sz w:val="28"/>
          <w:szCs w:val="28"/>
        </w:rPr>
        <w:t>在保证财务结构持续优化的前提下，</w:t>
      </w:r>
      <w:r w:rsidR="0085285E">
        <w:rPr>
          <w:rFonts w:asciiTheme="minorEastAsia" w:eastAsiaTheme="minorEastAsia" w:hAnsiTheme="minorEastAsia" w:hint="eastAsia"/>
          <w:sz w:val="28"/>
          <w:szCs w:val="28"/>
        </w:rPr>
        <w:t>推动</w:t>
      </w:r>
      <w:r w:rsidR="002303E4">
        <w:rPr>
          <w:rFonts w:asciiTheme="minorEastAsia" w:eastAsiaTheme="minorEastAsia" w:hAnsiTheme="minorEastAsia" w:hint="eastAsia"/>
          <w:sz w:val="28"/>
          <w:szCs w:val="28"/>
        </w:rPr>
        <w:t>公司</w:t>
      </w:r>
      <w:r w:rsidR="00E16C2C" w:rsidRPr="00E16C2C">
        <w:rPr>
          <w:rFonts w:asciiTheme="minorEastAsia" w:eastAsiaTheme="minorEastAsia" w:hAnsiTheme="minorEastAsia" w:hint="eastAsia"/>
          <w:sz w:val="28"/>
          <w:szCs w:val="28"/>
        </w:rPr>
        <w:t>高质量发展</w:t>
      </w:r>
      <w:r w:rsidR="00E16C2C">
        <w:rPr>
          <w:rFonts w:asciiTheme="minorEastAsia" w:eastAsiaTheme="minorEastAsia" w:hAnsiTheme="minorEastAsia" w:hint="eastAsia"/>
          <w:sz w:val="28"/>
          <w:szCs w:val="28"/>
        </w:rPr>
        <w:t>。</w:t>
      </w:r>
      <w:r w:rsidR="008F008F">
        <w:rPr>
          <w:rFonts w:asciiTheme="minorEastAsia" w:eastAsiaTheme="minorEastAsia" w:hAnsiTheme="minorEastAsia" w:hint="eastAsia"/>
          <w:sz w:val="28"/>
          <w:szCs w:val="28"/>
        </w:rPr>
        <w:t>在</w:t>
      </w:r>
      <w:r w:rsidR="002303E4">
        <w:rPr>
          <w:rFonts w:asciiTheme="minorEastAsia" w:eastAsiaTheme="minorEastAsia" w:hAnsiTheme="minorEastAsia" w:hint="eastAsia"/>
          <w:sz w:val="28"/>
          <w:szCs w:val="28"/>
        </w:rPr>
        <w:t>具体融资工作上，公司会做好以下三个方面工作：</w:t>
      </w:r>
      <w:r w:rsidR="00E16C2C" w:rsidRPr="00E16C2C">
        <w:rPr>
          <w:rFonts w:asciiTheme="minorEastAsia" w:eastAsiaTheme="minorEastAsia" w:hAnsiTheme="minorEastAsia" w:hint="eastAsia"/>
          <w:sz w:val="28"/>
          <w:szCs w:val="28"/>
        </w:rPr>
        <w:t>一是求质效，</w:t>
      </w:r>
      <w:r w:rsidR="008F008F">
        <w:rPr>
          <w:rFonts w:asciiTheme="minorEastAsia" w:eastAsiaTheme="minorEastAsia" w:hAnsiTheme="minorEastAsia" w:hint="eastAsia"/>
          <w:sz w:val="28"/>
          <w:szCs w:val="28"/>
        </w:rPr>
        <w:t>公司将</w:t>
      </w:r>
      <w:r w:rsidR="00E16C2C" w:rsidRPr="00E16C2C">
        <w:rPr>
          <w:rFonts w:asciiTheme="minorEastAsia" w:eastAsiaTheme="minorEastAsia" w:hAnsiTheme="minorEastAsia" w:hint="eastAsia"/>
          <w:sz w:val="28"/>
          <w:szCs w:val="28"/>
        </w:rPr>
        <w:t>主要聚焦于控制融资成本和提升融资效率，持续控制有息负债。二是调结构，主要从融资品种和融资期限方面进行了长期规划</w:t>
      </w:r>
      <w:r w:rsidR="008F008F">
        <w:rPr>
          <w:rFonts w:asciiTheme="minorEastAsia" w:eastAsiaTheme="minorEastAsia" w:hAnsiTheme="minorEastAsia" w:hint="eastAsia"/>
          <w:sz w:val="28"/>
          <w:szCs w:val="28"/>
        </w:rPr>
        <w:t>。</w:t>
      </w:r>
      <w:r w:rsidR="00E16C2C" w:rsidRPr="00E16C2C">
        <w:rPr>
          <w:rFonts w:asciiTheme="minorEastAsia" w:eastAsiaTheme="minorEastAsia" w:hAnsiTheme="minorEastAsia" w:hint="eastAsia"/>
          <w:sz w:val="28"/>
          <w:szCs w:val="28"/>
        </w:rPr>
        <w:t>三是精管理，</w:t>
      </w:r>
      <w:r w:rsidR="008F008F">
        <w:rPr>
          <w:rFonts w:asciiTheme="minorEastAsia" w:eastAsiaTheme="minorEastAsia" w:hAnsiTheme="minorEastAsia" w:hint="eastAsia"/>
          <w:sz w:val="28"/>
          <w:szCs w:val="28"/>
        </w:rPr>
        <w:t>公司</w:t>
      </w:r>
      <w:r w:rsidR="00E16C2C" w:rsidRPr="00E16C2C">
        <w:rPr>
          <w:rFonts w:asciiTheme="minorEastAsia" w:eastAsiaTheme="minorEastAsia" w:hAnsiTheme="minorEastAsia" w:hint="eastAsia"/>
          <w:sz w:val="28"/>
          <w:szCs w:val="28"/>
        </w:rPr>
        <w:t>将在合作金融伙伴扩展和内部融资的标准化、信息化建设方面进一步加强精细化管理</w:t>
      </w:r>
      <w:r w:rsidR="008F008F">
        <w:rPr>
          <w:rFonts w:asciiTheme="minorEastAsia" w:eastAsiaTheme="minorEastAsia" w:hAnsiTheme="minorEastAsia" w:hint="eastAsia"/>
          <w:sz w:val="28"/>
          <w:szCs w:val="28"/>
        </w:rPr>
        <w:t>。</w:t>
      </w:r>
    </w:p>
    <w:p w14:paraId="6DAB1256" w14:textId="56EB6C78" w:rsidR="009216C5" w:rsidRDefault="009216C5" w:rsidP="009216C5">
      <w:pPr>
        <w:spacing w:line="480" w:lineRule="exact"/>
        <w:rPr>
          <w:rFonts w:asciiTheme="minorEastAsia" w:eastAsiaTheme="minorEastAsia" w:hAnsiTheme="minorEastAsia"/>
          <w:sz w:val="28"/>
          <w:szCs w:val="28"/>
        </w:rPr>
      </w:pPr>
    </w:p>
    <w:p w14:paraId="78AA4A9E" w14:textId="77777777" w:rsidR="009216C5" w:rsidRPr="00306390" w:rsidRDefault="009216C5" w:rsidP="009216C5">
      <w:pPr>
        <w:widowControl/>
        <w:shd w:val="clear" w:color="auto" w:fill="FFFFFF"/>
        <w:spacing w:line="480" w:lineRule="atLeast"/>
        <w:rPr>
          <w:rFonts w:asciiTheme="minorEastAsia" w:eastAsiaTheme="minorEastAsia" w:hAnsiTheme="minorEastAsia"/>
          <w:b/>
          <w:bCs/>
          <w:sz w:val="28"/>
          <w:szCs w:val="28"/>
        </w:rPr>
      </w:pPr>
      <w:r w:rsidRPr="00306390">
        <w:rPr>
          <w:rFonts w:asciiTheme="minorEastAsia" w:eastAsiaTheme="minorEastAsia" w:hAnsiTheme="minorEastAsia" w:hint="eastAsia"/>
          <w:b/>
          <w:bCs/>
          <w:sz w:val="28"/>
          <w:szCs w:val="28"/>
        </w:rPr>
        <w:t>问：金科服务上市将会给上市公司带来什么样的影响？</w:t>
      </w:r>
    </w:p>
    <w:p w14:paraId="37FD8BDB" w14:textId="2FC06F39" w:rsidR="009216C5" w:rsidRPr="009216C5" w:rsidRDefault="009216C5" w:rsidP="009216C5">
      <w:pPr>
        <w:spacing w:line="48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公司</w:t>
      </w:r>
      <w:r w:rsidRPr="009216C5">
        <w:rPr>
          <w:rFonts w:asciiTheme="minorEastAsia" w:eastAsiaTheme="minorEastAsia" w:hAnsiTheme="minorEastAsia" w:hint="eastAsia"/>
          <w:sz w:val="28"/>
          <w:szCs w:val="28"/>
        </w:rPr>
        <w:t>正在积极有序地推进金科服务上市工作，后续进展以公司公告为准。</w:t>
      </w:r>
    </w:p>
    <w:p w14:paraId="14EB1F29" w14:textId="77777777" w:rsidR="009216C5" w:rsidRPr="009216C5" w:rsidRDefault="009216C5" w:rsidP="009216C5">
      <w:pPr>
        <w:spacing w:line="480" w:lineRule="exact"/>
        <w:ind w:firstLineChars="200" w:firstLine="560"/>
        <w:rPr>
          <w:rFonts w:asciiTheme="minorEastAsia" w:eastAsiaTheme="minorEastAsia" w:hAnsiTheme="minorEastAsia"/>
          <w:sz w:val="28"/>
          <w:szCs w:val="28"/>
        </w:rPr>
      </w:pPr>
      <w:r w:rsidRPr="009216C5">
        <w:rPr>
          <w:rFonts w:asciiTheme="minorEastAsia" w:eastAsiaTheme="minorEastAsia" w:hAnsiTheme="minorEastAsia" w:hint="eastAsia"/>
          <w:sz w:val="28"/>
          <w:szCs w:val="28"/>
        </w:rPr>
        <w:t>金科服务上市对公司的影响主要表现为以下两个方面：一是增强金科</w:t>
      </w:r>
      <w:r w:rsidRPr="009216C5">
        <w:rPr>
          <w:rFonts w:asciiTheme="minorEastAsia" w:eastAsiaTheme="minorEastAsia" w:hAnsiTheme="minorEastAsia" w:hint="eastAsia"/>
          <w:sz w:val="28"/>
          <w:szCs w:val="28"/>
        </w:rPr>
        <w:lastRenderedPageBreak/>
        <w:t>服务发展后劲。公司认为金科服务的上市不仅对金科服务自身发展将起到资本加持，也有助于金科服务更好的进行服务面积和品质提升，提升增值服务能力，增强发展后劲，提升市场占有率。二是物业上市反向赋能主业发展。物业服务作为地产销售过程中的重要核心竞争能力之一，更加优质的物业服务可以为地产销售提供更多产品和品牌溢价，形成良性的反向赋能作用，实现“地产+物业”比翼齐飞。</w:t>
      </w:r>
    </w:p>
    <w:p w14:paraId="1B173021" w14:textId="77777777" w:rsidR="009216C5" w:rsidRPr="009216C5" w:rsidRDefault="009216C5" w:rsidP="009216C5">
      <w:pPr>
        <w:spacing w:line="480" w:lineRule="exact"/>
        <w:ind w:firstLineChars="200" w:firstLine="560"/>
        <w:rPr>
          <w:rFonts w:asciiTheme="minorEastAsia" w:eastAsiaTheme="minorEastAsia" w:hAnsiTheme="minorEastAsia"/>
          <w:sz w:val="28"/>
          <w:szCs w:val="28"/>
        </w:rPr>
      </w:pPr>
      <w:r w:rsidRPr="009216C5">
        <w:rPr>
          <w:rFonts w:asciiTheme="minorEastAsia" w:eastAsiaTheme="minorEastAsia" w:hAnsiTheme="minorEastAsia" w:hint="eastAsia"/>
          <w:sz w:val="28"/>
          <w:szCs w:val="28"/>
        </w:rPr>
        <w:t>总之，金科服务上市将实现金科股份与金科服务的双向赋能，打造金科集团A+H的</w:t>
      </w:r>
      <w:proofErr w:type="gramStart"/>
      <w:r w:rsidRPr="009216C5">
        <w:rPr>
          <w:rFonts w:asciiTheme="minorEastAsia" w:eastAsiaTheme="minorEastAsia" w:hAnsiTheme="minorEastAsia" w:hint="eastAsia"/>
          <w:sz w:val="28"/>
          <w:szCs w:val="28"/>
        </w:rPr>
        <w:t>双资本</w:t>
      </w:r>
      <w:proofErr w:type="gramEnd"/>
      <w:r w:rsidRPr="009216C5">
        <w:rPr>
          <w:rFonts w:asciiTheme="minorEastAsia" w:eastAsiaTheme="minorEastAsia" w:hAnsiTheme="minorEastAsia" w:hint="eastAsia"/>
          <w:sz w:val="28"/>
          <w:szCs w:val="28"/>
        </w:rPr>
        <w:t>运作平台，增加海外投资机构和评级机构对公司的认可和支持，优化公司的资产负债结构、提升国际资本市场知名度，助力公司的健康发展。</w:t>
      </w:r>
    </w:p>
    <w:p w14:paraId="20AD2D4F" w14:textId="77777777" w:rsidR="009216C5" w:rsidRPr="009216C5" w:rsidRDefault="009216C5" w:rsidP="009216C5">
      <w:pPr>
        <w:spacing w:line="480" w:lineRule="exact"/>
        <w:rPr>
          <w:rFonts w:asciiTheme="minorEastAsia" w:eastAsiaTheme="minorEastAsia" w:hAnsiTheme="minorEastAsia"/>
          <w:sz w:val="28"/>
          <w:szCs w:val="28"/>
        </w:rPr>
      </w:pPr>
    </w:p>
    <w:p w14:paraId="75E3364C" w14:textId="28A7052F" w:rsidR="00E16C2C" w:rsidRDefault="00E16C2C" w:rsidP="00104786">
      <w:pPr>
        <w:spacing w:line="480" w:lineRule="exact"/>
        <w:rPr>
          <w:rFonts w:asciiTheme="minorEastAsia" w:eastAsiaTheme="minorEastAsia" w:hAnsiTheme="minorEastAsia"/>
          <w:sz w:val="28"/>
          <w:szCs w:val="28"/>
        </w:rPr>
      </w:pPr>
    </w:p>
    <w:sectPr w:rsidR="00E16C2C">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FCFFC3" w14:textId="77777777" w:rsidR="00A868E2" w:rsidRDefault="00A868E2" w:rsidP="00D67E8C">
      <w:r>
        <w:separator/>
      </w:r>
    </w:p>
  </w:endnote>
  <w:endnote w:type="continuationSeparator" w:id="0">
    <w:p w14:paraId="6F080E9A" w14:textId="77777777" w:rsidR="00A868E2" w:rsidRDefault="00A868E2" w:rsidP="00D67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B8D171" w14:textId="77777777" w:rsidR="00A868E2" w:rsidRDefault="00A868E2" w:rsidP="00D67E8C">
      <w:r>
        <w:separator/>
      </w:r>
    </w:p>
  </w:footnote>
  <w:footnote w:type="continuationSeparator" w:id="0">
    <w:p w14:paraId="0F5BAF05" w14:textId="77777777" w:rsidR="00A868E2" w:rsidRDefault="00A868E2" w:rsidP="00D67E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68A"/>
    <w:rsid w:val="00003735"/>
    <w:rsid w:val="00022B30"/>
    <w:rsid w:val="00027800"/>
    <w:rsid w:val="000349E3"/>
    <w:rsid w:val="00034B4D"/>
    <w:rsid w:val="00040A4A"/>
    <w:rsid w:val="00040DD3"/>
    <w:rsid w:val="000426F6"/>
    <w:rsid w:val="00044709"/>
    <w:rsid w:val="0004705C"/>
    <w:rsid w:val="000538EB"/>
    <w:rsid w:val="0005655B"/>
    <w:rsid w:val="00063988"/>
    <w:rsid w:val="00064658"/>
    <w:rsid w:val="00064E3D"/>
    <w:rsid w:val="00075036"/>
    <w:rsid w:val="00085393"/>
    <w:rsid w:val="000A13F5"/>
    <w:rsid w:val="000A68C1"/>
    <w:rsid w:val="000E53AF"/>
    <w:rsid w:val="000F3352"/>
    <w:rsid w:val="000F51BF"/>
    <w:rsid w:val="00104786"/>
    <w:rsid w:val="00113843"/>
    <w:rsid w:val="00130F5B"/>
    <w:rsid w:val="00141FC5"/>
    <w:rsid w:val="00146963"/>
    <w:rsid w:val="00152E45"/>
    <w:rsid w:val="00156F58"/>
    <w:rsid w:val="00192765"/>
    <w:rsid w:val="0019428A"/>
    <w:rsid w:val="00197F08"/>
    <w:rsid w:val="001A009D"/>
    <w:rsid w:val="001A57C6"/>
    <w:rsid w:val="001B42F0"/>
    <w:rsid w:val="001D68BC"/>
    <w:rsid w:val="0020747B"/>
    <w:rsid w:val="0021043B"/>
    <w:rsid w:val="002115FB"/>
    <w:rsid w:val="00215C44"/>
    <w:rsid w:val="00227C7E"/>
    <w:rsid w:val="002303E4"/>
    <w:rsid w:val="00233AEE"/>
    <w:rsid w:val="002427AA"/>
    <w:rsid w:val="00251288"/>
    <w:rsid w:val="0025538A"/>
    <w:rsid w:val="00255950"/>
    <w:rsid w:val="002812E6"/>
    <w:rsid w:val="00287BC1"/>
    <w:rsid w:val="00295AEB"/>
    <w:rsid w:val="00296BCB"/>
    <w:rsid w:val="002A34D2"/>
    <w:rsid w:val="002B45A7"/>
    <w:rsid w:val="002B6215"/>
    <w:rsid w:val="002B770D"/>
    <w:rsid w:val="002D0AC8"/>
    <w:rsid w:val="002D1B30"/>
    <w:rsid w:val="002E4AC2"/>
    <w:rsid w:val="002F16F4"/>
    <w:rsid w:val="002F338D"/>
    <w:rsid w:val="002F74CD"/>
    <w:rsid w:val="00303527"/>
    <w:rsid w:val="00306390"/>
    <w:rsid w:val="00341416"/>
    <w:rsid w:val="003525AC"/>
    <w:rsid w:val="00355358"/>
    <w:rsid w:val="00364C26"/>
    <w:rsid w:val="00367F54"/>
    <w:rsid w:val="003815ED"/>
    <w:rsid w:val="00384253"/>
    <w:rsid w:val="00391C4D"/>
    <w:rsid w:val="003C32E0"/>
    <w:rsid w:val="003C45B6"/>
    <w:rsid w:val="003C505B"/>
    <w:rsid w:val="003D0502"/>
    <w:rsid w:val="003E290F"/>
    <w:rsid w:val="003E7B16"/>
    <w:rsid w:val="003E7FBC"/>
    <w:rsid w:val="00404A6C"/>
    <w:rsid w:val="004065A4"/>
    <w:rsid w:val="004132D1"/>
    <w:rsid w:val="004221F8"/>
    <w:rsid w:val="004302DD"/>
    <w:rsid w:val="00431CCA"/>
    <w:rsid w:val="004325AE"/>
    <w:rsid w:val="0045018C"/>
    <w:rsid w:val="004523AA"/>
    <w:rsid w:val="004659C3"/>
    <w:rsid w:val="00465FF0"/>
    <w:rsid w:val="004770DB"/>
    <w:rsid w:val="00480314"/>
    <w:rsid w:val="00480A5F"/>
    <w:rsid w:val="00494B97"/>
    <w:rsid w:val="004C7433"/>
    <w:rsid w:val="004D261C"/>
    <w:rsid w:val="004D3305"/>
    <w:rsid w:val="004D6564"/>
    <w:rsid w:val="004E11B5"/>
    <w:rsid w:val="004F34DA"/>
    <w:rsid w:val="00507BF4"/>
    <w:rsid w:val="00512F3F"/>
    <w:rsid w:val="005315AD"/>
    <w:rsid w:val="00531EDA"/>
    <w:rsid w:val="00532E3A"/>
    <w:rsid w:val="005365AE"/>
    <w:rsid w:val="005408E8"/>
    <w:rsid w:val="00543812"/>
    <w:rsid w:val="00544906"/>
    <w:rsid w:val="00563174"/>
    <w:rsid w:val="00587FE2"/>
    <w:rsid w:val="005909C1"/>
    <w:rsid w:val="005A20CC"/>
    <w:rsid w:val="005B3AEA"/>
    <w:rsid w:val="005D1A56"/>
    <w:rsid w:val="005D3A57"/>
    <w:rsid w:val="00602322"/>
    <w:rsid w:val="006141F9"/>
    <w:rsid w:val="0061744E"/>
    <w:rsid w:val="0062064C"/>
    <w:rsid w:val="006212AE"/>
    <w:rsid w:val="00633A02"/>
    <w:rsid w:val="00637A71"/>
    <w:rsid w:val="00637C61"/>
    <w:rsid w:val="00643F21"/>
    <w:rsid w:val="006A1559"/>
    <w:rsid w:val="006A2BB7"/>
    <w:rsid w:val="006B5A00"/>
    <w:rsid w:val="006D1B85"/>
    <w:rsid w:val="006D4F8C"/>
    <w:rsid w:val="006F40E0"/>
    <w:rsid w:val="006F6F95"/>
    <w:rsid w:val="007021D3"/>
    <w:rsid w:val="007031C4"/>
    <w:rsid w:val="0070580F"/>
    <w:rsid w:val="00707094"/>
    <w:rsid w:val="00723525"/>
    <w:rsid w:val="00726C4B"/>
    <w:rsid w:val="00732CAF"/>
    <w:rsid w:val="00743655"/>
    <w:rsid w:val="00754B4D"/>
    <w:rsid w:val="0076223D"/>
    <w:rsid w:val="007731CC"/>
    <w:rsid w:val="007A53F4"/>
    <w:rsid w:val="007B27DF"/>
    <w:rsid w:val="007C39F8"/>
    <w:rsid w:val="007D5073"/>
    <w:rsid w:val="007F6493"/>
    <w:rsid w:val="007F6FBC"/>
    <w:rsid w:val="007F7F5A"/>
    <w:rsid w:val="00804E55"/>
    <w:rsid w:val="008211C5"/>
    <w:rsid w:val="00850549"/>
    <w:rsid w:val="0085285E"/>
    <w:rsid w:val="00853ED6"/>
    <w:rsid w:val="00854899"/>
    <w:rsid w:val="0085620A"/>
    <w:rsid w:val="0088623E"/>
    <w:rsid w:val="008900FD"/>
    <w:rsid w:val="00895111"/>
    <w:rsid w:val="008A1969"/>
    <w:rsid w:val="008E11AC"/>
    <w:rsid w:val="008E2190"/>
    <w:rsid w:val="008E532D"/>
    <w:rsid w:val="008F008F"/>
    <w:rsid w:val="008F1D91"/>
    <w:rsid w:val="008F280B"/>
    <w:rsid w:val="008F6146"/>
    <w:rsid w:val="009016B7"/>
    <w:rsid w:val="009100CA"/>
    <w:rsid w:val="009216C5"/>
    <w:rsid w:val="00943B8A"/>
    <w:rsid w:val="00952D9A"/>
    <w:rsid w:val="00961DBF"/>
    <w:rsid w:val="00971D7A"/>
    <w:rsid w:val="0097207F"/>
    <w:rsid w:val="00974F4F"/>
    <w:rsid w:val="00993FBB"/>
    <w:rsid w:val="009A1B03"/>
    <w:rsid w:val="009D251B"/>
    <w:rsid w:val="009D4EFD"/>
    <w:rsid w:val="00A03436"/>
    <w:rsid w:val="00A068E6"/>
    <w:rsid w:val="00A125CA"/>
    <w:rsid w:val="00A209D1"/>
    <w:rsid w:val="00A236B8"/>
    <w:rsid w:val="00A3349C"/>
    <w:rsid w:val="00A3546D"/>
    <w:rsid w:val="00A465B3"/>
    <w:rsid w:val="00A466DA"/>
    <w:rsid w:val="00A51B41"/>
    <w:rsid w:val="00A55D22"/>
    <w:rsid w:val="00A61433"/>
    <w:rsid w:val="00A71B3E"/>
    <w:rsid w:val="00A816D1"/>
    <w:rsid w:val="00A868E2"/>
    <w:rsid w:val="00A94D1E"/>
    <w:rsid w:val="00A9528C"/>
    <w:rsid w:val="00AB7ED5"/>
    <w:rsid w:val="00AC0772"/>
    <w:rsid w:val="00AC2F75"/>
    <w:rsid w:val="00AC3F1E"/>
    <w:rsid w:val="00AD13CF"/>
    <w:rsid w:val="00AD282A"/>
    <w:rsid w:val="00B00A8B"/>
    <w:rsid w:val="00B0262E"/>
    <w:rsid w:val="00B515F7"/>
    <w:rsid w:val="00B627DA"/>
    <w:rsid w:val="00B65906"/>
    <w:rsid w:val="00B6651C"/>
    <w:rsid w:val="00B67276"/>
    <w:rsid w:val="00B8391F"/>
    <w:rsid w:val="00BA7E0F"/>
    <w:rsid w:val="00BB4F28"/>
    <w:rsid w:val="00BC7954"/>
    <w:rsid w:val="00BD5723"/>
    <w:rsid w:val="00BE0FE2"/>
    <w:rsid w:val="00BE1C15"/>
    <w:rsid w:val="00BF3397"/>
    <w:rsid w:val="00C008F4"/>
    <w:rsid w:val="00C07861"/>
    <w:rsid w:val="00C21013"/>
    <w:rsid w:val="00C2614D"/>
    <w:rsid w:val="00C26F64"/>
    <w:rsid w:val="00C3383B"/>
    <w:rsid w:val="00C35A2A"/>
    <w:rsid w:val="00C40135"/>
    <w:rsid w:val="00C53BBB"/>
    <w:rsid w:val="00C72C5A"/>
    <w:rsid w:val="00C74A89"/>
    <w:rsid w:val="00C76972"/>
    <w:rsid w:val="00C92077"/>
    <w:rsid w:val="00C9451E"/>
    <w:rsid w:val="00C97644"/>
    <w:rsid w:val="00CA44A1"/>
    <w:rsid w:val="00CB5DFF"/>
    <w:rsid w:val="00CC5710"/>
    <w:rsid w:val="00CF477F"/>
    <w:rsid w:val="00D0001A"/>
    <w:rsid w:val="00D040FC"/>
    <w:rsid w:val="00D06316"/>
    <w:rsid w:val="00D20F2D"/>
    <w:rsid w:val="00D2609F"/>
    <w:rsid w:val="00D27E84"/>
    <w:rsid w:val="00D31B6A"/>
    <w:rsid w:val="00D36D8E"/>
    <w:rsid w:val="00D566E3"/>
    <w:rsid w:val="00D623D8"/>
    <w:rsid w:val="00D65EC6"/>
    <w:rsid w:val="00D67771"/>
    <w:rsid w:val="00D67E8C"/>
    <w:rsid w:val="00D77D3C"/>
    <w:rsid w:val="00D87DC7"/>
    <w:rsid w:val="00DA17AF"/>
    <w:rsid w:val="00DA4362"/>
    <w:rsid w:val="00DA6E8D"/>
    <w:rsid w:val="00DB57B5"/>
    <w:rsid w:val="00DC6281"/>
    <w:rsid w:val="00E13E78"/>
    <w:rsid w:val="00E1487A"/>
    <w:rsid w:val="00E16588"/>
    <w:rsid w:val="00E16C2C"/>
    <w:rsid w:val="00E26EDD"/>
    <w:rsid w:val="00E31673"/>
    <w:rsid w:val="00E34D4C"/>
    <w:rsid w:val="00E36F0F"/>
    <w:rsid w:val="00E61523"/>
    <w:rsid w:val="00E8336D"/>
    <w:rsid w:val="00E955A3"/>
    <w:rsid w:val="00EA6B67"/>
    <w:rsid w:val="00EB3A38"/>
    <w:rsid w:val="00EB6F1D"/>
    <w:rsid w:val="00ED1760"/>
    <w:rsid w:val="00ED3A93"/>
    <w:rsid w:val="00F10295"/>
    <w:rsid w:val="00F16495"/>
    <w:rsid w:val="00F16B6C"/>
    <w:rsid w:val="00F20A47"/>
    <w:rsid w:val="00F2268A"/>
    <w:rsid w:val="00F53922"/>
    <w:rsid w:val="00F86A46"/>
    <w:rsid w:val="00F9460E"/>
    <w:rsid w:val="00FA0E83"/>
    <w:rsid w:val="00FA2434"/>
    <w:rsid w:val="00FA24BE"/>
    <w:rsid w:val="00FB4857"/>
    <w:rsid w:val="00FC761E"/>
    <w:rsid w:val="00FE0F75"/>
    <w:rsid w:val="00FE1C1A"/>
    <w:rsid w:val="00FF464B"/>
    <w:rsid w:val="00FF6434"/>
    <w:rsid w:val="00FF6E9A"/>
    <w:rsid w:val="2D641DD3"/>
    <w:rsid w:val="2E5E5EE2"/>
    <w:rsid w:val="4E534136"/>
    <w:rsid w:val="51B43B98"/>
    <w:rsid w:val="797D2F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17B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pPr>
      <w:widowControl/>
      <w:spacing w:before="100" w:beforeAutospacing="1" w:after="100" w:afterAutospacing="1"/>
      <w:jc w:val="left"/>
    </w:pPr>
    <w:rPr>
      <w:rFonts w:ascii="宋体" w:hAnsi="宋体" w:cs="宋体"/>
      <w:kern w:val="0"/>
      <w:sz w:val="24"/>
      <w:szCs w:val="24"/>
    </w:rPr>
  </w:style>
  <w:style w:type="paragraph" w:customStyle="1" w:styleId="Default">
    <w:name w:val="Default"/>
    <w:pPr>
      <w:widowControl w:val="0"/>
      <w:autoSpaceDE w:val="0"/>
      <w:autoSpaceDN w:val="0"/>
      <w:adjustRightInd w:val="0"/>
    </w:pPr>
    <w:rPr>
      <w:rFonts w:ascii="Times New Roman" w:eastAsia="宋体" w:hAnsi="Times New Roman" w:cs="Times New Roman"/>
      <w:color w:val="000000"/>
      <w:sz w:val="24"/>
      <w:szCs w:val="24"/>
    </w:rPr>
  </w:style>
  <w:style w:type="character" w:customStyle="1" w:styleId="Char">
    <w:name w:val="批注框文本 Char"/>
    <w:basedOn w:val="a0"/>
    <w:link w:val="a3"/>
    <w:uiPriority w:val="99"/>
    <w:semiHidden/>
    <w:qFormat/>
    <w:rPr>
      <w:rFonts w:ascii="Times New Roman" w:eastAsia="宋体" w:hAnsi="Times New Roman" w:cs="Times New Roman"/>
      <w:sz w:val="18"/>
      <w:szCs w:val="18"/>
    </w:rPr>
  </w:style>
  <w:style w:type="character" w:customStyle="1" w:styleId="Char1">
    <w:name w:val="页眉 Char"/>
    <w:basedOn w:val="a0"/>
    <w:link w:val="a5"/>
    <w:uiPriority w:val="99"/>
    <w:rPr>
      <w:rFonts w:ascii="Times New Roman" w:eastAsia="宋体" w:hAnsi="Times New Roman" w:cs="Times New Roman"/>
      <w:sz w:val="18"/>
      <w:szCs w:val="18"/>
    </w:rPr>
  </w:style>
  <w:style w:type="character" w:customStyle="1" w:styleId="Char0">
    <w:name w:val="页脚 Char"/>
    <w:basedOn w:val="a0"/>
    <w:link w:val="a4"/>
    <w:uiPriority w:val="99"/>
    <w:qFormat/>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pPr>
      <w:widowControl/>
      <w:spacing w:before="100" w:beforeAutospacing="1" w:after="100" w:afterAutospacing="1"/>
      <w:jc w:val="left"/>
    </w:pPr>
    <w:rPr>
      <w:rFonts w:ascii="宋体" w:hAnsi="宋体" w:cs="宋体"/>
      <w:kern w:val="0"/>
      <w:sz w:val="24"/>
      <w:szCs w:val="24"/>
    </w:rPr>
  </w:style>
  <w:style w:type="paragraph" w:customStyle="1" w:styleId="Default">
    <w:name w:val="Default"/>
    <w:pPr>
      <w:widowControl w:val="0"/>
      <w:autoSpaceDE w:val="0"/>
      <w:autoSpaceDN w:val="0"/>
      <w:adjustRightInd w:val="0"/>
    </w:pPr>
    <w:rPr>
      <w:rFonts w:ascii="Times New Roman" w:eastAsia="宋体" w:hAnsi="Times New Roman" w:cs="Times New Roman"/>
      <w:color w:val="000000"/>
      <w:sz w:val="24"/>
      <w:szCs w:val="24"/>
    </w:rPr>
  </w:style>
  <w:style w:type="character" w:customStyle="1" w:styleId="Char">
    <w:name w:val="批注框文本 Char"/>
    <w:basedOn w:val="a0"/>
    <w:link w:val="a3"/>
    <w:uiPriority w:val="99"/>
    <w:semiHidden/>
    <w:qFormat/>
    <w:rPr>
      <w:rFonts w:ascii="Times New Roman" w:eastAsia="宋体" w:hAnsi="Times New Roman" w:cs="Times New Roman"/>
      <w:sz w:val="18"/>
      <w:szCs w:val="18"/>
    </w:rPr>
  </w:style>
  <w:style w:type="character" w:customStyle="1" w:styleId="Char1">
    <w:name w:val="页眉 Char"/>
    <w:basedOn w:val="a0"/>
    <w:link w:val="a5"/>
    <w:uiPriority w:val="99"/>
    <w:rPr>
      <w:rFonts w:ascii="Times New Roman" w:eastAsia="宋体" w:hAnsi="Times New Roman" w:cs="Times New Roman"/>
      <w:sz w:val="18"/>
      <w:szCs w:val="18"/>
    </w:rPr>
  </w:style>
  <w:style w:type="character" w:customStyle="1" w:styleId="Char0">
    <w:name w:val="页脚 Char"/>
    <w:basedOn w:val="a0"/>
    <w:link w:val="a4"/>
    <w:uiPriority w:val="99"/>
    <w:qFormat/>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656956">
      <w:bodyDiv w:val="1"/>
      <w:marLeft w:val="0"/>
      <w:marRight w:val="0"/>
      <w:marTop w:val="0"/>
      <w:marBottom w:val="0"/>
      <w:divBdr>
        <w:top w:val="none" w:sz="0" w:space="0" w:color="auto"/>
        <w:left w:val="none" w:sz="0" w:space="0" w:color="auto"/>
        <w:bottom w:val="none" w:sz="0" w:space="0" w:color="auto"/>
        <w:right w:val="none" w:sz="0" w:space="0" w:color="auto"/>
      </w:divBdr>
    </w:div>
    <w:div w:id="237980854">
      <w:bodyDiv w:val="1"/>
      <w:marLeft w:val="0"/>
      <w:marRight w:val="0"/>
      <w:marTop w:val="0"/>
      <w:marBottom w:val="0"/>
      <w:divBdr>
        <w:top w:val="none" w:sz="0" w:space="0" w:color="auto"/>
        <w:left w:val="none" w:sz="0" w:space="0" w:color="auto"/>
        <w:bottom w:val="none" w:sz="0" w:space="0" w:color="auto"/>
        <w:right w:val="none" w:sz="0" w:space="0" w:color="auto"/>
      </w:divBdr>
    </w:div>
    <w:div w:id="297145214">
      <w:bodyDiv w:val="1"/>
      <w:marLeft w:val="0"/>
      <w:marRight w:val="0"/>
      <w:marTop w:val="0"/>
      <w:marBottom w:val="0"/>
      <w:divBdr>
        <w:top w:val="none" w:sz="0" w:space="0" w:color="auto"/>
        <w:left w:val="none" w:sz="0" w:space="0" w:color="auto"/>
        <w:bottom w:val="none" w:sz="0" w:space="0" w:color="auto"/>
        <w:right w:val="none" w:sz="0" w:space="0" w:color="auto"/>
      </w:divBdr>
    </w:div>
    <w:div w:id="318387189">
      <w:bodyDiv w:val="1"/>
      <w:marLeft w:val="0"/>
      <w:marRight w:val="0"/>
      <w:marTop w:val="0"/>
      <w:marBottom w:val="0"/>
      <w:divBdr>
        <w:top w:val="none" w:sz="0" w:space="0" w:color="auto"/>
        <w:left w:val="none" w:sz="0" w:space="0" w:color="auto"/>
        <w:bottom w:val="none" w:sz="0" w:space="0" w:color="auto"/>
        <w:right w:val="none" w:sz="0" w:space="0" w:color="auto"/>
      </w:divBdr>
    </w:div>
    <w:div w:id="442847897">
      <w:bodyDiv w:val="1"/>
      <w:marLeft w:val="0"/>
      <w:marRight w:val="0"/>
      <w:marTop w:val="0"/>
      <w:marBottom w:val="0"/>
      <w:divBdr>
        <w:top w:val="none" w:sz="0" w:space="0" w:color="auto"/>
        <w:left w:val="none" w:sz="0" w:space="0" w:color="auto"/>
        <w:bottom w:val="none" w:sz="0" w:space="0" w:color="auto"/>
        <w:right w:val="none" w:sz="0" w:space="0" w:color="auto"/>
      </w:divBdr>
    </w:div>
    <w:div w:id="572202434">
      <w:bodyDiv w:val="1"/>
      <w:marLeft w:val="0"/>
      <w:marRight w:val="0"/>
      <w:marTop w:val="0"/>
      <w:marBottom w:val="0"/>
      <w:divBdr>
        <w:top w:val="none" w:sz="0" w:space="0" w:color="auto"/>
        <w:left w:val="none" w:sz="0" w:space="0" w:color="auto"/>
        <w:bottom w:val="none" w:sz="0" w:space="0" w:color="auto"/>
        <w:right w:val="none" w:sz="0" w:space="0" w:color="auto"/>
      </w:divBdr>
    </w:div>
    <w:div w:id="614680335">
      <w:bodyDiv w:val="1"/>
      <w:marLeft w:val="0"/>
      <w:marRight w:val="0"/>
      <w:marTop w:val="0"/>
      <w:marBottom w:val="0"/>
      <w:divBdr>
        <w:top w:val="none" w:sz="0" w:space="0" w:color="auto"/>
        <w:left w:val="none" w:sz="0" w:space="0" w:color="auto"/>
        <w:bottom w:val="none" w:sz="0" w:space="0" w:color="auto"/>
        <w:right w:val="none" w:sz="0" w:space="0" w:color="auto"/>
      </w:divBdr>
    </w:div>
    <w:div w:id="666441195">
      <w:bodyDiv w:val="1"/>
      <w:marLeft w:val="0"/>
      <w:marRight w:val="0"/>
      <w:marTop w:val="0"/>
      <w:marBottom w:val="0"/>
      <w:divBdr>
        <w:top w:val="none" w:sz="0" w:space="0" w:color="auto"/>
        <w:left w:val="none" w:sz="0" w:space="0" w:color="auto"/>
        <w:bottom w:val="none" w:sz="0" w:space="0" w:color="auto"/>
        <w:right w:val="none" w:sz="0" w:space="0" w:color="auto"/>
      </w:divBdr>
    </w:div>
    <w:div w:id="691422767">
      <w:bodyDiv w:val="1"/>
      <w:marLeft w:val="0"/>
      <w:marRight w:val="0"/>
      <w:marTop w:val="0"/>
      <w:marBottom w:val="0"/>
      <w:divBdr>
        <w:top w:val="none" w:sz="0" w:space="0" w:color="auto"/>
        <w:left w:val="none" w:sz="0" w:space="0" w:color="auto"/>
        <w:bottom w:val="none" w:sz="0" w:space="0" w:color="auto"/>
        <w:right w:val="none" w:sz="0" w:space="0" w:color="auto"/>
      </w:divBdr>
    </w:div>
    <w:div w:id="699741622">
      <w:bodyDiv w:val="1"/>
      <w:marLeft w:val="0"/>
      <w:marRight w:val="0"/>
      <w:marTop w:val="0"/>
      <w:marBottom w:val="0"/>
      <w:divBdr>
        <w:top w:val="none" w:sz="0" w:space="0" w:color="auto"/>
        <w:left w:val="none" w:sz="0" w:space="0" w:color="auto"/>
        <w:bottom w:val="none" w:sz="0" w:space="0" w:color="auto"/>
        <w:right w:val="none" w:sz="0" w:space="0" w:color="auto"/>
      </w:divBdr>
    </w:div>
    <w:div w:id="763846563">
      <w:bodyDiv w:val="1"/>
      <w:marLeft w:val="0"/>
      <w:marRight w:val="0"/>
      <w:marTop w:val="0"/>
      <w:marBottom w:val="0"/>
      <w:divBdr>
        <w:top w:val="none" w:sz="0" w:space="0" w:color="auto"/>
        <w:left w:val="none" w:sz="0" w:space="0" w:color="auto"/>
        <w:bottom w:val="none" w:sz="0" w:space="0" w:color="auto"/>
        <w:right w:val="none" w:sz="0" w:space="0" w:color="auto"/>
      </w:divBdr>
    </w:div>
    <w:div w:id="788551843">
      <w:bodyDiv w:val="1"/>
      <w:marLeft w:val="0"/>
      <w:marRight w:val="0"/>
      <w:marTop w:val="0"/>
      <w:marBottom w:val="0"/>
      <w:divBdr>
        <w:top w:val="none" w:sz="0" w:space="0" w:color="auto"/>
        <w:left w:val="none" w:sz="0" w:space="0" w:color="auto"/>
        <w:bottom w:val="none" w:sz="0" w:space="0" w:color="auto"/>
        <w:right w:val="none" w:sz="0" w:space="0" w:color="auto"/>
      </w:divBdr>
    </w:div>
    <w:div w:id="807623347">
      <w:bodyDiv w:val="1"/>
      <w:marLeft w:val="0"/>
      <w:marRight w:val="0"/>
      <w:marTop w:val="0"/>
      <w:marBottom w:val="0"/>
      <w:divBdr>
        <w:top w:val="none" w:sz="0" w:space="0" w:color="auto"/>
        <w:left w:val="none" w:sz="0" w:space="0" w:color="auto"/>
        <w:bottom w:val="none" w:sz="0" w:space="0" w:color="auto"/>
        <w:right w:val="none" w:sz="0" w:space="0" w:color="auto"/>
      </w:divBdr>
    </w:div>
    <w:div w:id="844172662">
      <w:bodyDiv w:val="1"/>
      <w:marLeft w:val="0"/>
      <w:marRight w:val="0"/>
      <w:marTop w:val="0"/>
      <w:marBottom w:val="0"/>
      <w:divBdr>
        <w:top w:val="none" w:sz="0" w:space="0" w:color="auto"/>
        <w:left w:val="none" w:sz="0" w:space="0" w:color="auto"/>
        <w:bottom w:val="none" w:sz="0" w:space="0" w:color="auto"/>
        <w:right w:val="none" w:sz="0" w:space="0" w:color="auto"/>
      </w:divBdr>
    </w:div>
    <w:div w:id="857810701">
      <w:bodyDiv w:val="1"/>
      <w:marLeft w:val="0"/>
      <w:marRight w:val="0"/>
      <w:marTop w:val="0"/>
      <w:marBottom w:val="0"/>
      <w:divBdr>
        <w:top w:val="none" w:sz="0" w:space="0" w:color="auto"/>
        <w:left w:val="none" w:sz="0" w:space="0" w:color="auto"/>
        <w:bottom w:val="none" w:sz="0" w:space="0" w:color="auto"/>
        <w:right w:val="none" w:sz="0" w:space="0" w:color="auto"/>
      </w:divBdr>
    </w:div>
    <w:div w:id="964696861">
      <w:bodyDiv w:val="1"/>
      <w:marLeft w:val="0"/>
      <w:marRight w:val="0"/>
      <w:marTop w:val="0"/>
      <w:marBottom w:val="0"/>
      <w:divBdr>
        <w:top w:val="none" w:sz="0" w:space="0" w:color="auto"/>
        <w:left w:val="none" w:sz="0" w:space="0" w:color="auto"/>
        <w:bottom w:val="none" w:sz="0" w:space="0" w:color="auto"/>
        <w:right w:val="none" w:sz="0" w:space="0" w:color="auto"/>
      </w:divBdr>
    </w:div>
    <w:div w:id="1125391161">
      <w:bodyDiv w:val="1"/>
      <w:marLeft w:val="0"/>
      <w:marRight w:val="0"/>
      <w:marTop w:val="0"/>
      <w:marBottom w:val="0"/>
      <w:divBdr>
        <w:top w:val="none" w:sz="0" w:space="0" w:color="auto"/>
        <w:left w:val="none" w:sz="0" w:space="0" w:color="auto"/>
        <w:bottom w:val="none" w:sz="0" w:space="0" w:color="auto"/>
        <w:right w:val="none" w:sz="0" w:space="0" w:color="auto"/>
      </w:divBdr>
    </w:div>
    <w:div w:id="1160122705">
      <w:bodyDiv w:val="1"/>
      <w:marLeft w:val="0"/>
      <w:marRight w:val="0"/>
      <w:marTop w:val="0"/>
      <w:marBottom w:val="0"/>
      <w:divBdr>
        <w:top w:val="none" w:sz="0" w:space="0" w:color="auto"/>
        <w:left w:val="none" w:sz="0" w:space="0" w:color="auto"/>
        <w:bottom w:val="none" w:sz="0" w:space="0" w:color="auto"/>
        <w:right w:val="none" w:sz="0" w:space="0" w:color="auto"/>
      </w:divBdr>
    </w:div>
    <w:div w:id="1247881968">
      <w:bodyDiv w:val="1"/>
      <w:marLeft w:val="0"/>
      <w:marRight w:val="0"/>
      <w:marTop w:val="0"/>
      <w:marBottom w:val="0"/>
      <w:divBdr>
        <w:top w:val="none" w:sz="0" w:space="0" w:color="auto"/>
        <w:left w:val="none" w:sz="0" w:space="0" w:color="auto"/>
        <w:bottom w:val="none" w:sz="0" w:space="0" w:color="auto"/>
        <w:right w:val="none" w:sz="0" w:space="0" w:color="auto"/>
      </w:divBdr>
    </w:div>
    <w:div w:id="1298492167">
      <w:bodyDiv w:val="1"/>
      <w:marLeft w:val="0"/>
      <w:marRight w:val="0"/>
      <w:marTop w:val="0"/>
      <w:marBottom w:val="0"/>
      <w:divBdr>
        <w:top w:val="none" w:sz="0" w:space="0" w:color="auto"/>
        <w:left w:val="none" w:sz="0" w:space="0" w:color="auto"/>
        <w:bottom w:val="none" w:sz="0" w:space="0" w:color="auto"/>
        <w:right w:val="none" w:sz="0" w:space="0" w:color="auto"/>
      </w:divBdr>
    </w:div>
    <w:div w:id="1343245661">
      <w:bodyDiv w:val="1"/>
      <w:marLeft w:val="0"/>
      <w:marRight w:val="0"/>
      <w:marTop w:val="0"/>
      <w:marBottom w:val="0"/>
      <w:divBdr>
        <w:top w:val="none" w:sz="0" w:space="0" w:color="auto"/>
        <w:left w:val="none" w:sz="0" w:space="0" w:color="auto"/>
        <w:bottom w:val="none" w:sz="0" w:space="0" w:color="auto"/>
        <w:right w:val="none" w:sz="0" w:space="0" w:color="auto"/>
      </w:divBdr>
    </w:div>
    <w:div w:id="1416320194">
      <w:bodyDiv w:val="1"/>
      <w:marLeft w:val="0"/>
      <w:marRight w:val="0"/>
      <w:marTop w:val="0"/>
      <w:marBottom w:val="0"/>
      <w:divBdr>
        <w:top w:val="none" w:sz="0" w:space="0" w:color="auto"/>
        <w:left w:val="none" w:sz="0" w:space="0" w:color="auto"/>
        <w:bottom w:val="none" w:sz="0" w:space="0" w:color="auto"/>
        <w:right w:val="none" w:sz="0" w:space="0" w:color="auto"/>
      </w:divBdr>
    </w:div>
    <w:div w:id="1538084209">
      <w:bodyDiv w:val="1"/>
      <w:marLeft w:val="0"/>
      <w:marRight w:val="0"/>
      <w:marTop w:val="0"/>
      <w:marBottom w:val="0"/>
      <w:divBdr>
        <w:top w:val="none" w:sz="0" w:space="0" w:color="auto"/>
        <w:left w:val="none" w:sz="0" w:space="0" w:color="auto"/>
        <w:bottom w:val="none" w:sz="0" w:space="0" w:color="auto"/>
        <w:right w:val="none" w:sz="0" w:space="0" w:color="auto"/>
      </w:divBdr>
    </w:div>
    <w:div w:id="1657297658">
      <w:bodyDiv w:val="1"/>
      <w:marLeft w:val="0"/>
      <w:marRight w:val="0"/>
      <w:marTop w:val="0"/>
      <w:marBottom w:val="0"/>
      <w:divBdr>
        <w:top w:val="none" w:sz="0" w:space="0" w:color="auto"/>
        <w:left w:val="none" w:sz="0" w:space="0" w:color="auto"/>
        <w:bottom w:val="none" w:sz="0" w:space="0" w:color="auto"/>
        <w:right w:val="none" w:sz="0" w:space="0" w:color="auto"/>
      </w:divBdr>
    </w:div>
    <w:div w:id="1736974267">
      <w:bodyDiv w:val="1"/>
      <w:marLeft w:val="0"/>
      <w:marRight w:val="0"/>
      <w:marTop w:val="0"/>
      <w:marBottom w:val="0"/>
      <w:divBdr>
        <w:top w:val="none" w:sz="0" w:space="0" w:color="auto"/>
        <w:left w:val="none" w:sz="0" w:space="0" w:color="auto"/>
        <w:bottom w:val="none" w:sz="0" w:space="0" w:color="auto"/>
        <w:right w:val="none" w:sz="0" w:space="0" w:color="auto"/>
      </w:divBdr>
    </w:div>
    <w:div w:id="1748114859">
      <w:bodyDiv w:val="1"/>
      <w:marLeft w:val="0"/>
      <w:marRight w:val="0"/>
      <w:marTop w:val="0"/>
      <w:marBottom w:val="0"/>
      <w:divBdr>
        <w:top w:val="none" w:sz="0" w:space="0" w:color="auto"/>
        <w:left w:val="none" w:sz="0" w:space="0" w:color="auto"/>
        <w:bottom w:val="none" w:sz="0" w:space="0" w:color="auto"/>
        <w:right w:val="none" w:sz="0" w:space="0" w:color="auto"/>
      </w:divBdr>
    </w:div>
    <w:div w:id="1759205225">
      <w:bodyDiv w:val="1"/>
      <w:marLeft w:val="0"/>
      <w:marRight w:val="0"/>
      <w:marTop w:val="0"/>
      <w:marBottom w:val="0"/>
      <w:divBdr>
        <w:top w:val="none" w:sz="0" w:space="0" w:color="auto"/>
        <w:left w:val="none" w:sz="0" w:space="0" w:color="auto"/>
        <w:bottom w:val="none" w:sz="0" w:space="0" w:color="auto"/>
        <w:right w:val="none" w:sz="0" w:space="0" w:color="auto"/>
      </w:divBdr>
    </w:div>
    <w:div w:id="1769304521">
      <w:bodyDiv w:val="1"/>
      <w:marLeft w:val="0"/>
      <w:marRight w:val="0"/>
      <w:marTop w:val="0"/>
      <w:marBottom w:val="0"/>
      <w:divBdr>
        <w:top w:val="none" w:sz="0" w:space="0" w:color="auto"/>
        <w:left w:val="none" w:sz="0" w:space="0" w:color="auto"/>
        <w:bottom w:val="none" w:sz="0" w:space="0" w:color="auto"/>
        <w:right w:val="none" w:sz="0" w:space="0" w:color="auto"/>
      </w:divBdr>
    </w:div>
    <w:div w:id="1903321663">
      <w:bodyDiv w:val="1"/>
      <w:marLeft w:val="0"/>
      <w:marRight w:val="0"/>
      <w:marTop w:val="0"/>
      <w:marBottom w:val="0"/>
      <w:divBdr>
        <w:top w:val="none" w:sz="0" w:space="0" w:color="auto"/>
        <w:left w:val="none" w:sz="0" w:space="0" w:color="auto"/>
        <w:bottom w:val="none" w:sz="0" w:space="0" w:color="auto"/>
        <w:right w:val="none" w:sz="0" w:space="0" w:color="auto"/>
      </w:divBdr>
    </w:div>
    <w:div w:id="1925341216">
      <w:bodyDiv w:val="1"/>
      <w:marLeft w:val="0"/>
      <w:marRight w:val="0"/>
      <w:marTop w:val="0"/>
      <w:marBottom w:val="0"/>
      <w:divBdr>
        <w:top w:val="none" w:sz="0" w:space="0" w:color="auto"/>
        <w:left w:val="none" w:sz="0" w:space="0" w:color="auto"/>
        <w:bottom w:val="none" w:sz="0" w:space="0" w:color="auto"/>
        <w:right w:val="none" w:sz="0" w:space="0" w:color="auto"/>
      </w:divBdr>
    </w:div>
    <w:div w:id="2106488116">
      <w:bodyDiv w:val="1"/>
      <w:marLeft w:val="0"/>
      <w:marRight w:val="0"/>
      <w:marTop w:val="0"/>
      <w:marBottom w:val="0"/>
      <w:divBdr>
        <w:top w:val="none" w:sz="0" w:space="0" w:color="auto"/>
        <w:left w:val="none" w:sz="0" w:space="0" w:color="auto"/>
        <w:bottom w:val="none" w:sz="0" w:space="0" w:color="auto"/>
        <w:right w:val="none" w:sz="0" w:space="0" w:color="auto"/>
      </w:divBdr>
    </w:div>
    <w:div w:id="2112124283">
      <w:bodyDiv w:val="1"/>
      <w:marLeft w:val="0"/>
      <w:marRight w:val="0"/>
      <w:marTop w:val="0"/>
      <w:marBottom w:val="0"/>
      <w:divBdr>
        <w:top w:val="none" w:sz="0" w:space="0" w:color="auto"/>
        <w:left w:val="none" w:sz="0" w:space="0" w:color="auto"/>
        <w:bottom w:val="none" w:sz="0" w:space="0" w:color="auto"/>
        <w:right w:val="none" w:sz="0" w:space="0" w:color="auto"/>
      </w:divBdr>
    </w:div>
    <w:div w:id="21404193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08A5654-D80E-489B-9FCF-CF530E502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357</Words>
  <Characters>2041</Characters>
  <Application>Microsoft Office Word</Application>
  <DocSecurity>0</DocSecurity>
  <Lines>17</Lines>
  <Paragraphs>4</Paragraphs>
  <ScaleCrop>false</ScaleCrop>
  <Company>china</Company>
  <LinksUpToDate>false</LinksUpToDate>
  <CharactersWithSpaces>2394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周桥</dc:creator>
  <cp:lastModifiedBy>Administrator</cp:lastModifiedBy>
  <cp:revision>8</cp:revision>
  <dcterms:created xsi:type="dcterms:W3CDTF">2020-09-25T08:37:00Z</dcterms:created>
  <dcterms:modified xsi:type="dcterms:W3CDTF">2020-09-25T08:49:00Z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